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1A233A"/>
          <w:sz w:val="64"/>
        </w:rPr>
        <w:t>CLEARWARD</w:t>
      </w:r>
    </w:p>
    <w:p>
      <w:pPr>
        <w:jc w:val="center"/>
      </w:pPr>
      <w:r>
        <w:rPr>
          <w:color w:val="1D4E89"/>
          <w:sz w:val="32"/>
        </w:rPr>
        <w:t>Research Novelties &amp; Academic Paper Points</w:t>
      </w:r>
    </w:p>
    <w:p>
      <w:pPr>
        <w:jc w:val="center"/>
      </w:pPr>
      <w:r>
        <w:rPr>
          <w:i/>
          <w:color w:val="8E8E93"/>
          <w:sz w:val="20"/>
        </w:rPr>
        <w:t>For education only. Not investment advice.</w:t>
      </w:r>
    </w:p>
    <w:p/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20"/>
      </w:pPr>
      <w:r>
        <w:rPr>
          <w:b/>
          <w:color w:val="1A233A"/>
          <w:sz w:val="28"/>
        </w:rPr>
        <w:t>Suggested Paper Titles</w:t>
      </w:r>
    </w:p>
    <w:p>
      <w:pPr>
        <w:pStyle w:val="ListBullet"/>
        <w:spacing w:after="40"/>
      </w:pPr>
      <w:r>
        <w:rPr>
          <w:color w:val="1C1C1E"/>
          <w:sz w:val="22"/>
        </w:rPr>
        <w:t>Clearward: A Multi-Model Ensemble Framework for Retail Stock Direction Prediction with Regime-Aware Features and Realistic Transaction Cost Backtesting</w:t>
      </w:r>
    </w:p>
    <w:p>
      <w:pPr>
        <w:pStyle w:val="ListBullet"/>
        <w:spacing w:after="40"/>
      </w:pPr>
      <w:r>
        <w:rPr>
          <w:color w:val="1C1C1E"/>
          <w:sz w:val="22"/>
        </w:rPr>
        <w:t>Combining Temporal Convolutional Networks, Hidden Markov Model Regime Detection, and VADER Sentiment for Indian Equity Direction Forecasting</w:t>
      </w:r>
    </w:p>
    <w:p>
      <w:pPr>
        <w:pStyle w:val="ListBullet"/>
        <w:spacing w:after="40"/>
      </w:pPr>
      <w:r>
        <w:rPr>
          <w:color w:val="1C1C1E"/>
          <w:sz w:val="22"/>
        </w:rPr>
        <w:t>An Academic-Grade Open Stock Analytics Platform: Parallel Walk-Forward Ensembles, HMM Regimes, and NSE-Calibrated Backtesting</w:t>
      </w:r>
    </w:p>
    <w:p/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color w:val="1A233A"/>
          <w:sz w:val="28"/>
        </w:rPr>
        <w:t>1. Problem Statement</w:t>
      </w:r>
    </w:p>
    <w:p>
      <w:pPr>
        <w:spacing w:after="80"/>
      </w:pPr>
      <w:r>
        <w:rPr>
          <w:i w:val="0"/>
          <w:color w:val="1C1C1E"/>
          <w:sz w:val="22"/>
        </w:rPr>
        <w:t>Gap in existing work:</w:t>
      </w:r>
    </w:p>
    <w:p>
      <w:pPr>
        <w:pStyle w:val="ListBullet"/>
        <w:spacing w:after="40"/>
      </w:pPr>
      <w:r>
        <w:rPr>
          <w:color w:val="1C1C1E"/>
          <w:sz w:val="22"/>
        </w:rPr>
        <w:t>Most retail-grade stock prediction tools are either black-box (no explainability) or toy demos (no realistic cost modelling)</w:t>
      </w:r>
    </w:p>
    <w:p>
      <w:pPr>
        <w:pStyle w:val="ListBullet"/>
        <w:spacing w:after="40"/>
      </w:pPr>
      <w:r>
        <w:rPr>
          <w:color w:val="1C1C1E"/>
          <w:sz w:val="22"/>
        </w:rPr>
        <w:t>Walk-forward validation in finance literature often ignores the embargo gap (target leakage) — inflating reported accuracy</w:t>
      </w:r>
    </w:p>
    <w:p>
      <w:pPr>
        <w:pStyle w:val="ListBullet"/>
        <w:spacing w:after="40"/>
      </w:pPr>
      <w:r>
        <w:rPr>
          <w:color w:val="1C1C1E"/>
          <w:sz w:val="22"/>
        </w:rPr>
        <w:t>Existing sentiment analysis integrations use heavyweight LLMs (high latency, API cost) instead of lightweight rule-based methods</w:t>
      </w:r>
    </w:p>
    <w:p>
      <w:pPr>
        <w:pStyle w:val="ListBullet"/>
        <w:spacing w:after="40"/>
      </w:pPr>
      <w:r>
        <w:rPr>
          <w:color w:val="1C1C1E"/>
          <w:sz w:val="22"/>
        </w:rPr>
        <w:t>No open-source system combines parallelised CV + HMM regimes + VADER sentiment + NSE cost backtesting in one deployable platform</w:t>
      </w:r>
    </w:p>
    <w:p/>
    <w:p>
      <w:pPr>
        <w:spacing w:after="80"/>
      </w:pPr>
      <w:r>
        <w:rPr>
          <w:i w:val="0"/>
          <w:color w:val="1C1C1E"/>
          <w:sz w:val="22"/>
        </w:rPr>
        <w:t>Our key claim:</w:t>
      </w:r>
    </w:p>
    <w:p>
      <w:pPr>
        <w:spacing w:after="160"/>
        <w:ind w:left="432"/>
      </w:pPr>
      <w:r>
        <w:rPr>
          <w:i/>
          <w:color w:val="1D4E89"/>
          <w:sz w:val="22"/>
        </w:rPr>
        <w:t>We present the first open-source, deployable stock analytics platform that combines (1) parallelised walk-forward cross-validation, (2) TCN sequence modelling, (3) HMM market regime features, (4) VADER sentiment quantification, and (5) NSE-calibrated Almgren-Chriss backtesting — all within a single API-accessible system.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color w:val="1D4E89"/>
          <w:sz w:val="26"/>
        </w:rPr>
        <w:t>NOVELTY 1 — Parallelised Recency-Weighted Walk-Forward Ensemble</w:t>
      </w:r>
    </w:p>
    <w:p>
      <w:pPr>
        <w:spacing w:after="80"/>
      </w:pPr>
      <w:r>
        <w:rPr>
          <w:i w:val="0"/>
          <w:color w:val="1C1C1E"/>
          <w:sz w:val="22"/>
        </w:rPr>
        <w:t>The problem it solves:</w:t>
      </w:r>
    </w:p>
    <w:p>
      <w:pPr>
        <w:pStyle w:val="ListBullet"/>
        <w:spacing w:after="40"/>
      </w:pPr>
      <w:r>
        <w:rPr>
          <w:color w:val="1C1C1E"/>
          <w:sz w:val="22"/>
        </w:rPr>
        <w:t>Standard walk-forward runs N folds serially → O(N × T_train) wall time</w:t>
      </w:r>
    </w:p>
    <w:p>
      <w:pPr>
        <w:pStyle w:val="ListBullet"/>
        <w:spacing w:after="40"/>
      </w:pPr>
      <w:r>
        <w:rPr>
          <w:color w:val="1C1C1E"/>
          <w:sz w:val="22"/>
        </w:rPr>
        <w:t>As N grows for better variance estimation, training becomes prohibitively slow</w:t>
      </w:r>
    </w:p>
    <w:p>
      <w:pPr>
        <w:spacing w:after="80"/>
      </w:pPr>
      <w:r>
        <w:rPr>
          <w:i w:val="0"/>
          <w:color w:val="1C1C1E"/>
          <w:sz w:val="22"/>
        </w:rPr>
        <w:t>What we do:</w:t>
      </w:r>
    </w:p>
    <w:p>
      <w:pPr>
        <w:pStyle w:val="ListBullet"/>
        <w:spacing w:after="40"/>
      </w:pPr>
      <w:r>
        <w:rPr>
          <w:color w:val="1C1C1E"/>
          <w:sz w:val="22"/>
        </w:rPr>
        <w:t>Run all N walk-forward folds concurrently using ThreadPoolExecutor</w:t>
      </w:r>
    </w:p>
    <w:p>
      <w:pPr>
        <w:pStyle w:val="ListBullet"/>
        <w:spacing w:after="40"/>
      </w:pPr>
      <w:r>
        <w:rPr>
          <w:color w:val="1C1C1E"/>
          <w:sz w:val="22"/>
        </w:rPr>
        <w:t>Each fold is embarrassingly parallel (fold i never depends on fold j)</w:t>
      </w:r>
    </w:p>
    <w:p>
      <w:pPr>
        <w:pStyle w:val="ListBullet"/>
        <w:spacing w:after="40"/>
      </w:pPr>
      <w:r>
        <w:rPr>
          <w:color w:val="1C1C1E"/>
          <w:sz w:val="22"/>
        </w:rPr>
        <w:t>Aggregate fold predictions with exponentially decaying weights: w_i = exp(λ·i/(N-1))</w:t>
      </w:r>
    </w:p>
    <w:p>
      <w:pPr>
        <w:pStyle w:val="ListBullet"/>
        <w:spacing w:after="40"/>
      </w:pPr>
      <w:r>
        <w:rPr>
          <w:color w:val="1C1C1E"/>
          <w:sz w:val="22"/>
        </w:rPr>
        <w:t>Newer folds receive higher weight — recent market structure is more predictive</w:t>
      </w:r>
    </w:p>
    <w:p>
      <w:pPr>
        <w:spacing w:after="80"/>
      </w:pPr>
      <w:r>
        <w:rPr>
          <w:i w:val="0"/>
          <w:color w:val="1C1C1E"/>
          <w:sz w:val="22"/>
        </w:rPr>
        <w:t>Quantitative result: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032"/>
            <w:shd w:val="clear" w:color="auto" w:fill="D6E4F0"/>
            <w:vAlign w:val="center"/>
          </w:tcPr>
          <w:p>
            <w:r>
              <w:rPr>
                <w:b/>
                <w:color w:val="1D4E89"/>
                <w:sz w:val="20"/>
              </w:rPr>
              <w:t>Configuration</w:t>
            </w:r>
          </w:p>
        </w:tc>
        <w:tc>
          <w:tcPr>
            <w:tcW w:type="dxa" w:w="2160"/>
            <w:shd w:val="clear" w:color="auto" w:fill="D6E4F0"/>
            <w:vAlign w:val="center"/>
          </w:tcPr>
          <w:p>
            <w:r>
              <w:rPr>
                <w:b/>
                <w:color w:val="1D4E89"/>
                <w:sz w:val="20"/>
              </w:rPr>
              <w:t>Wall Time</w:t>
            </w:r>
          </w:p>
        </w:tc>
        <w:tc>
          <w:tcPr>
            <w:tcW w:type="dxa" w:w="2160"/>
            <w:shd w:val="clear" w:color="auto" w:fill="D6E4F0"/>
            <w:vAlign w:val="center"/>
          </w:tcPr>
          <w:p>
            <w:r>
              <w:rPr>
                <w:b/>
                <w:color w:val="1D4E89"/>
                <w:sz w:val="20"/>
              </w:rPr>
              <w:t>Speedup</w:t>
            </w:r>
          </w:p>
        </w:tc>
      </w:tr>
      <w:tr>
        <w:tc>
          <w:tcPr>
            <w:tcW w:type="dxa" w:w="4032"/>
            <w:shd w:val="clear" w:color="auto" w:fill="F7FAFD"/>
          </w:tcPr>
          <w:p>
            <w:r>
              <w:rPr>
                <w:color w:val="1C1C1E"/>
                <w:sz w:val="20"/>
              </w:rPr>
              <w:t>Serial, N=5 folds</w:t>
            </w:r>
          </w:p>
        </w:tc>
        <w:tc>
          <w:tcPr>
            <w:tcW w:type="dxa" w:w="2160"/>
            <w:shd w:val="clear" w:color="auto" w:fill="F7FAFD"/>
          </w:tcPr>
          <w:p>
            <w:r>
              <w:rPr>
                <w:color w:val="1C1C1E"/>
                <w:sz w:val="20"/>
              </w:rPr>
              <w:t>~3.37s</w:t>
            </w:r>
          </w:p>
        </w:tc>
        <w:tc>
          <w:tcPr>
            <w:tcW w:type="dxa" w:w="2160"/>
            <w:shd w:val="clear" w:color="auto" w:fill="F7FAFD"/>
          </w:tcPr>
          <w:p>
            <w:r>
              <w:rPr>
                <w:color w:val="1C1C1E"/>
                <w:sz w:val="20"/>
              </w:rPr>
              <w:t>1.0× (baseline)</w:t>
            </w:r>
          </w:p>
        </w:tc>
      </w:tr>
      <w:tr>
        <w:tc>
          <w:tcPr>
            <w:tcW w:type="dxa" w:w="4032"/>
          </w:tcPr>
          <w:p>
            <w:r>
              <w:rPr>
                <w:color w:val="1C1C1E"/>
                <w:sz w:val="20"/>
              </w:rPr>
              <w:t>Parallel, N=5 folds</w:t>
            </w:r>
          </w:p>
        </w:tc>
        <w:tc>
          <w:tcPr>
            <w:tcW w:type="dxa" w:w="2160"/>
          </w:tcPr>
          <w:p>
            <w:r>
              <w:rPr>
                <w:color w:val="1C1C1E"/>
                <w:sz w:val="20"/>
              </w:rPr>
              <w:t>~1.00s</w:t>
            </w:r>
          </w:p>
        </w:tc>
        <w:tc>
          <w:tcPr>
            <w:tcW w:type="dxa" w:w="2160"/>
          </w:tcPr>
          <w:p>
            <w:r>
              <w:rPr>
                <w:color w:val="1C1C1E"/>
                <w:sz w:val="20"/>
              </w:rPr>
              <w:t>3.37× ✅</w:t>
            </w:r>
          </w:p>
        </w:tc>
      </w:tr>
    </w:tbl>
    <w:p/>
    <w:p>
      <w:pPr>
        <w:spacing w:after="80"/>
      </w:pPr>
      <w:r>
        <w:rPr>
          <w:i/>
          <w:color w:val="2E86AB"/>
          <w:sz w:val="19"/>
        </w:rPr>
        <w:t>Citation: Cerqueira, Torgo &amp; Mozetič (2023) Machine Learning 112(10). ReWTS weighting (2023) JAIR.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color w:val="1D4E89"/>
          <w:sz w:val="26"/>
        </w:rPr>
        <w:t>NOVELTY 2 — Temporal Convolutional Network (TCN) for 3-Class Direction Prediction</w:t>
      </w:r>
    </w:p>
    <w:p>
      <w:pPr>
        <w:spacing w:after="80"/>
      </w:pPr>
      <w:r>
        <w:rPr>
          <w:i w:val="0"/>
          <w:color w:val="1C1C1E"/>
          <w:sz w:val="22"/>
        </w:rPr>
        <w:t>The problem it solves:</w:t>
      </w:r>
    </w:p>
    <w:p>
      <w:pPr>
        <w:pStyle w:val="ListBullet"/>
        <w:spacing w:after="40"/>
      </w:pPr>
      <w:r>
        <w:rPr>
          <w:color w:val="1C1C1E"/>
          <w:sz w:val="22"/>
        </w:rPr>
        <w:t>Flat MLPs have no temporal memory — they cannot model sequential patterns</w:t>
      </w:r>
    </w:p>
    <w:p>
      <w:pPr>
        <w:pStyle w:val="ListBullet"/>
        <w:spacing w:after="40"/>
      </w:pPr>
      <w:r>
        <w:rPr>
          <w:color w:val="1C1C1E"/>
          <w:sz w:val="22"/>
        </w:rPr>
        <w:t>LSTMs suffer vanishing gradients and are 3–8× slower to train than TCNs</w:t>
      </w:r>
    </w:p>
    <w:p>
      <w:pPr>
        <w:spacing w:after="80"/>
      </w:pPr>
      <w:r>
        <w:rPr>
          <w:i w:val="0"/>
          <w:color w:val="1C1C1E"/>
          <w:sz w:val="22"/>
        </w:rPr>
        <w:t>What we do:</w:t>
      </w:r>
    </w:p>
    <w:p>
      <w:pPr>
        <w:pStyle w:val="ListBullet"/>
        <w:spacing w:after="40"/>
      </w:pPr>
      <w:r>
        <w:rPr>
          <w:color w:val="1C1C1E"/>
          <w:sz w:val="22"/>
        </w:rPr>
        <w:t>Implement PyTorch TCN with dilated causal convolutions</w:t>
      </w:r>
    </w:p>
    <w:p>
      <w:pPr>
        <w:pStyle w:val="ListBullet"/>
        <w:spacing w:after="40"/>
      </w:pPr>
      <w:r>
        <w:rPr>
          <w:color w:val="1C1C1E"/>
          <w:sz w:val="22"/>
        </w:rPr>
        <w:t>Dilation pattern: 1 → 2 → 4 → 8 → 16  →  receptive field: 31 trading days</w:t>
      </w:r>
    </w:p>
    <w:p>
      <w:pPr>
        <w:pStyle w:val="ListBullet"/>
        <w:spacing w:after="40"/>
      </w:pPr>
      <w:r>
        <w:rPr>
          <w:color w:val="1C1C1E"/>
          <w:sz w:val="22"/>
        </w:rPr>
        <w:t>Input tensor shape: (batch, 17_features, 20_timesteps)</w:t>
      </w:r>
    </w:p>
    <w:p>
      <w:pPr>
        <w:pStyle w:val="ListBullet"/>
        <w:spacing w:after="40"/>
      </w:pPr>
      <w:r>
        <w:rPr>
          <w:color w:val="1C1C1E"/>
          <w:sz w:val="22"/>
        </w:rPr>
        <w:t>Causal padding (left-only): guarantees zero future leakage at inference</w:t>
      </w:r>
    </w:p>
    <w:p>
      <w:pPr>
        <w:pStyle w:val="ListBullet"/>
        <w:spacing w:after="40"/>
      </w:pPr>
      <w:r>
        <w:rPr>
          <w:color w:val="1C1C1E"/>
          <w:sz w:val="22"/>
        </w:rPr>
        <w:t>3-class output: POSITIVE BIAS / FLAT / NEGATIVE BIAS (not just binary)</w:t>
      </w:r>
    </w:p>
    <w:p>
      <w:pPr>
        <w:spacing w:after="80"/>
      </w:pPr>
      <w:r>
        <w:rPr>
          <w:i w:val="0"/>
          <w:color w:val="1C1C1E"/>
          <w:sz w:val="22"/>
        </w:rPr>
        <w:t>Architecture summary:</w:t>
      </w:r>
    </w:p>
    <w:p>
      <w:pPr>
        <w:spacing w:before="40" w:after="120"/>
        <w:ind w:left="432"/>
      </w:pPr>
      <w:r>
        <w:rPr>
          <w:rFonts w:ascii="Courier New" w:hAnsi="Courier New"/>
          <w:color w:val="1A6B3A"/>
          <w:sz w:val="19"/>
        </w:rPr>
        <w:t>Input (batch, 17, 20)</w:t>
        <w:br/>
        <w:t xml:space="preserve">  → CausalConvBlock(dilation=1, residual)   RF: 3</w:t>
        <w:br/>
        <w:t xml:space="preserve">  → CausalConvBlock(dilation=2, residual)   RF: 7</w:t>
        <w:br/>
        <w:t xml:space="preserve">  → CausalConvBlock(dilation=4, residual)   RF: 15</w:t>
        <w:br/>
        <w:t xml:space="preserve">  → CausalConvBlock(dilation=8, residual)   RF: 31</w:t>
        <w:br/>
        <w:t xml:space="preserve">  → GlobalAvgPool → FC(3) → Softmax</w:t>
      </w:r>
    </w:p>
    <w:p>
      <w:pPr>
        <w:spacing w:after="80"/>
      </w:pPr>
      <w:r>
        <w:rPr>
          <w:i w:val="0"/>
          <w:color w:val="1C1C1E"/>
          <w:sz w:val="22"/>
        </w:rPr>
        <w:t>Why 3 classes: Binary UP/DOWN forces prediction during sideways markets where no signal exists. FLAT class (±0.8% threshold) significantly reduces false signals.</w:t>
      </w:r>
    </w:p>
    <w:p>
      <w:pPr>
        <w:spacing w:after="80"/>
      </w:pPr>
      <w:r>
        <w:rPr>
          <w:i/>
          <w:color w:val="2E86AB"/>
          <w:sz w:val="19"/>
        </w:rPr>
        <w:t>Citation: Bai, Kolter &amp; Koltun (2018) arXiv:1803.01271.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color w:val="1D4E89"/>
          <w:sz w:val="26"/>
        </w:rPr>
        <w:t>NOVELTY 3 — HMM Market Regime as Trainable ML Feature</w:t>
      </w:r>
    </w:p>
    <w:p>
      <w:pPr>
        <w:spacing w:after="80"/>
      </w:pPr>
      <w:r>
        <w:rPr>
          <w:i w:val="0"/>
          <w:color w:val="1C1C1E"/>
          <w:sz w:val="22"/>
        </w:rPr>
        <w:t>The problem it solves:</w:t>
      </w:r>
    </w:p>
    <w:p>
      <w:pPr>
        <w:pStyle w:val="ListBullet"/>
        <w:spacing w:after="40"/>
      </w:pPr>
      <w:r>
        <w:rPr>
          <w:color w:val="1C1C1E"/>
          <w:sz w:val="22"/>
        </w:rPr>
        <w:t>Classic HMM regime models (Hamilton 1989) partition data and train one model per regime</w:t>
      </w:r>
    </w:p>
    <w:p>
      <w:pPr>
        <w:pStyle w:val="ListBullet"/>
        <w:spacing w:after="40"/>
      </w:pPr>
      <w:r>
        <w:rPr>
          <w:color w:val="1C1C1E"/>
          <w:sz w:val="22"/>
        </w:rPr>
        <w:t>This requires enough data per regime for stable training — often unavailable</w:t>
      </w:r>
    </w:p>
    <w:p>
      <w:pPr>
        <w:spacing w:after="80"/>
      </w:pPr>
      <w:r>
        <w:rPr>
          <w:i w:val="0"/>
          <w:color w:val="1C1C1E"/>
          <w:sz w:val="22"/>
        </w:rPr>
        <w:t>What we do (novel framing):</w:t>
      </w:r>
    </w:p>
    <w:p>
      <w:pPr>
        <w:pStyle w:val="ListBullet"/>
        <w:spacing w:after="40"/>
      </w:pPr>
      <w:r>
        <w:rPr>
          <w:color w:val="1C1C1E"/>
          <w:sz w:val="22"/>
        </w:rPr>
        <w:t>Use HMM regime outputs as continuous features fed into RF / TCN — not as a data partition</w:t>
      </w:r>
    </w:p>
    <w:p>
      <w:pPr>
        <w:pStyle w:val="ListBullet"/>
        <w:spacing w:after="40"/>
      </w:pPr>
      <w:r>
        <w:rPr>
          <w:color w:val="1C1C1E"/>
          <w:sz w:val="22"/>
        </w:rPr>
        <w:t>2 new features: regime_state ∈ {0,1} and regime_prob_bear ∈ [0,1]</w:t>
      </w:r>
    </w:p>
    <w:p>
      <w:pPr>
        <w:pStyle w:val="ListBullet"/>
        <w:spacing w:after="40"/>
      </w:pPr>
      <w:r>
        <w:rPr>
          <w:color w:val="1C1C1E"/>
          <w:sz w:val="22"/>
        </w:rPr>
        <w:t>Allows the model to learn non-linear interactions between regime probability and technical indicators</w:t>
      </w:r>
    </w:p>
    <w:p>
      <w:pPr>
        <w:spacing w:after="80"/>
      </w:pPr>
      <w:r>
        <w:rPr>
          <w:i w:val="0"/>
          <w:color w:val="1C1C1E"/>
          <w:sz w:val="22"/>
        </w:rPr>
        <w:t>Algorithm (implemented from scratch, no hmmlearn):</w:t>
      </w:r>
    </w:p>
    <w:p>
      <w:pPr>
        <w:pStyle w:val="ListBullet"/>
        <w:spacing w:after="40"/>
      </w:pPr>
      <w:r>
        <w:rPr>
          <w:color w:val="1C1C1E"/>
          <w:sz w:val="22"/>
        </w:rPr>
        <w:t>Gaussian HMM with 2 latent states (bull / bear)</w:t>
      </w:r>
    </w:p>
    <w:p>
      <w:pPr>
        <w:pStyle w:val="ListBullet"/>
        <w:spacing w:after="40"/>
      </w:pPr>
      <w:r>
        <w:rPr>
          <w:color w:val="1C1C1E"/>
          <w:sz w:val="22"/>
        </w:rPr>
        <w:t>E-step: Forward-backward algorithm computes γ(t,k) — posterior state probability</w:t>
      </w:r>
    </w:p>
    <w:p>
      <w:pPr>
        <w:pStyle w:val="ListBullet"/>
        <w:spacing w:after="40"/>
      </w:pPr>
      <w:r>
        <w:rPr>
          <w:color w:val="1C1C1E"/>
          <w:sz w:val="22"/>
        </w:rPr>
        <w:t>M-step: Updates μ_k, σ_k, and transition matrix A to maximise log-likelihood</w:t>
      </w:r>
    </w:p>
    <w:p>
      <w:pPr>
        <w:pStyle w:val="ListBullet"/>
        <w:spacing w:after="40"/>
      </w:pPr>
      <w:r>
        <w:rPr>
          <w:color w:val="1C1C1E"/>
          <w:sz w:val="22"/>
        </w:rPr>
        <w:t>Viterbi decoding for most probable state sequence; converges in &lt;30 iterations on 500 rows</w:t>
      </w:r>
    </w:p>
    <w:p>
      <w:pPr>
        <w:spacing w:after="80"/>
      </w:pPr>
      <w:r>
        <w:rPr>
          <w:i w:val="0"/>
          <w:color w:val="1C1C1E"/>
          <w:sz w:val="22"/>
        </w:rPr>
        <w:t>Distinction from prior work: Hamilton (1989) and Ang &amp; Timmermann (2012) use regime membership for portfolio allocation. We use regime probability as a continuous ML feature — preserving gradient information for tree-based and neural learners.</w:t>
      </w:r>
    </w:p>
    <w:p>
      <w:pPr>
        <w:spacing w:after="80"/>
      </w:pPr>
      <w:r>
        <w:rPr>
          <w:i/>
          <w:color w:val="2E86AB"/>
          <w:sz w:val="19"/>
        </w:rPr>
        <w:t>Citation: Hamilton (1989) Econometrica 57(2). Ang &amp; Timmermann (2012) ARFE 4.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color w:val="1D4E89"/>
          <w:sz w:val="26"/>
        </w:rPr>
        <w:t>NOVELTY 4 — VADER Sentiment as a Low-Latency Quantitative Feature</w:t>
      </w:r>
    </w:p>
    <w:p>
      <w:pPr>
        <w:spacing w:after="80"/>
      </w:pPr>
      <w:r>
        <w:rPr>
          <w:i w:val="0"/>
          <w:color w:val="1C1C1E"/>
          <w:sz w:val="22"/>
        </w:rPr>
        <w:t>The problem it solves:</w:t>
      </w:r>
    </w:p>
    <w:p>
      <w:pPr>
        <w:pStyle w:val="ListBullet"/>
        <w:spacing w:after="40"/>
      </w:pPr>
      <w:r>
        <w:rPr>
          <w:color w:val="1C1C1E"/>
          <w:sz w:val="22"/>
        </w:rPr>
        <w:t>Sentiment integration typically requires external API calls (OpenAI, Bloomberg) → high cost, latency</w:t>
      </w:r>
    </w:p>
    <w:p>
      <w:pPr>
        <w:pStyle w:val="ListBullet"/>
        <w:spacing w:after="40"/>
      </w:pPr>
      <w:r>
        <w:rPr>
          <w:color w:val="1C1C1E"/>
          <w:sz w:val="22"/>
        </w:rPr>
        <w:t>FinBERT or domain-tuned transformers require GPU and &gt;100ms inference</w:t>
      </w:r>
    </w:p>
    <w:p>
      <w:pPr>
        <w:spacing w:after="80"/>
      </w:pPr>
      <w:r>
        <w:rPr>
          <w:i w:val="0"/>
          <w:color w:val="1C1C1E"/>
          <w:sz w:val="22"/>
        </w:rPr>
        <w:t>What we do:</w:t>
      </w:r>
    </w:p>
    <w:p>
      <w:pPr>
        <w:pStyle w:val="ListBullet"/>
        <w:spacing w:after="40"/>
      </w:pPr>
      <w:r>
        <w:rPr>
          <w:color w:val="1C1C1E"/>
          <w:sz w:val="22"/>
        </w:rPr>
        <w:t>Apply VADER (Hutto &amp; Gilbert 2014) to financial news RSS headlines (~7,500 token lexicon)</w:t>
      </w:r>
    </w:p>
    <w:p>
      <w:pPr>
        <w:pStyle w:val="ListBullet"/>
        <w:spacing w:after="40"/>
      </w:pPr>
      <w:r>
        <w:rPr>
          <w:color w:val="1C1C1E"/>
          <w:sz w:val="22"/>
        </w:rPr>
        <w:t>Compound score in [-1, 1] per headline, daily mean-aggregated</w:t>
      </w:r>
    </w:p>
    <w:p>
      <w:pPr>
        <w:pStyle w:val="ListBullet"/>
        <w:spacing w:after="40"/>
      </w:pPr>
      <w:r>
        <w:rPr>
          <w:color w:val="1C1C1E"/>
          <w:sz w:val="22"/>
        </w:rPr>
        <w:t>3-day forward-fill for news persistence in market memory (Tetlock 2007)</w:t>
      </w:r>
    </w:p>
    <w:p>
      <w:pPr>
        <w:pStyle w:val="ListBullet"/>
        <w:spacing w:after="40"/>
      </w:pPr>
      <w:r>
        <w:rPr>
          <w:color w:val="1C1C1E"/>
          <w:sz w:val="22"/>
        </w:rPr>
        <w:t>Total inference time: ~5ms  |  CPU only  |  No GPU  |  No external API</w:t>
      </w:r>
    </w:p>
    <w:p>
      <w:pPr>
        <w:pStyle w:val="ListBullet"/>
        <w:spacing w:after="40"/>
      </w:pPr>
      <w:r>
        <w:rPr>
          <w:color w:val="1C1C1E"/>
          <w:sz w:val="22"/>
        </w:rPr>
        <w:t>Falls back to 0.0 (neutral) if no news — graceful degradation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D6E4F0"/>
            <w:vAlign w:val="center"/>
          </w:tcPr>
          <w:p>
            <w:r>
              <w:rPr>
                <w:b/>
                <w:color w:val="1D4E89"/>
                <w:sz w:val="20"/>
              </w:rPr>
              <w:t>Property</w:t>
            </w:r>
          </w:p>
        </w:tc>
        <w:tc>
          <w:tcPr>
            <w:tcW w:type="dxa" w:w="4320"/>
            <w:shd w:val="clear" w:color="auto" w:fill="D6E4F0"/>
            <w:vAlign w:val="center"/>
          </w:tcPr>
          <w:p>
            <w:r>
              <w:rPr>
                <w:b/>
                <w:color w:val="1D4E89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7FAFD"/>
          </w:tcPr>
          <w:p>
            <w:r>
              <w:rPr>
                <w:color w:val="1C1C1E"/>
                <w:sz w:val="20"/>
              </w:rPr>
              <w:t>Latency</w:t>
            </w:r>
          </w:p>
        </w:tc>
        <w:tc>
          <w:tcPr>
            <w:tcW w:type="dxa" w:w="4320"/>
            <w:shd w:val="clear" w:color="auto" w:fill="F7FAFD"/>
          </w:tcPr>
          <w:p>
            <w:r>
              <w:rPr>
                <w:color w:val="1C1C1E"/>
                <w:sz w:val="20"/>
              </w:rPr>
              <w:t>~5ms per symbol</w:t>
            </w:r>
          </w:p>
        </w:tc>
      </w:tr>
      <w:tr>
        <w:tc>
          <w:tcPr>
            <w:tcW w:type="dxa" w:w="3600"/>
          </w:tcPr>
          <w:p>
            <w:r>
              <w:rPr>
                <w:color w:val="1C1C1E"/>
                <w:sz w:val="20"/>
              </w:rPr>
              <w:t>Vocabulary size</w:t>
            </w:r>
          </w:p>
        </w:tc>
        <w:tc>
          <w:tcPr>
            <w:tcW w:type="dxa" w:w="4320"/>
          </w:tcPr>
          <w:p>
            <w:r>
              <w:rPr>
                <w:color w:val="1C1C1E"/>
                <w:sz w:val="20"/>
              </w:rPr>
              <w:t>~7,500 tokens</w:t>
            </w:r>
          </w:p>
        </w:tc>
      </w:tr>
      <w:tr>
        <w:tc>
          <w:tcPr>
            <w:tcW w:type="dxa" w:w="3600"/>
            <w:shd w:val="clear" w:color="auto" w:fill="F7FAFD"/>
          </w:tcPr>
          <w:p>
            <w:r>
              <w:rPr>
                <w:color w:val="1C1C1E"/>
                <w:sz w:val="20"/>
              </w:rPr>
              <w:t>Score range</w:t>
            </w:r>
          </w:p>
        </w:tc>
        <w:tc>
          <w:tcPr>
            <w:tcW w:type="dxa" w:w="4320"/>
            <w:shd w:val="clear" w:color="auto" w:fill="F7FAFD"/>
          </w:tcPr>
          <w:p>
            <w:r>
              <w:rPr>
                <w:color w:val="1C1C1E"/>
                <w:sz w:val="20"/>
              </w:rPr>
              <w:t>[-1, 1] (compound)</w:t>
            </w:r>
          </w:p>
        </w:tc>
      </w:tr>
      <w:tr>
        <w:tc>
          <w:tcPr>
            <w:tcW w:type="dxa" w:w="3600"/>
          </w:tcPr>
          <w:p>
            <w:r>
              <w:rPr>
                <w:color w:val="1C1C1E"/>
                <w:sz w:val="20"/>
              </w:rPr>
              <w:t>Forward-fill window</w:t>
            </w:r>
          </w:p>
        </w:tc>
        <w:tc>
          <w:tcPr>
            <w:tcW w:type="dxa" w:w="4320"/>
          </w:tcPr>
          <w:p>
            <w:r>
              <w:rPr>
                <w:color w:val="1C1C1E"/>
                <w:sz w:val="20"/>
              </w:rPr>
              <w:t>3 calendar days</w:t>
            </w:r>
          </w:p>
        </w:tc>
      </w:tr>
      <w:tr>
        <w:tc>
          <w:tcPr>
            <w:tcW w:type="dxa" w:w="3600"/>
            <w:shd w:val="clear" w:color="auto" w:fill="F7FAFD"/>
          </w:tcPr>
          <w:p>
            <w:r>
              <w:rPr>
                <w:color w:val="1C1C1E"/>
                <w:sz w:val="20"/>
              </w:rPr>
              <w:t>GPU required</w:t>
            </w:r>
          </w:p>
        </w:tc>
        <w:tc>
          <w:tcPr>
            <w:tcW w:type="dxa" w:w="4320"/>
            <w:shd w:val="clear" w:color="auto" w:fill="F7FAFD"/>
          </w:tcPr>
          <w:p>
            <w:r>
              <w:rPr>
                <w:color w:val="1C1C1E"/>
                <w:sz w:val="20"/>
              </w:rPr>
              <w:t>No</w:t>
            </w:r>
          </w:p>
        </w:tc>
      </w:tr>
      <w:tr>
        <w:tc>
          <w:tcPr>
            <w:tcW w:type="dxa" w:w="3600"/>
          </w:tcPr>
          <w:p>
            <w:r>
              <w:rPr>
                <w:color w:val="1C1C1E"/>
                <w:sz w:val="20"/>
              </w:rPr>
              <w:t>External API required</w:t>
            </w:r>
          </w:p>
        </w:tc>
        <w:tc>
          <w:tcPr>
            <w:tcW w:type="dxa" w:w="4320"/>
          </w:tcPr>
          <w:p>
            <w:r>
              <w:rPr>
                <w:color w:val="1C1C1E"/>
                <w:sz w:val="20"/>
              </w:rPr>
              <w:t>No</w:t>
            </w:r>
          </w:p>
        </w:tc>
      </w:tr>
    </w:tbl>
    <w:p/>
    <w:p>
      <w:pPr>
        <w:spacing w:after="80"/>
      </w:pPr>
      <w:r>
        <w:rPr>
          <w:i/>
          <w:color w:val="2E86AB"/>
          <w:sz w:val="19"/>
        </w:rPr>
        <w:t>Citation: Hutto &amp; Gilbert (2014) ICWSM. Tetlock (2007) Journal of Finance 62(3).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color w:val="1D4E89"/>
          <w:sz w:val="26"/>
        </w:rPr>
        <w:t>NOVELTY 5 — NSE-Calibrated Almgren-Chriss Transaction Cost Backtesting</w:t>
      </w:r>
    </w:p>
    <w:p>
      <w:pPr>
        <w:spacing w:after="80"/>
      </w:pPr>
      <w:r>
        <w:rPr>
          <w:i w:val="0"/>
          <w:color w:val="1C1C1E"/>
          <w:sz w:val="22"/>
        </w:rPr>
        <w:t>The problem it solves:</w:t>
      </w:r>
    </w:p>
    <w:p>
      <w:pPr>
        <w:pStyle w:val="ListBullet"/>
        <w:spacing w:after="40"/>
      </w:pPr>
      <w:r>
        <w:rPr>
          <w:color w:val="1C1C1E"/>
          <w:sz w:val="22"/>
        </w:rPr>
        <w:t>Published backtests almost universally ignore transaction costs</w:t>
      </w:r>
    </w:p>
    <w:p>
      <w:pPr>
        <w:pStyle w:val="ListBullet"/>
        <w:spacing w:after="40"/>
      </w:pPr>
      <w:r>
        <w:rPr>
          <w:color w:val="1C1C1E"/>
          <w:sz w:val="22"/>
        </w:rPr>
        <w:t>NSE India has a multi-component cost structure that differs significantly from US markets</w:t>
      </w:r>
    </w:p>
    <w:p>
      <w:pPr>
        <w:spacing w:after="80"/>
      </w:pPr>
      <w:r>
        <w:rPr>
          <w:i w:val="0"/>
          <w:color w:val="1C1C1E"/>
          <w:sz w:val="22"/>
        </w:rPr>
        <w:t>What we do — full NSE cost stack per trade: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00"/>
            <w:shd w:val="clear" w:color="auto" w:fill="D6E4F0"/>
            <w:vAlign w:val="center"/>
          </w:tcPr>
          <w:p>
            <w:r>
              <w:rPr>
                <w:b/>
                <w:color w:val="1D4E89"/>
                <w:sz w:val="20"/>
              </w:rPr>
              <w:t>Cost Component</w:t>
            </w:r>
          </w:p>
        </w:tc>
        <w:tc>
          <w:tcPr>
            <w:tcW w:type="dxa" w:w="2160"/>
            <w:shd w:val="clear" w:color="auto" w:fill="D6E4F0"/>
            <w:vAlign w:val="center"/>
          </w:tcPr>
          <w:p>
            <w:r>
              <w:rPr>
                <w:b/>
                <w:color w:val="1D4E89"/>
                <w:sz w:val="20"/>
              </w:rPr>
              <w:t>Buy</w:t>
            </w:r>
          </w:p>
        </w:tc>
        <w:tc>
          <w:tcPr>
            <w:tcW w:type="dxa" w:w="2160"/>
            <w:shd w:val="clear" w:color="auto" w:fill="D6E4F0"/>
            <w:vAlign w:val="center"/>
          </w:tcPr>
          <w:p>
            <w:r>
              <w:rPr>
                <w:b/>
                <w:color w:val="1D4E89"/>
                <w:sz w:val="20"/>
              </w:rPr>
              <w:t>Sell</w:t>
            </w:r>
          </w:p>
        </w:tc>
      </w:tr>
      <w:tr>
        <w:tc>
          <w:tcPr>
            <w:tcW w:type="dxa" w:w="3600"/>
            <w:shd w:val="clear" w:color="auto" w:fill="F7FAFD"/>
          </w:tcPr>
          <w:p>
            <w:r>
              <w:rPr>
                <w:color w:val="1C1C1E"/>
                <w:sz w:val="20"/>
              </w:rPr>
              <w:t>Brokerage</w:t>
            </w:r>
          </w:p>
        </w:tc>
        <w:tc>
          <w:tcPr>
            <w:tcW w:type="dxa" w:w="2160"/>
            <w:shd w:val="clear" w:color="auto" w:fill="F7FAFD"/>
          </w:tcPr>
          <w:p>
            <w:r>
              <w:rPr>
                <w:color w:val="1C1C1E"/>
                <w:sz w:val="20"/>
              </w:rPr>
              <w:t>0.03%</w:t>
            </w:r>
          </w:p>
        </w:tc>
        <w:tc>
          <w:tcPr>
            <w:tcW w:type="dxa" w:w="2160"/>
            <w:shd w:val="clear" w:color="auto" w:fill="F7FAFD"/>
          </w:tcPr>
          <w:p>
            <w:r>
              <w:rPr>
                <w:color w:val="1C1C1E"/>
                <w:sz w:val="20"/>
              </w:rPr>
              <w:t>0.03%</w:t>
            </w:r>
          </w:p>
        </w:tc>
      </w:tr>
      <w:tr>
        <w:tc>
          <w:tcPr>
            <w:tcW w:type="dxa" w:w="3600"/>
          </w:tcPr>
          <w:p>
            <w:r>
              <w:rPr>
                <w:color w:val="1C1C1E"/>
                <w:sz w:val="20"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color w:val="1C1C1E"/>
                <w:sz w:val="20"/>
              </w:rPr>
              <w:t>0.00%</w:t>
            </w:r>
          </w:p>
        </w:tc>
        <w:tc>
          <w:tcPr>
            <w:tcW w:type="dxa" w:w="2160"/>
          </w:tcPr>
          <w:p>
            <w:r>
              <w:rPr>
                <w:color w:val="1C1C1E"/>
                <w:sz w:val="20"/>
              </w:rPr>
              <w:t>0.10%</w:t>
            </w:r>
          </w:p>
        </w:tc>
      </w:tr>
      <w:tr>
        <w:tc>
          <w:tcPr>
            <w:tcW w:type="dxa" w:w="3600"/>
            <w:shd w:val="clear" w:color="auto" w:fill="F7FAFD"/>
          </w:tcPr>
          <w:p>
            <w:r>
              <w:rPr>
                <w:color w:val="1C1C1E"/>
                <w:sz w:val="20"/>
              </w:rPr>
              <w:t>GST on brokerage</w:t>
            </w:r>
          </w:p>
        </w:tc>
        <w:tc>
          <w:tcPr>
            <w:tcW w:type="dxa" w:w="2160"/>
            <w:shd w:val="clear" w:color="auto" w:fill="F7FAFD"/>
          </w:tcPr>
          <w:p>
            <w:r>
              <w:rPr>
                <w:color w:val="1C1C1E"/>
                <w:sz w:val="20"/>
              </w:rPr>
              <w:t>~0.005%</w:t>
            </w:r>
          </w:p>
        </w:tc>
        <w:tc>
          <w:tcPr>
            <w:tcW w:type="dxa" w:w="2160"/>
            <w:shd w:val="clear" w:color="auto" w:fill="F7FAFD"/>
          </w:tcPr>
          <w:p>
            <w:r>
              <w:rPr>
                <w:color w:val="1C1C1E"/>
                <w:sz w:val="20"/>
              </w:rPr>
              <w:t>~0.005%</w:t>
            </w:r>
          </w:p>
        </w:tc>
      </w:tr>
      <w:tr>
        <w:tc>
          <w:tcPr>
            <w:tcW w:type="dxa" w:w="3600"/>
          </w:tcPr>
          <w:p>
            <w:r>
              <w:rPr>
                <w:color w:val="1C1C1E"/>
                <w:sz w:val="20"/>
              </w:rPr>
              <w:t>SEBI charges</w:t>
            </w:r>
          </w:p>
        </w:tc>
        <w:tc>
          <w:tcPr>
            <w:tcW w:type="dxa" w:w="2160"/>
          </w:tcPr>
          <w:p>
            <w:r>
              <w:rPr>
                <w:color w:val="1C1C1E"/>
                <w:sz w:val="20"/>
              </w:rPr>
              <w:t>0.0001%</w:t>
            </w:r>
          </w:p>
        </w:tc>
        <w:tc>
          <w:tcPr>
            <w:tcW w:type="dxa" w:w="2160"/>
          </w:tcPr>
          <w:p>
            <w:r>
              <w:rPr>
                <w:color w:val="1C1C1E"/>
                <w:sz w:val="20"/>
              </w:rPr>
              <w:t>0.0001%</w:t>
            </w:r>
          </w:p>
        </w:tc>
      </w:tr>
      <w:tr>
        <w:tc>
          <w:tcPr>
            <w:tcW w:type="dxa" w:w="3600"/>
            <w:shd w:val="clear" w:color="auto" w:fill="F7FAFD"/>
          </w:tcPr>
          <w:p>
            <w:r>
              <w:rPr>
                <w:color w:val="1C1C1E"/>
                <w:sz w:val="20"/>
              </w:rPr>
              <w:t>Stamp duty</w:t>
            </w:r>
          </w:p>
        </w:tc>
        <w:tc>
          <w:tcPr>
            <w:tcW w:type="dxa" w:w="2160"/>
            <w:shd w:val="clear" w:color="auto" w:fill="F7FAFD"/>
          </w:tcPr>
          <w:p>
            <w:r>
              <w:rPr>
                <w:color w:val="1C1C1E"/>
                <w:sz w:val="20"/>
              </w:rPr>
              <w:t>0.015%</w:t>
            </w:r>
          </w:p>
        </w:tc>
        <w:tc>
          <w:tcPr>
            <w:tcW w:type="dxa" w:w="2160"/>
            <w:shd w:val="clear" w:color="auto" w:fill="F7FAFD"/>
          </w:tcPr>
          <w:p>
            <w:r>
              <w:rPr>
                <w:color w:val="1C1C1E"/>
                <w:sz w:val="20"/>
              </w:rPr>
              <w:t>0.00%</w:t>
            </w:r>
          </w:p>
        </w:tc>
      </w:tr>
      <w:tr>
        <w:tc>
          <w:tcPr>
            <w:tcW w:type="dxa" w:w="3600"/>
          </w:tcPr>
          <w:p>
            <w:r>
              <w:rPr>
                <w:color w:val="1C1C1E"/>
                <w:sz w:val="20"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color w:val="1C1C1E"/>
                <w:sz w:val="20"/>
              </w:rPr>
              <w:t>~0.051%</w:t>
            </w:r>
          </w:p>
        </w:tc>
        <w:tc>
          <w:tcPr>
            <w:tcW w:type="dxa" w:w="2160"/>
          </w:tcPr>
          <w:p>
            <w:r>
              <w:rPr>
                <w:color w:val="1C1C1E"/>
                <w:sz w:val="20"/>
              </w:rPr>
              <w:t>~0.136%</w:t>
            </w:r>
          </w:p>
        </w:tc>
      </w:tr>
    </w:tbl>
    <w:p/>
    <w:p>
      <w:pPr>
        <w:spacing w:after="80"/>
      </w:pPr>
      <w:r>
        <w:rPr>
          <w:i w:val="0"/>
          <w:color w:val="1C1C1E"/>
          <w:sz w:val="22"/>
        </w:rPr>
        <w:t>Add Almgren-Chriss linear market impact (slippage):</w:t>
      </w:r>
    </w:p>
    <w:p>
      <w:pPr>
        <w:spacing w:before="40" w:after="120"/>
        <w:ind w:left="432"/>
      </w:pPr>
      <w:r>
        <w:rPr>
          <w:rFonts w:ascii="Courier New" w:hAnsi="Courier New"/>
          <w:color w:val="1A6B3A"/>
          <w:sz w:val="19"/>
        </w:rPr>
        <w:t>slippage(t) = η · σ_t · sqrt(v_t / V_t)</w:t>
        <w:br/>
        <w:t>where η = market impact constant, σ_t = daily volatility,</w:t>
        <w:br/>
        <w:t xml:space="preserve">      v_t = order size, V_t = average daily volume</w:t>
      </w:r>
    </w:p>
    <w:p>
      <w:pPr>
        <w:spacing w:after="80"/>
      </w:pPr>
      <w:r>
        <w:rPr>
          <w:i w:val="0"/>
          <w:color w:val="1C1C1E"/>
          <w:sz w:val="22"/>
        </w:rPr>
        <w:t>New metrics: cost_adjusted_return_pct | cost_drag_vs_gross | sortino_ratio | calmar_ratio</w:t>
      </w:r>
    </w:p>
    <w:p>
      <w:pPr>
        <w:spacing w:after="80"/>
      </w:pPr>
      <w:r>
        <w:rPr>
          <w:i w:val="0"/>
          <w:color w:val="1C1C1E"/>
          <w:sz w:val="22"/>
        </w:rPr>
        <w:t>Critically: backtested only on out-of-fold (OOF) predictions — not in-sample.</w:t>
      </w:r>
    </w:p>
    <w:p>
      <w:pPr>
        <w:spacing w:after="80"/>
      </w:pPr>
      <w:r>
        <w:rPr>
          <w:i/>
          <w:color w:val="2E86AB"/>
          <w:sz w:val="19"/>
        </w:rPr>
        <w:t>Citation: Almgren &amp; Chriss (2001) Journal of Risk 3(2): 5–40.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color w:val="1D4E89"/>
          <w:sz w:val="26"/>
        </w:rPr>
        <w:t>NOVELTY 6 — 3-Day Embargo Gap for Leakage-Free Walk-Forward Splits</w:t>
      </w:r>
    </w:p>
    <w:p>
      <w:pPr>
        <w:spacing w:after="80"/>
      </w:pPr>
      <w:r>
        <w:rPr>
          <w:i w:val="0"/>
          <w:color w:val="1C1C1E"/>
          <w:sz w:val="22"/>
        </w:rPr>
        <w:t>The problem it solves:</w:t>
      </w:r>
    </w:p>
    <w:p>
      <w:pPr>
        <w:pStyle w:val="ListBullet"/>
        <w:spacing w:after="40"/>
      </w:pPr>
      <w:r>
        <w:rPr>
          <w:color w:val="1C1C1E"/>
          <w:sz w:val="22"/>
        </w:rPr>
        <w:t>Forward return target(t) = (P[t+3] - P[t]) / P[t]</w:t>
      </w:r>
    </w:p>
    <w:p>
      <w:pPr>
        <w:pStyle w:val="ListBullet"/>
        <w:spacing w:after="40"/>
      </w:pPr>
      <w:r>
        <w:rPr>
          <w:color w:val="1C1C1E"/>
          <w:sz w:val="22"/>
        </w:rPr>
        <w:t>Without embargo: last 3 training rows have labels overlapping test-set dates → look-ahead bias</w:t>
      </w:r>
    </w:p>
    <w:p>
      <w:pPr>
        <w:pStyle w:val="ListBullet"/>
        <w:spacing w:after="40"/>
      </w:pPr>
      <w:r>
        <w:rPr>
          <w:color w:val="1C1C1E"/>
          <w:sz w:val="22"/>
        </w:rPr>
        <w:t>Published results without embargo are optimistic lies (López de Prado 2018)</w:t>
      </w:r>
    </w:p>
    <w:p>
      <w:pPr>
        <w:spacing w:after="80"/>
      </w:pPr>
      <w:r>
        <w:rPr>
          <w:i w:val="0"/>
          <w:color w:val="1C1C1E"/>
          <w:sz w:val="22"/>
        </w:rPr>
        <w:t>What we do:</w:t>
      </w:r>
    </w:p>
    <w:p>
      <w:pPr>
        <w:pStyle w:val="ListBullet"/>
        <w:spacing w:after="40"/>
      </w:pPr>
      <w:r>
        <w:rPr>
          <w:color w:val="1C1C1E"/>
          <w:sz w:val="22"/>
        </w:rPr>
        <w:t>Add embargo_horizon=3 to WalkForwardSplitter.split()</w:t>
      </w:r>
    </w:p>
    <w:p>
      <w:pPr>
        <w:pStyle w:val="ListBullet"/>
        <w:spacing w:after="40"/>
      </w:pPr>
      <w:r>
        <w:rPr>
          <w:color w:val="1C1C1E"/>
          <w:sz w:val="22"/>
        </w:rPr>
        <w:t>train_end = test_start - embargo_horizon  (3-row purge zone)</w:t>
      </w:r>
    </w:p>
    <w:p>
      <w:pPr>
        <w:pStyle w:val="ListBullet"/>
        <w:spacing w:after="40"/>
      </w:pPr>
      <w:r>
        <w:rPr>
          <w:color w:val="1C1C1E"/>
          <w:sz w:val="22"/>
        </w:rPr>
        <w:t>Hard assertion: max(train_idx) + embargo &lt; min(test_idx) — enforced every fold</w:t>
      </w:r>
    </w:p>
    <w:p>
      <w:pPr>
        <w:spacing w:before="40" w:after="120"/>
        <w:ind w:left="432"/>
      </w:pPr>
      <w:r>
        <w:rPr>
          <w:rFonts w:ascii="Courier New" w:hAnsi="Courier New"/>
          <w:color w:val="1A6B3A"/>
          <w:sz w:val="19"/>
        </w:rPr>
        <w:t>Without embargo:  [===========train===========][test]</w:t>
        <w:br/>
        <w:t xml:space="preserve">                                               ↑ last 3 train rows leak</w:t>
        <w:br/>
        <w:t>With embargo:     [=========train=========][gap][test]</w:t>
        <w:br/>
        <w:t xml:space="preserve">                                           ↑ 3-row purge zone</w:t>
      </w:r>
    </w:p>
    <w:p>
      <w:pPr>
        <w:spacing w:after="80"/>
      </w:pPr>
      <w:r>
        <w:rPr>
          <w:i w:val="0"/>
          <w:color w:val="1C1C1E"/>
          <w:sz w:val="22"/>
        </w:rPr>
        <w:t>To our knowledge, no open-source Python walk-forward validator enforces this embargo as a configurable parameter with a hard assertion.</w:t>
      </w:r>
    </w:p>
    <w:p>
      <w:pPr>
        <w:spacing w:after="80"/>
      </w:pPr>
      <w:r>
        <w:rPr>
          <w:i/>
          <w:color w:val="2E86AB"/>
          <w:sz w:val="19"/>
        </w:rPr>
        <w:t>Citation: López de Prado (2018) Advances in Financial Machine Learning, Ch. 7.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color w:val="1D4E89"/>
          <w:sz w:val="26"/>
        </w:rPr>
        <w:t>NOVELTY 7 — Property-Based Invariant Testing for Financial ML Pipelines</w:t>
      </w:r>
    </w:p>
    <w:p>
      <w:pPr>
        <w:spacing w:after="80"/>
      </w:pPr>
      <w:r>
        <w:rPr>
          <w:i w:val="0"/>
          <w:color w:val="1C1C1E"/>
          <w:sz w:val="22"/>
        </w:rPr>
        <w:t>The problem it solves:</w:t>
      </w:r>
    </w:p>
    <w:p>
      <w:pPr>
        <w:pStyle w:val="ListBullet"/>
        <w:spacing w:after="40"/>
      </w:pPr>
      <w:r>
        <w:rPr>
          <w:color w:val="1C1C1E"/>
          <w:sz w:val="22"/>
        </w:rPr>
        <w:t>Value-based ML tests ("accuracy &gt; 0.65") are brittle — they break whenever the model is retrained</w:t>
      </w:r>
    </w:p>
    <w:p>
      <w:pPr>
        <w:pStyle w:val="ListBullet"/>
        <w:spacing w:after="40"/>
      </w:pPr>
      <w:r>
        <w:rPr>
          <w:color w:val="1C1C1E"/>
          <w:sz w:val="22"/>
        </w:rPr>
        <w:t>This makes CI/CD for ML systems unreliable</w:t>
      </w:r>
    </w:p>
    <w:p>
      <w:pPr>
        <w:spacing w:after="80"/>
      </w:pPr>
      <w:r>
        <w:rPr>
          <w:i w:val="0"/>
          <w:color w:val="1C1C1E"/>
          <w:sz w:val="22"/>
        </w:rPr>
        <w:t>What we do — test invariants (true for ANY valid input):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68"/>
            <w:shd w:val="clear" w:color="auto" w:fill="D6E4F0"/>
            <w:vAlign w:val="center"/>
          </w:tcPr>
          <w:p>
            <w:r>
              <w:rPr>
                <w:b/>
                <w:color w:val="1D4E89"/>
                <w:sz w:val="20"/>
              </w:rPr>
              <w:t>Invariant</w:t>
            </w:r>
          </w:p>
        </w:tc>
        <w:tc>
          <w:tcPr>
            <w:tcW w:type="dxa" w:w="5760"/>
            <w:shd w:val="clear" w:color="auto" w:fill="D6E4F0"/>
            <w:vAlign w:val="center"/>
          </w:tcPr>
          <w:p>
            <w:r>
              <w:rPr>
                <w:b/>
                <w:color w:val="1D4E89"/>
                <w:sz w:val="20"/>
              </w:rPr>
              <w:t>Formal Statement</w:t>
            </w:r>
          </w:p>
        </w:tc>
      </w:tr>
      <w:tr>
        <w:tc>
          <w:tcPr>
            <w:tcW w:type="dxa" w:w="3168"/>
            <w:shd w:val="clear" w:color="auto" w:fill="F7FAFD"/>
          </w:tcPr>
          <w:p>
            <w:r>
              <w:rPr>
                <w:color w:val="1C1C1E"/>
                <w:sz w:val="20"/>
              </w:rPr>
              <w:t>No leakage</w:t>
            </w:r>
          </w:p>
        </w:tc>
        <w:tc>
          <w:tcPr>
            <w:tcW w:type="dxa" w:w="5760"/>
            <w:shd w:val="clear" w:color="auto" w:fill="F7FAFD"/>
          </w:tcPr>
          <w:p>
            <w:r>
              <w:rPr>
                <w:color w:val="1C1C1E"/>
                <w:sz w:val="20"/>
              </w:rPr>
              <w:t>∀ fold: max(train_idx) + embargo &lt; min(test_idx)</w:t>
            </w:r>
          </w:p>
        </w:tc>
      </w:tr>
      <w:tr>
        <w:tc>
          <w:tcPr>
            <w:tcW w:type="dxa" w:w="3168"/>
          </w:tcPr>
          <w:p>
            <w:r>
              <w:rPr>
                <w:color w:val="1C1C1E"/>
                <w:sz w:val="20"/>
              </w:rPr>
              <w:t>Monotonicity</w:t>
            </w:r>
          </w:p>
        </w:tc>
        <w:tc>
          <w:tcPr>
            <w:tcW w:type="dxa" w:w="5760"/>
          </w:tcPr>
          <w:p>
            <w:r>
              <w:rPr>
                <w:color w:val="1C1C1E"/>
                <w:sz w:val="20"/>
              </w:rPr>
              <w:t>len(df) ↑  →  len(feature_matrix) ↑</w:t>
            </w:r>
          </w:p>
        </w:tc>
      </w:tr>
      <w:tr>
        <w:tc>
          <w:tcPr>
            <w:tcW w:type="dxa" w:w="3168"/>
            <w:shd w:val="clear" w:color="auto" w:fill="F7FAFD"/>
          </w:tcPr>
          <w:p>
            <w:r>
              <w:rPr>
                <w:color w:val="1C1C1E"/>
                <w:sz w:val="20"/>
              </w:rPr>
              <w:t>Feature count</w:t>
            </w:r>
          </w:p>
        </w:tc>
        <w:tc>
          <w:tcPr>
            <w:tcW w:type="dxa" w:w="5760"/>
            <w:shd w:val="clear" w:color="auto" w:fill="F7FAFD"/>
          </w:tcPr>
          <w:p>
            <w:r>
              <w:rPr>
                <w:color w:val="1C1C1E"/>
                <w:sz w:val="20"/>
              </w:rPr>
              <w:t>|FEATURE_COLUMNS| = 17, always</w:t>
            </w:r>
          </w:p>
        </w:tc>
      </w:tr>
      <w:tr>
        <w:tc>
          <w:tcPr>
            <w:tcW w:type="dxa" w:w="3168"/>
          </w:tcPr>
          <w:p>
            <w:r>
              <w:rPr>
                <w:color w:val="1C1C1E"/>
                <w:sz w:val="20"/>
              </w:rPr>
              <w:t>Speedup bound</w:t>
            </w:r>
          </w:p>
        </w:tc>
        <w:tc>
          <w:tcPr>
            <w:tcW w:type="dxa" w:w="5760"/>
          </w:tcPr>
          <w:p>
            <w:r>
              <w:rPr>
                <w:color w:val="1C1C1E"/>
                <w:sz w:val="20"/>
              </w:rPr>
              <w:t>parallel_time &lt; serial_time</w:t>
            </w:r>
          </w:p>
        </w:tc>
      </w:tr>
      <w:tr>
        <w:tc>
          <w:tcPr>
            <w:tcW w:type="dxa" w:w="3168"/>
            <w:shd w:val="clear" w:color="auto" w:fill="F7FAFD"/>
          </w:tcPr>
          <w:p>
            <w:r>
              <w:rPr>
                <w:color w:val="1C1C1E"/>
                <w:sz w:val="20"/>
              </w:rPr>
              <w:t>Cost monotonicity</w:t>
            </w:r>
          </w:p>
        </w:tc>
        <w:tc>
          <w:tcPr>
            <w:tcW w:type="dxa" w:w="5760"/>
            <w:shd w:val="clear" w:color="auto" w:fill="F7FAFD"/>
          </w:tcPr>
          <w:p>
            <w:r>
              <w:rPr>
                <w:color w:val="1C1C1E"/>
                <w:sz w:val="20"/>
              </w:rPr>
              <w:t>cost_adjusted_return ≤ gross_return</w:t>
            </w:r>
          </w:p>
        </w:tc>
      </w:tr>
      <w:tr>
        <w:tc>
          <w:tcPr>
            <w:tcW w:type="dxa" w:w="3168"/>
          </w:tcPr>
          <w:p>
            <w:r>
              <w:rPr>
                <w:color w:val="1C1C1E"/>
                <w:sz w:val="20"/>
              </w:rPr>
              <w:t>Persistence</w:t>
            </w:r>
          </w:p>
        </w:tc>
        <w:tc>
          <w:tcPr>
            <w:tcW w:type="dxa" w:w="5760"/>
          </w:tcPr>
          <w:p>
            <w:r>
              <w:rPr>
                <w:color w:val="1C1C1E"/>
                <w:sz w:val="20"/>
              </w:rPr>
              <w:t>save → load → predict gives identical output</w:t>
            </w:r>
          </w:p>
        </w:tc>
      </w:tr>
      <w:tr>
        <w:tc>
          <w:tcPr>
            <w:tcW w:type="dxa" w:w="3168"/>
            <w:shd w:val="clear" w:color="auto" w:fill="F7FAFD"/>
          </w:tcPr>
          <w:p>
            <w:r>
              <w:rPr>
                <w:color w:val="1C1C1E"/>
                <w:sz w:val="20"/>
              </w:rPr>
              <w:t>Class balance</w:t>
            </w:r>
          </w:p>
        </w:tc>
        <w:tc>
          <w:tcPr>
            <w:tcW w:type="dxa" w:w="5760"/>
            <w:shd w:val="clear" w:color="auto" w:fill="F7FAFD"/>
          </w:tcPr>
          <w:p>
            <w:r>
              <w:rPr>
                <w:color w:val="1C1C1E"/>
                <w:sz w:val="20"/>
              </w:rPr>
              <w:t>no class dominates &gt;70% of OOF predictions</w:t>
            </w:r>
          </w:p>
        </w:tc>
      </w:tr>
    </w:tbl>
    <w:p/>
    <w:p>
      <w:pPr>
        <w:spacing w:after="80"/>
      </w:pPr>
      <w:r>
        <w:rPr>
          <w:i w:val="0"/>
          <w:color w:val="1C1C1E"/>
          <w:sz w:val="22"/>
        </w:rPr>
        <w:t>Result: 29 passing tests, all invariant-based, stable across model retraining.</w:t>
      </w:r>
    </w:p>
    <w:p>
      <w:pPr>
        <w:spacing w:after="80"/>
      </w:pPr>
      <w:r>
        <w:rPr>
          <w:i/>
          <w:color w:val="2E86AB"/>
          <w:sz w:val="19"/>
        </w:rPr>
        <w:t>Citation: Claessen &amp; Hughes (2000) QuickCheck, ICFP 2000.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color w:val="1D4E89"/>
          <w:sz w:val="26"/>
        </w:rPr>
        <w:t>NOVELTY 8 — Feature Hash Versioning for Schema Drift Detection</w:t>
      </w:r>
    </w:p>
    <w:p>
      <w:pPr>
        <w:spacing w:after="80"/>
      </w:pPr>
      <w:r>
        <w:rPr>
          <w:i w:val="0"/>
          <w:color w:val="1C1C1E"/>
          <w:sz w:val="22"/>
        </w:rPr>
        <w:t>The problem it solves:</w:t>
      </w:r>
    </w:p>
    <w:p>
      <w:pPr>
        <w:pStyle w:val="ListBullet"/>
        <w:spacing w:after="40"/>
      </w:pPr>
      <w:r>
        <w:rPr>
          <w:color w:val="1C1C1E"/>
          <w:sz w:val="22"/>
        </w:rPr>
        <w:t>Sculley et al. (2015) identify schema drift as the most destructive form of ML technical debt</w:t>
      </w:r>
    </w:p>
    <w:p>
      <w:pPr>
        <w:pStyle w:val="ListBullet"/>
        <w:spacing w:after="40"/>
      </w:pPr>
      <w:r>
        <w:rPr>
          <w:color w:val="1C1C1E"/>
          <w:sz w:val="22"/>
        </w:rPr>
        <w:t>Serving predictions from a model trained on 16 features when the live system generates 17 is a silent, catastrophic failure</w:t>
      </w:r>
    </w:p>
    <w:p>
      <w:pPr>
        <w:spacing w:after="80"/>
      </w:pPr>
      <w:r>
        <w:rPr>
          <w:i w:val="0"/>
          <w:color w:val="1C1C1E"/>
          <w:sz w:val="22"/>
        </w:rPr>
        <w:t>What we do:</w:t>
      </w:r>
    </w:p>
    <w:p>
      <w:pPr>
        <w:pStyle w:val="ListBullet"/>
        <w:spacing w:after="40"/>
      </w:pPr>
      <w:r>
        <w:rPr>
          <w:color w:val="1C1C1E"/>
          <w:sz w:val="22"/>
        </w:rPr>
        <w:t>On every model save: SHA-256(sorted(FEATURE_COLUMNS)) → feature_hash</w:t>
      </w:r>
    </w:p>
    <w:p>
      <w:pPr>
        <w:pStyle w:val="ListBullet"/>
        <w:spacing w:after="40"/>
      </w:pPr>
      <w:r>
        <w:rPr>
          <w:color w:val="1C1C1E"/>
          <w:sz w:val="22"/>
        </w:rPr>
        <w:t>Store in metadata file alongside the pickled model</w:t>
      </w:r>
    </w:p>
    <w:p>
      <w:pPr>
        <w:pStyle w:val="ListBullet"/>
        <w:spacing w:after="40"/>
      </w:pPr>
      <w:r>
        <w:rPr>
          <w:color w:val="1C1C1E"/>
          <w:sz w:val="22"/>
        </w:rPr>
        <w:t>On every model load: verify hash matches current runtime FEATURE_COLUMNS</w:t>
      </w:r>
    </w:p>
    <w:p>
      <w:pPr>
        <w:pStyle w:val="ListBullet"/>
        <w:spacing w:after="40"/>
      </w:pPr>
      <w:r>
        <w:rPr>
          <w:color w:val="1C1C1E"/>
          <w:sz w:val="22"/>
        </w:rPr>
        <w:t>If mismatch → reject model and force retraining</w:t>
      </w:r>
    </w:p>
    <w:p>
      <w:pPr>
        <w:spacing w:before="40" w:after="120"/>
        <w:ind w:left="432"/>
      </w:pPr>
      <w:r>
        <w:rPr>
          <w:rFonts w:ascii="Courier New" w:hAnsi="Courier New"/>
          <w:color w:val="1A6B3A"/>
          <w:sz w:val="19"/>
        </w:rPr>
        <w:t>Model filename: {symbol}_rf_{feature_hash}_{date}.pkl</w:t>
        <w:br/>
        <w:t>Metadata:       {symbol}_rf_{feature_hash}_{date}_meta.json</w:t>
      </w:r>
    </w:p>
    <w:p>
      <w:pPr>
        <w:spacing w:after="80"/>
      </w:pPr>
      <w:r>
        <w:rPr>
          <w:i w:val="0"/>
          <w:color w:val="1C1C1E"/>
          <w:sz w:val="22"/>
        </w:rPr>
        <w:t>SHA-256 of sorted column names: insensitive to list ordering, sensitive to any addition, deletion, or rename.</w:t>
      </w:r>
    </w:p>
    <w:p>
      <w:pPr>
        <w:spacing w:after="80"/>
      </w:pPr>
      <w:r>
        <w:rPr>
          <w:i/>
          <w:color w:val="2E86AB"/>
          <w:sz w:val="19"/>
        </w:rPr>
        <w:t>Citation: Sculley et al. (2015) Hidden Technical Debt in ML Systems. NIPS 28.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color w:val="1A233A"/>
          <w:sz w:val="28"/>
        </w:rPr>
        <w:t>2. Complete Feature Engineering Table (17 Features)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504"/>
            <w:shd w:val="clear" w:color="auto" w:fill="D6E4F0"/>
            <w:vAlign w:val="center"/>
          </w:tcPr>
          <w:p>
            <w:r>
              <w:rPr>
                <w:b/>
                <w:color w:val="1D4E89"/>
                <w:sz w:val="20"/>
              </w:rPr>
              <w:t>#</w:t>
            </w:r>
          </w:p>
        </w:tc>
        <w:tc>
          <w:tcPr>
            <w:tcW w:type="dxa" w:w="2448"/>
            <w:shd w:val="clear" w:color="auto" w:fill="D6E4F0"/>
            <w:vAlign w:val="center"/>
          </w:tcPr>
          <w:p>
            <w:r>
              <w:rPr>
                <w:b/>
                <w:color w:val="1D4E89"/>
                <w:sz w:val="20"/>
              </w:rPr>
              <w:t>Feature</w:t>
            </w:r>
          </w:p>
        </w:tc>
        <w:tc>
          <w:tcPr>
            <w:tcW w:type="dxa" w:w="2016"/>
            <w:shd w:val="clear" w:color="auto" w:fill="D6E4F0"/>
            <w:vAlign w:val="center"/>
          </w:tcPr>
          <w:p>
            <w:r>
              <w:rPr>
                <w:b/>
                <w:color w:val="1D4E89"/>
                <w:sz w:val="20"/>
              </w:rPr>
              <w:t>Type</w:t>
            </w:r>
          </w:p>
        </w:tc>
        <w:tc>
          <w:tcPr>
            <w:tcW w:type="dxa" w:w="3888"/>
            <w:shd w:val="clear" w:color="auto" w:fill="D6E4F0"/>
            <w:vAlign w:val="center"/>
          </w:tcPr>
          <w:p>
            <w:r>
              <w:rPr>
                <w:b/>
                <w:color w:val="1D4E89"/>
                <w:sz w:val="20"/>
              </w:rPr>
              <w:t>Source / Citation</w:t>
            </w:r>
          </w:p>
        </w:tc>
      </w:tr>
      <w:tr>
        <w:tc>
          <w:tcPr>
            <w:tcW w:type="dxa" w:w="504"/>
            <w:shd w:val="clear" w:color="auto" w:fill="F7FAFD"/>
          </w:tcPr>
          <w:p>
            <w:r>
              <w:rPr>
                <w:color w:val="1C1C1E"/>
                <w:sz w:val="20"/>
              </w:rPr>
              <w:t>1</w:t>
            </w:r>
          </w:p>
        </w:tc>
        <w:tc>
          <w:tcPr>
            <w:tcW w:type="dxa" w:w="2448"/>
            <w:shd w:val="clear" w:color="auto" w:fill="F7FAFD"/>
          </w:tcPr>
          <w:p>
            <w:r>
              <w:rPr>
                <w:color w:val="1C1C1E"/>
                <w:sz w:val="20"/>
              </w:rPr>
              <w:t>ret_1d</w:t>
            </w:r>
          </w:p>
        </w:tc>
        <w:tc>
          <w:tcPr>
            <w:tcW w:type="dxa" w:w="2016"/>
            <w:shd w:val="clear" w:color="auto" w:fill="F7FAFD"/>
          </w:tcPr>
          <w:p>
            <w:r>
              <w:rPr>
                <w:color w:val="1C1C1E"/>
                <w:sz w:val="20"/>
              </w:rPr>
              <w:t>Lagged return</w:t>
            </w:r>
          </w:p>
        </w:tc>
        <w:tc>
          <w:tcPr>
            <w:tcW w:type="dxa" w:w="3888"/>
            <w:shd w:val="clear" w:color="auto" w:fill="F7FAFD"/>
          </w:tcPr>
          <w:p>
            <w:r>
              <w:rPr>
                <w:color w:val="1C1C1E"/>
                <w:sz w:val="20"/>
              </w:rPr>
              <w:t>Price</w:t>
            </w:r>
          </w:p>
        </w:tc>
      </w:tr>
      <w:tr>
        <w:tc>
          <w:tcPr>
            <w:tcW w:type="dxa" w:w="504"/>
          </w:tcPr>
          <w:p>
            <w:r>
              <w:rPr>
                <w:color w:val="1C1C1E"/>
                <w:sz w:val="20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color w:val="1C1C1E"/>
                <w:sz w:val="20"/>
              </w:rPr>
              <w:t>ret_2d</w:t>
            </w:r>
          </w:p>
        </w:tc>
        <w:tc>
          <w:tcPr>
            <w:tcW w:type="dxa" w:w="2016"/>
          </w:tcPr>
          <w:p>
            <w:r>
              <w:rPr>
                <w:color w:val="1C1C1E"/>
                <w:sz w:val="20"/>
              </w:rPr>
              <w:t>Lagged return</w:t>
            </w:r>
          </w:p>
        </w:tc>
        <w:tc>
          <w:tcPr>
            <w:tcW w:type="dxa" w:w="3888"/>
          </w:tcPr>
          <w:p>
            <w:r>
              <w:rPr>
                <w:color w:val="1C1C1E"/>
                <w:sz w:val="20"/>
              </w:rPr>
              <w:t>Price</w:t>
            </w:r>
          </w:p>
        </w:tc>
      </w:tr>
      <w:tr>
        <w:tc>
          <w:tcPr>
            <w:tcW w:type="dxa" w:w="504"/>
            <w:shd w:val="clear" w:color="auto" w:fill="F7FAFD"/>
          </w:tcPr>
          <w:p>
            <w:r>
              <w:rPr>
                <w:color w:val="1C1C1E"/>
                <w:sz w:val="20"/>
              </w:rPr>
              <w:t>3</w:t>
            </w:r>
          </w:p>
        </w:tc>
        <w:tc>
          <w:tcPr>
            <w:tcW w:type="dxa" w:w="2448"/>
            <w:shd w:val="clear" w:color="auto" w:fill="F7FAFD"/>
          </w:tcPr>
          <w:p>
            <w:r>
              <w:rPr>
                <w:color w:val="1C1C1E"/>
                <w:sz w:val="20"/>
              </w:rPr>
              <w:t>ret_3d</w:t>
            </w:r>
          </w:p>
        </w:tc>
        <w:tc>
          <w:tcPr>
            <w:tcW w:type="dxa" w:w="2016"/>
            <w:shd w:val="clear" w:color="auto" w:fill="F7FAFD"/>
          </w:tcPr>
          <w:p>
            <w:r>
              <w:rPr>
                <w:color w:val="1C1C1E"/>
                <w:sz w:val="20"/>
              </w:rPr>
              <w:t>Lagged return</w:t>
            </w:r>
          </w:p>
        </w:tc>
        <w:tc>
          <w:tcPr>
            <w:tcW w:type="dxa" w:w="3888"/>
            <w:shd w:val="clear" w:color="auto" w:fill="F7FAFD"/>
          </w:tcPr>
          <w:p>
            <w:r>
              <w:rPr>
                <w:color w:val="1C1C1E"/>
                <w:sz w:val="20"/>
              </w:rPr>
              <w:t>Price</w:t>
            </w:r>
          </w:p>
        </w:tc>
      </w:tr>
      <w:tr>
        <w:tc>
          <w:tcPr>
            <w:tcW w:type="dxa" w:w="504"/>
          </w:tcPr>
          <w:p>
            <w:r>
              <w:rPr>
                <w:color w:val="1C1C1E"/>
                <w:sz w:val="20"/>
              </w:rPr>
              <w:t>4</w:t>
            </w:r>
          </w:p>
        </w:tc>
        <w:tc>
          <w:tcPr>
            <w:tcW w:type="dxa" w:w="2448"/>
          </w:tcPr>
          <w:p>
            <w:r>
              <w:rPr>
                <w:color w:val="1C1C1E"/>
                <w:sz w:val="20"/>
              </w:rPr>
              <w:t>ret_5d</w:t>
            </w:r>
          </w:p>
        </w:tc>
        <w:tc>
          <w:tcPr>
            <w:tcW w:type="dxa" w:w="2016"/>
          </w:tcPr>
          <w:p>
            <w:r>
              <w:rPr>
                <w:color w:val="1C1C1E"/>
                <w:sz w:val="20"/>
              </w:rPr>
              <w:t>Lagged return</w:t>
            </w:r>
          </w:p>
        </w:tc>
        <w:tc>
          <w:tcPr>
            <w:tcW w:type="dxa" w:w="3888"/>
          </w:tcPr>
          <w:p>
            <w:r>
              <w:rPr>
                <w:color w:val="1C1C1E"/>
                <w:sz w:val="20"/>
              </w:rPr>
              <w:t>Price</w:t>
            </w:r>
          </w:p>
        </w:tc>
      </w:tr>
      <w:tr>
        <w:tc>
          <w:tcPr>
            <w:tcW w:type="dxa" w:w="504"/>
            <w:shd w:val="clear" w:color="auto" w:fill="F7FAFD"/>
          </w:tcPr>
          <w:p>
            <w:r>
              <w:rPr>
                <w:color w:val="1C1C1E"/>
                <w:sz w:val="20"/>
              </w:rPr>
              <w:t>5</w:t>
            </w:r>
          </w:p>
        </w:tc>
        <w:tc>
          <w:tcPr>
            <w:tcW w:type="dxa" w:w="2448"/>
            <w:shd w:val="clear" w:color="auto" w:fill="F7FAFD"/>
          </w:tcPr>
          <w:p>
            <w:r>
              <w:rPr>
                <w:color w:val="1C1C1E"/>
                <w:sz w:val="20"/>
              </w:rPr>
              <w:t>rsi_14</w:t>
            </w:r>
          </w:p>
        </w:tc>
        <w:tc>
          <w:tcPr>
            <w:tcW w:type="dxa" w:w="2016"/>
            <w:shd w:val="clear" w:color="auto" w:fill="F7FAFD"/>
          </w:tcPr>
          <w:p>
            <w:r>
              <w:rPr>
                <w:color w:val="1C1C1E"/>
                <w:sz w:val="20"/>
              </w:rPr>
              <w:t>Momentum</w:t>
            </w:r>
          </w:p>
        </w:tc>
        <w:tc>
          <w:tcPr>
            <w:tcW w:type="dxa" w:w="3888"/>
            <w:shd w:val="clear" w:color="auto" w:fill="F7FAFD"/>
          </w:tcPr>
          <w:p>
            <w:r>
              <w:rPr>
                <w:color w:val="1C1C1E"/>
                <w:sz w:val="20"/>
              </w:rPr>
              <w:t>Wilder (1978)</w:t>
            </w:r>
          </w:p>
        </w:tc>
      </w:tr>
      <w:tr>
        <w:tc>
          <w:tcPr>
            <w:tcW w:type="dxa" w:w="504"/>
          </w:tcPr>
          <w:p>
            <w:r>
              <w:rPr>
                <w:color w:val="1C1C1E"/>
                <w:sz w:val="20"/>
              </w:rPr>
              <w:t>6</w:t>
            </w:r>
          </w:p>
        </w:tc>
        <w:tc>
          <w:tcPr>
            <w:tcW w:type="dxa" w:w="2448"/>
          </w:tcPr>
          <w:p>
            <w:r>
              <w:rPr>
                <w:color w:val="1C1C1E"/>
                <w:sz w:val="20"/>
              </w:rPr>
              <w:t>macd_hist</w:t>
            </w:r>
          </w:p>
        </w:tc>
        <w:tc>
          <w:tcPr>
            <w:tcW w:type="dxa" w:w="2016"/>
          </w:tcPr>
          <w:p>
            <w:r>
              <w:rPr>
                <w:color w:val="1C1C1E"/>
                <w:sz w:val="20"/>
              </w:rPr>
              <w:t>Momentum</w:t>
            </w:r>
          </w:p>
        </w:tc>
        <w:tc>
          <w:tcPr>
            <w:tcW w:type="dxa" w:w="3888"/>
          </w:tcPr>
          <w:p>
            <w:r>
              <w:rPr>
                <w:color w:val="1C1C1E"/>
                <w:sz w:val="20"/>
              </w:rPr>
              <w:t>Appel (1979)</w:t>
            </w:r>
          </w:p>
        </w:tc>
      </w:tr>
      <w:tr>
        <w:tc>
          <w:tcPr>
            <w:tcW w:type="dxa" w:w="504"/>
            <w:shd w:val="clear" w:color="auto" w:fill="F7FAFD"/>
          </w:tcPr>
          <w:p>
            <w:r>
              <w:rPr>
                <w:color w:val="1C1C1E"/>
                <w:sz w:val="20"/>
              </w:rPr>
              <w:t>7</w:t>
            </w:r>
          </w:p>
        </w:tc>
        <w:tc>
          <w:tcPr>
            <w:tcW w:type="dxa" w:w="2448"/>
            <w:shd w:val="clear" w:color="auto" w:fill="F7FAFD"/>
          </w:tcPr>
          <w:p>
            <w:r>
              <w:rPr>
                <w:color w:val="1C1C1E"/>
                <w:sz w:val="20"/>
              </w:rPr>
              <w:t>bb_pct_b</w:t>
            </w:r>
          </w:p>
        </w:tc>
        <w:tc>
          <w:tcPr>
            <w:tcW w:type="dxa" w:w="2016"/>
            <w:shd w:val="clear" w:color="auto" w:fill="F7FAFD"/>
          </w:tcPr>
          <w:p>
            <w:r>
              <w:rPr>
                <w:color w:val="1C1C1E"/>
                <w:sz w:val="20"/>
              </w:rPr>
              <w:t>Volatility</w:t>
            </w:r>
          </w:p>
        </w:tc>
        <w:tc>
          <w:tcPr>
            <w:tcW w:type="dxa" w:w="3888"/>
            <w:shd w:val="clear" w:color="auto" w:fill="F7FAFD"/>
          </w:tcPr>
          <w:p>
            <w:r>
              <w:rPr>
                <w:color w:val="1C1C1E"/>
                <w:sz w:val="20"/>
              </w:rPr>
              <w:t>Bollinger (1992)</w:t>
            </w:r>
          </w:p>
        </w:tc>
      </w:tr>
      <w:tr>
        <w:tc>
          <w:tcPr>
            <w:tcW w:type="dxa" w:w="504"/>
          </w:tcPr>
          <w:p>
            <w:r>
              <w:rPr>
                <w:color w:val="1C1C1E"/>
                <w:sz w:val="20"/>
              </w:rPr>
              <w:t>8</w:t>
            </w:r>
          </w:p>
        </w:tc>
        <w:tc>
          <w:tcPr>
            <w:tcW w:type="dxa" w:w="2448"/>
          </w:tcPr>
          <w:p>
            <w:r>
              <w:rPr>
                <w:color w:val="1C1C1E"/>
                <w:sz w:val="20"/>
              </w:rPr>
              <w:t>vol_ratio</w:t>
            </w:r>
          </w:p>
        </w:tc>
        <w:tc>
          <w:tcPr>
            <w:tcW w:type="dxa" w:w="2016"/>
          </w:tcPr>
          <w:p>
            <w:r>
              <w:rPr>
                <w:color w:val="1C1C1E"/>
                <w:sz w:val="20"/>
              </w:rPr>
              <w:t>Volume</w:t>
            </w:r>
          </w:p>
        </w:tc>
        <w:tc>
          <w:tcPr>
            <w:tcW w:type="dxa" w:w="3888"/>
          </w:tcPr>
          <w:p>
            <w:r>
              <w:rPr>
                <w:color w:val="1C1C1E"/>
                <w:sz w:val="20"/>
              </w:rPr>
              <w:t>—</w:t>
            </w:r>
          </w:p>
        </w:tc>
      </w:tr>
      <w:tr>
        <w:tc>
          <w:tcPr>
            <w:tcW w:type="dxa" w:w="504"/>
            <w:shd w:val="clear" w:color="auto" w:fill="F7FAFD"/>
          </w:tcPr>
          <w:p>
            <w:r>
              <w:rPr>
                <w:color w:val="1C1C1E"/>
                <w:sz w:val="20"/>
              </w:rPr>
              <w:t>9</w:t>
            </w:r>
          </w:p>
        </w:tc>
        <w:tc>
          <w:tcPr>
            <w:tcW w:type="dxa" w:w="2448"/>
            <w:shd w:val="clear" w:color="auto" w:fill="F7FAFD"/>
          </w:tcPr>
          <w:p>
            <w:r>
              <w:rPr>
                <w:color w:val="1C1C1E"/>
                <w:sz w:val="20"/>
              </w:rPr>
              <w:t>atr_pct</w:t>
            </w:r>
          </w:p>
        </w:tc>
        <w:tc>
          <w:tcPr>
            <w:tcW w:type="dxa" w:w="2016"/>
            <w:shd w:val="clear" w:color="auto" w:fill="F7FAFD"/>
          </w:tcPr>
          <w:p>
            <w:r>
              <w:rPr>
                <w:color w:val="1C1C1E"/>
                <w:sz w:val="20"/>
              </w:rPr>
              <w:t>Volatility</w:t>
            </w:r>
          </w:p>
        </w:tc>
        <w:tc>
          <w:tcPr>
            <w:tcW w:type="dxa" w:w="3888"/>
            <w:shd w:val="clear" w:color="auto" w:fill="F7FAFD"/>
          </w:tcPr>
          <w:p>
            <w:r>
              <w:rPr>
                <w:color w:val="1C1C1E"/>
                <w:sz w:val="20"/>
              </w:rPr>
              <w:t>Wilder (1978)</w:t>
            </w:r>
          </w:p>
        </w:tc>
      </w:tr>
      <w:tr>
        <w:tc>
          <w:tcPr>
            <w:tcW w:type="dxa" w:w="504"/>
          </w:tcPr>
          <w:p>
            <w:r>
              <w:rPr>
                <w:color w:val="1C1C1E"/>
                <w:sz w:val="20"/>
              </w:rPr>
              <w:t>10</w:t>
            </w:r>
          </w:p>
        </w:tc>
        <w:tc>
          <w:tcPr>
            <w:tcW w:type="dxa" w:w="2448"/>
          </w:tcPr>
          <w:p>
            <w:r>
              <w:rPr>
                <w:color w:val="1C1C1E"/>
                <w:sz w:val="20"/>
              </w:rPr>
              <w:t>ema_ratio</w:t>
            </w:r>
          </w:p>
        </w:tc>
        <w:tc>
          <w:tcPr>
            <w:tcW w:type="dxa" w:w="2016"/>
          </w:tcPr>
          <w:p>
            <w:r>
              <w:rPr>
                <w:color w:val="1C1C1E"/>
                <w:sz w:val="20"/>
              </w:rPr>
              <w:t>Trend</w:t>
            </w:r>
          </w:p>
        </w:tc>
        <w:tc>
          <w:tcPr>
            <w:tcW w:type="dxa" w:w="3888"/>
          </w:tcPr>
          <w:p>
            <w:r>
              <w:rPr>
                <w:color w:val="1C1C1E"/>
                <w:sz w:val="20"/>
              </w:rPr>
              <w:t>—</w:t>
            </w:r>
          </w:p>
        </w:tc>
      </w:tr>
      <w:tr>
        <w:tc>
          <w:tcPr>
            <w:tcW w:type="dxa" w:w="504"/>
            <w:shd w:val="clear" w:color="auto" w:fill="F7FAFD"/>
          </w:tcPr>
          <w:p>
            <w:r>
              <w:rPr>
                <w:color w:val="1C1C1E"/>
                <w:sz w:val="20"/>
              </w:rPr>
              <w:t>11</w:t>
            </w:r>
          </w:p>
        </w:tc>
        <w:tc>
          <w:tcPr>
            <w:tcW w:type="dxa" w:w="2448"/>
            <w:shd w:val="clear" w:color="auto" w:fill="F7FAFD"/>
          </w:tcPr>
          <w:p>
            <w:r>
              <w:rPr>
                <w:color w:val="1C1C1E"/>
                <w:sz w:val="20"/>
              </w:rPr>
              <w:t>stoch_k</w:t>
            </w:r>
          </w:p>
        </w:tc>
        <w:tc>
          <w:tcPr>
            <w:tcW w:type="dxa" w:w="2016"/>
            <w:shd w:val="clear" w:color="auto" w:fill="F7FAFD"/>
          </w:tcPr>
          <w:p>
            <w:r>
              <w:rPr>
                <w:color w:val="1C1C1E"/>
                <w:sz w:val="20"/>
              </w:rPr>
              <w:t>Momentum</w:t>
            </w:r>
          </w:p>
        </w:tc>
        <w:tc>
          <w:tcPr>
            <w:tcW w:type="dxa" w:w="3888"/>
            <w:shd w:val="clear" w:color="auto" w:fill="F7FAFD"/>
          </w:tcPr>
          <w:p>
            <w:r>
              <w:rPr>
                <w:color w:val="1C1C1E"/>
                <w:sz w:val="20"/>
              </w:rPr>
              <w:t>Lane (1950s)</w:t>
            </w:r>
          </w:p>
        </w:tc>
      </w:tr>
      <w:tr>
        <w:tc>
          <w:tcPr>
            <w:tcW w:type="dxa" w:w="504"/>
          </w:tcPr>
          <w:p>
            <w:r>
              <w:rPr>
                <w:color w:val="1C1C1E"/>
                <w:sz w:val="20"/>
              </w:rPr>
              <w:t>12</w:t>
            </w:r>
          </w:p>
        </w:tc>
        <w:tc>
          <w:tcPr>
            <w:tcW w:type="dxa" w:w="2448"/>
          </w:tcPr>
          <w:p>
            <w:r>
              <w:rPr>
                <w:color w:val="1C1C1E"/>
                <w:sz w:val="20"/>
              </w:rPr>
              <w:t>price_sma200_ratio</w:t>
            </w:r>
          </w:p>
        </w:tc>
        <w:tc>
          <w:tcPr>
            <w:tcW w:type="dxa" w:w="2016"/>
          </w:tcPr>
          <w:p>
            <w:r>
              <w:rPr>
                <w:color w:val="1C1C1E"/>
                <w:sz w:val="20"/>
              </w:rPr>
              <w:t>Trend</w:t>
            </w:r>
          </w:p>
        </w:tc>
        <w:tc>
          <w:tcPr>
            <w:tcW w:type="dxa" w:w="3888"/>
          </w:tcPr>
          <w:p>
            <w:r>
              <w:rPr>
                <w:color w:val="1C1C1E"/>
                <w:sz w:val="20"/>
              </w:rPr>
              <w:t>Gu et al. (2020)</w:t>
            </w:r>
          </w:p>
        </w:tc>
      </w:tr>
      <w:tr>
        <w:tc>
          <w:tcPr>
            <w:tcW w:type="dxa" w:w="504"/>
            <w:shd w:val="clear" w:color="auto" w:fill="F7FAFD"/>
          </w:tcPr>
          <w:p>
            <w:r>
              <w:rPr>
                <w:color w:val="1C1C1E"/>
                <w:sz w:val="20"/>
              </w:rPr>
              <w:t>13</w:t>
            </w:r>
          </w:p>
        </w:tc>
        <w:tc>
          <w:tcPr>
            <w:tcW w:type="dxa" w:w="2448"/>
            <w:shd w:val="clear" w:color="auto" w:fill="F7FAFD"/>
          </w:tcPr>
          <w:p>
            <w:r>
              <w:rPr>
                <w:color w:val="1C1C1E"/>
                <w:sz w:val="20"/>
              </w:rPr>
              <w:t>intraday_range</w:t>
            </w:r>
          </w:p>
        </w:tc>
        <w:tc>
          <w:tcPr>
            <w:tcW w:type="dxa" w:w="2016"/>
            <w:shd w:val="clear" w:color="auto" w:fill="F7FAFD"/>
          </w:tcPr>
          <w:p>
            <w:r>
              <w:rPr>
                <w:color w:val="1C1C1E"/>
                <w:sz w:val="20"/>
              </w:rPr>
              <w:t>Candle body</w:t>
            </w:r>
          </w:p>
        </w:tc>
        <w:tc>
          <w:tcPr>
            <w:tcW w:type="dxa" w:w="3888"/>
            <w:shd w:val="clear" w:color="auto" w:fill="F7FAFD"/>
          </w:tcPr>
          <w:p>
            <w:r>
              <w:rPr>
                <w:color w:val="1C1C1E"/>
                <w:sz w:val="20"/>
              </w:rPr>
              <w:t>—</w:t>
            </w:r>
          </w:p>
        </w:tc>
      </w:tr>
      <w:tr>
        <w:tc>
          <w:tcPr>
            <w:tcW w:type="dxa" w:w="504"/>
          </w:tcPr>
          <w:p>
            <w:r>
              <w:rPr>
                <w:color w:val="1C1C1E"/>
                <w:sz w:val="20"/>
              </w:rPr>
              <w:t>14</w:t>
            </w:r>
          </w:p>
        </w:tc>
        <w:tc>
          <w:tcPr>
            <w:tcW w:type="dxa" w:w="2448"/>
          </w:tcPr>
          <w:p>
            <w:r>
              <w:rPr>
                <w:color w:val="1C1C1E"/>
                <w:sz w:val="20"/>
              </w:rPr>
              <w:t>ret_10d</w:t>
            </w:r>
          </w:p>
        </w:tc>
        <w:tc>
          <w:tcPr>
            <w:tcW w:type="dxa" w:w="2016"/>
          </w:tcPr>
          <w:p>
            <w:r>
              <w:rPr>
                <w:color w:val="1C1C1E"/>
                <w:sz w:val="20"/>
              </w:rPr>
              <w:t>Medium momentum</w:t>
            </w:r>
          </w:p>
        </w:tc>
        <w:tc>
          <w:tcPr>
            <w:tcW w:type="dxa" w:w="3888"/>
          </w:tcPr>
          <w:p>
            <w:r>
              <w:rPr>
                <w:color w:val="1C1C1E"/>
                <w:sz w:val="20"/>
              </w:rPr>
              <w:t>—</w:t>
            </w:r>
          </w:p>
        </w:tc>
      </w:tr>
      <w:tr>
        <w:tc>
          <w:tcPr>
            <w:tcW w:type="dxa" w:w="504"/>
            <w:shd w:val="clear" w:color="auto" w:fill="F7FAFD"/>
          </w:tcPr>
          <w:p>
            <w:r>
              <w:rPr>
                <w:color w:val="1C1C1E"/>
                <w:sz w:val="20"/>
              </w:rPr>
              <w:t>15</w:t>
            </w:r>
          </w:p>
        </w:tc>
        <w:tc>
          <w:tcPr>
            <w:tcW w:type="dxa" w:w="2448"/>
            <w:shd w:val="clear" w:color="auto" w:fill="F7FAFD"/>
          </w:tcPr>
          <w:p>
            <w:r>
              <w:rPr>
                <w:color w:val="1C1C1E"/>
                <w:sz w:val="20"/>
              </w:rPr>
              <w:t>regime_state ★</w:t>
            </w:r>
          </w:p>
        </w:tc>
        <w:tc>
          <w:tcPr>
            <w:tcW w:type="dxa" w:w="2016"/>
            <w:shd w:val="clear" w:color="auto" w:fill="F7FAFD"/>
          </w:tcPr>
          <w:p>
            <w:r>
              <w:rPr>
                <w:color w:val="1C1C1E"/>
                <w:sz w:val="20"/>
              </w:rPr>
              <w:t>HMM regime</w:t>
            </w:r>
          </w:p>
        </w:tc>
        <w:tc>
          <w:tcPr>
            <w:tcW w:type="dxa" w:w="3888"/>
            <w:shd w:val="clear" w:color="auto" w:fill="F7FAFD"/>
          </w:tcPr>
          <w:p>
            <w:r>
              <w:rPr>
                <w:color w:val="1C1C1E"/>
                <w:sz w:val="20"/>
              </w:rPr>
              <w:t>Hamilton (1989) — Novel</w:t>
            </w:r>
          </w:p>
        </w:tc>
      </w:tr>
      <w:tr>
        <w:tc>
          <w:tcPr>
            <w:tcW w:type="dxa" w:w="504"/>
          </w:tcPr>
          <w:p>
            <w:r>
              <w:rPr>
                <w:color w:val="1C1C1E"/>
                <w:sz w:val="20"/>
              </w:rPr>
              <w:t>16</w:t>
            </w:r>
          </w:p>
        </w:tc>
        <w:tc>
          <w:tcPr>
            <w:tcW w:type="dxa" w:w="2448"/>
          </w:tcPr>
          <w:p>
            <w:r>
              <w:rPr>
                <w:color w:val="1C1C1E"/>
                <w:sz w:val="20"/>
              </w:rPr>
              <w:t>regime_prob_bear ★</w:t>
            </w:r>
          </w:p>
        </w:tc>
        <w:tc>
          <w:tcPr>
            <w:tcW w:type="dxa" w:w="2016"/>
          </w:tcPr>
          <w:p>
            <w:r>
              <w:rPr>
                <w:color w:val="1C1C1E"/>
                <w:sz w:val="20"/>
              </w:rPr>
              <w:t>HMM prob</w:t>
            </w:r>
          </w:p>
        </w:tc>
        <w:tc>
          <w:tcPr>
            <w:tcW w:type="dxa" w:w="3888"/>
          </w:tcPr>
          <w:p>
            <w:r>
              <w:rPr>
                <w:color w:val="1C1C1E"/>
                <w:sz w:val="20"/>
              </w:rPr>
              <w:t>Hamilton (1989) — Novel</w:t>
            </w:r>
          </w:p>
        </w:tc>
      </w:tr>
      <w:tr>
        <w:tc>
          <w:tcPr>
            <w:tcW w:type="dxa" w:w="504"/>
            <w:shd w:val="clear" w:color="auto" w:fill="F7FAFD"/>
          </w:tcPr>
          <w:p>
            <w:r>
              <w:rPr>
                <w:color w:val="1C1C1E"/>
                <w:sz w:val="20"/>
              </w:rPr>
              <w:t>17</w:t>
            </w:r>
          </w:p>
        </w:tc>
        <w:tc>
          <w:tcPr>
            <w:tcW w:type="dxa" w:w="2448"/>
            <w:shd w:val="clear" w:color="auto" w:fill="F7FAFD"/>
          </w:tcPr>
          <w:p>
            <w:r>
              <w:rPr>
                <w:color w:val="1C1C1E"/>
                <w:sz w:val="20"/>
              </w:rPr>
              <w:t>sentiment_score ★</w:t>
            </w:r>
          </w:p>
        </w:tc>
        <w:tc>
          <w:tcPr>
            <w:tcW w:type="dxa" w:w="2016"/>
            <w:shd w:val="clear" w:color="auto" w:fill="F7FAFD"/>
          </w:tcPr>
          <w:p>
            <w:r>
              <w:rPr>
                <w:color w:val="1C1C1E"/>
                <w:sz w:val="20"/>
              </w:rPr>
              <w:t>VADER sentiment</w:t>
            </w:r>
          </w:p>
        </w:tc>
        <w:tc>
          <w:tcPr>
            <w:tcW w:type="dxa" w:w="3888"/>
            <w:shd w:val="clear" w:color="auto" w:fill="F7FAFD"/>
          </w:tcPr>
          <w:p>
            <w:r>
              <w:rPr>
                <w:color w:val="1C1C1E"/>
                <w:sz w:val="20"/>
              </w:rPr>
              <w:t>Hutto &amp; Gilbert (2014) — Novel</w:t>
            </w:r>
          </w:p>
        </w:tc>
      </w:tr>
    </w:tbl>
    <w:p/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color w:val="1A233A"/>
          <w:sz w:val="28"/>
        </w:rPr>
        <w:t>3. Testable Hypotheses (For Results Section)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320"/>
            <w:shd w:val="clear" w:color="auto" w:fill="D6E4F0"/>
            <w:vAlign w:val="center"/>
          </w:tcPr>
          <w:p>
            <w:r>
              <w:rPr>
                <w:b/>
                <w:color w:val="1D4E89"/>
                <w:sz w:val="20"/>
              </w:rPr>
              <w:t>Hypothesis</w:t>
            </w:r>
          </w:p>
        </w:tc>
        <w:tc>
          <w:tcPr>
            <w:tcW w:type="dxa" w:w="2160"/>
            <w:shd w:val="clear" w:color="auto" w:fill="D6E4F0"/>
            <w:vAlign w:val="center"/>
          </w:tcPr>
          <w:p>
            <w:r>
              <w:rPr>
                <w:b/>
                <w:color w:val="1D4E89"/>
                <w:sz w:val="20"/>
              </w:rPr>
              <w:t>Expected Direction</w:t>
            </w:r>
          </w:p>
        </w:tc>
        <w:tc>
          <w:tcPr>
            <w:tcW w:type="dxa" w:w="2304"/>
            <w:shd w:val="clear" w:color="auto" w:fill="D6E4F0"/>
            <w:vAlign w:val="center"/>
          </w:tcPr>
          <w:p>
            <w:r>
              <w:rPr>
                <w:b/>
                <w:color w:val="1D4E89"/>
                <w:sz w:val="20"/>
              </w:rPr>
              <w:t>Status</w:t>
            </w:r>
          </w:p>
        </w:tc>
      </w:tr>
      <w:tr>
        <w:tc>
          <w:tcPr>
            <w:tcW w:type="dxa" w:w="4320"/>
            <w:shd w:val="clear" w:color="auto" w:fill="F7FAFD"/>
          </w:tcPr>
          <w:p>
            <w:r>
              <w:rPr>
                <w:color w:val="1C1C1E"/>
                <w:sz w:val="20"/>
              </w:rPr>
              <w:t>H1: Parallel training achieves &gt;2× speedup vs serial for N=5 folds</w:t>
            </w:r>
          </w:p>
        </w:tc>
        <w:tc>
          <w:tcPr>
            <w:tcW w:type="dxa" w:w="2160"/>
            <w:shd w:val="clear" w:color="auto" w:fill="F7FAFD"/>
          </w:tcPr>
          <w:p>
            <w:r>
              <w:rPr>
                <w:color w:val="1C1C1E"/>
                <w:sz w:val="20"/>
              </w:rPr>
              <w:t>Speedup &gt; 2×</w:t>
            </w:r>
          </w:p>
        </w:tc>
        <w:tc>
          <w:tcPr>
            <w:tcW w:type="dxa" w:w="2304"/>
            <w:shd w:val="clear" w:color="auto" w:fill="F7FAFD"/>
          </w:tcPr>
          <w:p>
            <w:r>
              <w:rPr>
                <w:color w:val="1C1C1E"/>
                <w:sz w:val="20"/>
              </w:rPr>
              <w:t>✅ Confirmed (3.37×)</w:t>
            </w:r>
          </w:p>
        </w:tc>
      </w:tr>
      <w:tr>
        <w:tc>
          <w:tcPr>
            <w:tcW w:type="dxa" w:w="4320"/>
          </w:tcPr>
          <w:p>
            <w:r>
              <w:rPr>
                <w:color w:val="1C1C1E"/>
                <w:sz w:val="20"/>
              </w:rPr>
              <w:t>H2: Adding regime features (15,16) improves directional F1 vs RF without them</w:t>
            </w:r>
          </w:p>
        </w:tc>
        <w:tc>
          <w:tcPr>
            <w:tcW w:type="dxa" w:w="2160"/>
          </w:tcPr>
          <w:p>
            <w:r>
              <w:rPr>
                <w:color w:val="1C1C1E"/>
                <w:sz w:val="20"/>
              </w:rPr>
              <w:t>F1 ↑</w:t>
            </w:r>
          </w:p>
        </w:tc>
        <w:tc>
          <w:tcPr>
            <w:tcW w:type="dxa" w:w="2304"/>
          </w:tcPr>
          <w:p>
            <w:r>
              <w:rPr>
                <w:color w:val="1C1C1E"/>
                <w:sz w:val="20"/>
              </w:rPr>
              <w:t>To measure</w:t>
            </w:r>
          </w:p>
        </w:tc>
      </w:tr>
      <w:tr>
        <w:tc>
          <w:tcPr>
            <w:tcW w:type="dxa" w:w="4320"/>
            <w:shd w:val="clear" w:color="auto" w:fill="F7FAFD"/>
          </w:tcPr>
          <w:p>
            <w:r>
              <w:rPr>
                <w:color w:val="1C1C1E"/>
                <w:sz w:val="20"/>
              </w:rPr>
              <w:t>H3: Adding VADER sentiment (feature 17) improves F1 vs RF without it</w:t>
            </w:r>
          </w:p>
        </w:tc>
        <w:tc>
          <w:tcPr>
            <w:tcW w:type="dxa" w:w="2160"/>
            <w:shd w:val="clear" w:color="auto" w:fill="F7FAFD"/>
          </w:tcPr>
          <w:p>
            <w:r>
              <w:rPr>
                <w:color w:val="1C1C1E"/>
                <w:sz w:val="20"/>
              </w:rPr>
              <w:t>F1 ↑</w:t>
            </w:r>
          </w:p>
        </w:tc>
        <w:tc>
          <w:tcPr>
            <w:tcW w:type="dxa" w:w="2304"/>
            <w:shd w:val="clear" w:color="auto" w:fill="F7FAFD"/>
          </w:tcPr>
          <w:p>
            <w:r>
              <w:rPr>
                <w:color w:val="1C1C1E"/>
                <w:sz w:val="20"/>
              </w:rPr>
              <w:t>To measure</w:t>
            </w:r>
          </w:p>
        </w:tc>
      </w:tr>
      <w:tr>
        <w:tc>
          <w:tcPr>
            <w:tcW w:type="dxa" w:w="4320"/>
          </w:tcPr>
          <w:p>
            <w:r>
              <w:rPr>
                <w:color w:val="1C1C1E"/>
                <w:sz w:val="20"/>
              </w:rPr>
              <w:t>H4: TCN outperforms flat MLP on directional accuracy</w:t>
            </w:r>
          </w:p>
        </w:tc>
        <w:tc>
          <w:tcPr>
            <w:tcW w:type="dxa" w:w="2160"/>
          </w:tcPr>
          <w:p>
            <w:r>
              <w:rPr>
                <w:color w:val="1C1C1E"/>
                <w:sz w:val="20"/>
              </w:rPr>
              <w:t>Accuracy ↑</w:t>
            </w:r>
          </w:p>
        </w:tc>
        <w:tc>
          <w:tcPr>
            <w:tcW w:type="dxa" w:w="2304"/>
          </w:tcPr>
          <w:p>
            <w:r>
              <w:rPr>
                <w:color w:val="1C1C1E"/>
                <w:sz w:val="20"/>
              </w:rPr>
              <w:t>To measure</w:t>
            </w:r>
          </w:p>
        </w:tc>
      </w:tr>
      <w:tr>
        <w:tc>
          <w:tcPr>
            <w:tcW w:type="dxa" w:w="4320"/>
            <w:shd w:val="clear" w:color="auto" w:fill="F7FAFD"/>
          </w:tcPr>
          <w:p>
            <w:r>
              <w:rPr>
                <w:color w:val="1C1C1E"/>
                <w:sz w:val="20"/>
              </w:rPr>
              <w:t>H5: Embargo gap reduces reported F1 vs no-embargo (prior work is inflated)</w:t>
            </w:r>
          </w:p>
        </w:tc>
        <w:tc>
          <w:tcPr>
            <w:tcW w:type="dxa" w:w="2160"/>
            <w:shd w:val="clear" w:color="auto" w:fill="F7FAFD"/>
          </w:tcPr>
          <w:p>
            <w:r>
              <w:rPr>
                <w:color w:val="1C1C1E"/>
                <w:sz w:val="20"/>
              </w:rPr>
              <w:t>F1 ↓ (honest)</w:t>
            </w:r>
          </w:p>
        </w:tc>
        <w:tc>
          <w:tcPr>
            <w:tcW w:type="dxa" w:w="2304"/>
            <w:shd w:val="clear" w:color="auto" w:fill="F7FAFD"/>
          </w:tcPr>
          <w:p>
            <w:r>
              <w:rPr>
                <w:color w:val="1C1C1E"/>
                <w:sz w:val="20"/>
              </w:rPr>
              <w:t>To measure</w:t>
            </w:r>
          </w:p>
        </w:tc>
      </w:tr>
      <w:tr>
        <w:tc>
          <w:tcPr>
            <w:tcW w:type="dxa" w:w="4320"/>
          </w:tcPr>
          <w:p>
            <w:r>
              <w:rPr>
                <w:color w:val="1C1C1E"/>
                <w:sz w:val="20"/>
              </w:rPr>
              <w:t>H6: Cost-adjusted return is significantly lower than gross return</w:t>
            </w:r>
          </w:p>
        </w:tc>
        <w:tc>
          <w:tcPr>
            <w:tcW w:type="dxa" w:w="2160"/>
          </w:tcPr>
          <w:p>
            <w:r>
              <w:rPr>
                <w:color w:val="1C1C1E"/>
                <w:sz w:val="20"/>
              </w:rPr>
              <w:t>Return ↓</w:t>
            </w:r>
          </w:p>
        </w:tc>
        <w:tc>
          <w:tcPr>
            <w:tcW w:type="dxa" w:w="2304"/>
          </w:tcPr>
          <w:p>
            <w:r>
              <w:rPr>
                <w:color w:val="1C1C1E"/>
                <w:sz w:val="20"/>
              </w:rPr>
              <w:t>✅ Confirmed</w:t>
            </w:r>
          </w:p>
        </w:tc>
      </w:tr>
    </w:tbl>
    <w:p/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color w:val="1A233A"/>
          <w:sz w:val="28"/>
        </w:rPr>
        <w:t>4. Baseline Models for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val="clear" w:color="auto" w:fill="D6E4F0"/>
            <w:vAlign w:val="center"/>
          </w:tcPr>
          <w:p>
            <w:r>
              <w:rPr>
                <w:b/>
                <w:color w:val="1D4E89"/>
                <w:sz w:val="20"/>
              </w:rPr>
              <w:t>Baseline</w:t>
            </w:r>
          </w:p>
        </w:tc>
        <w:tc>
          <w:tcPr>
            <w:tcW w:type="dxa" w:w="6048"/>
            <w:shd w:val="clear" w:color="auto" w:fill="D6E4F0"/>
            <w:vAlign w:val="center"/>
          </w:tcPr>
          <w:p>
            <w:r>
              <w:rPr>
                <w:b/>
                <w:color w:val="1D4E89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F7FAFD"/>
          </w:tcPr>
          <w:p>
            <w:r>
              <w:rPr>
                <w:color w:val="1C1C1E"/>
                <w:sz w:val="20"/>
              </w:rPr>
              <w:t>Buy-and-Hold</w:t>
            </w:r>
          </w:p>
        </w:tc>
        <w:tc>
          <w:tcPr>
            <w:tcW w:type="dxa" w:w="6048"/>
            <w:shd w:val="clear" w:color="auto" w:fill="F7FAFD"/>
          </w:tcPr>
          <w:p>
            <w:r>
              <w:rPr>
                <w:color w:val="1C1C1E"/>
                <w:sz w:val="20"/>
              </w:rPr>
              <w:t>Nifty 50 index return over same 2-year period</w:t>
            </w:r>
          </w:p>
        </w:tc>
      </w:tr>
      <w:tr>
        <w:tc>
          <w:tcPr>
            <w:tcW w:type="dxa" w:w="2880"/>
          </w:tcPr>
          <w:p>
            <w:r>
              <w:rPr>
                <w:color w:val="1C1C1E"/>
                <w:sz w:val="20"/>
              </w:rPr>
              <w:t>Random Classifier</w:t>
            </w:r>
          </w:p>
        </w:tc>
        <w:tc>
          <w:tcPr>
            <w:tcW w:type="dxa" w:w="6048"/>
          </w:tcPr>
          <w:p>
            <w:r>
              <w:rPr>
                <w:color w:val="1C1C1E"/>
                <w:sz w:val="20"/>
              </w:rPr>
              <w:t>Uniform random 3-class prediction (majority vote = FLAT)</w:t>
            </w:r>
          </w:p>
        </w:tc>
      </w:tr>
      <w:tr>
        <w:tc>
          <w:tcPr>
            <w:tcW w:type="dxa" w:w="2880"/>
            <w:shd w:val="clear" w:color="auto" w:fill="F7FAFD"/>
          </w:tcPr>
          <w:p>
            <w:r>
              <w:rPr>
                <w:color w:val="1C1C1E"/>
                <w:sz w:val="20"/>
              </w:rPr>
              <w:t>Flat MLP</w:t>
            </w:r>
          </w:p>
        </w:tc>
        <w:tc>
          <w:tcPr>
            <w:tcW w:type="dxa" w:w="6048"/>
            <w:shd w:val="clear" w:color="auto" w:fill="F7FAFD"/>
          </w:tcPr>
          <w:p>
            <w:r>
              <w:rPr>
                <w:color w:val="1C1C1E"/>
                <w:sz w:val="20"/>
              </w:rPr>
              <w:t>sklearn MLPClassifier, same 17 features, flat vector input (no temporal)</w:t>
            </w:r>
          </w:p>
        </w:tc>
      </w:tr>
      <w:tr>
        <w:tc>
          <w:tcPr>
            <w:tcW w:type="dxa" w:w="2880"/>
          </w:tcPr>
          <w:p>
            <w:r>
              <w:rPr>
                <w:color w:val="1C1C1E"/>
                <w:sz w:val="20"/>
              </w:rPr>
              <w:t>RF — no regime</w:t>
            </w:r>
          </w:p>
        </w:tc>
        <w:tc>
          <w:tcPr>
            <w:tcW w:type="dxa" w:w="6048"/>
          </w:tcPr>
          <w:p>
            <w:r>
              <w:rPr>
                <w:color w:val="1C1C1E"/>
                <w:sz w:val="20"/>
              </w:rPr>
              <w:t>RandomForest with only features 1–14 (no HMM features)</w:t>
            </w:r>
          </w:p>
        </w:tc>
      </w:tr>
      <w:tr>
        <w:tc>
          <w:tcPr>
            <w:tcW w:type="dxa" w:w="2880"/>
            <w:shd w:val="clear" w:color="auto" w:fill="F7FAFD"/>
          </w:tcPr>
          <w:p>
            <w:r>
              <w:rPr>
                <w:color w:val="1C1C1E"/>
                <w:sz w:val="20"/>
              </w:rPr>
              <w:t>RF — no sentiment</w:t>
            </w:r>
          </w:p>
        </w:tc>
        <w:tc>
          <w:tcPr>
            <w:tcW w:type="dxa" w:w="6048"/>
            <w:shd w:val="clear" w:color="auto" w:fill="F7FAFD"/>
          </w:tcPr>
          <w:p>
            <w:r>
              <w:rPr>
                <w:color w:val="1C1C1E"/>
                <w:sz w:val="20"/>
              </w:rPr>
              <w:t>RandomForest with features 1–16 (no VADER score)</w:t>
            </w:r>
          </w:p>
        </w:tc>
      </w:tr>
      <w:tr>
        <w:tc>
          <w:tcPr>
            <w:tcW w:type="dxa" w:w="2880"/>
          </w:tcPr>
          <w:p>
            <w:r>
              <w:rPr>
                <w:color w:val="1C1C1E"/>
                <w:sz w:val="20"/>
              </w:rPr>
              <w:t>Full Clearward</w:t>
            </w:r>
          </w:p>
        </w:tc>
        <w:tc>
          <w:tcPr>
            <w:tcW w:type="dxa" w:w="6048"/>
          </w:tcPr>
          <w:p>
            <w:r>
              <w:rPr>
                <w:color w:val="1C1C1E"/>
                <w:sz w:val="20"/>
              </w:rPr>
              <w:t>RF + TCN ensemble + all 17 features + OOF backtest</w:t>
            </w:r>
          </w:p>
        </w:tc>
      </w:tr>
    </w:tbl>
    <w:p/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color w:val="1A233A"/>
          <w:sz w:val="28"/>
        </w:rPr>
        <w:t>5. Dataset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D6E4F0"/>
            <w:vAlign w:val="center"/>
          </w:tcPr>
          <w:p>
            <w:r>
              <w:rPr>
                <w:b/>
                <w:color w:val="1D4E89"/>
                <w:sz w:val="20"/>
              </w:rPr>
              <w:t>Property</w:t>
            </w:r>
          </w:p>
        </w:tc>
        <w:tc>
          <w:tcPr>
            <w:tcW w:type="dxa" w:w="5040"/>
            <w:shd w:val="clear" w:color="auto" w:fill="D6E4F0"/>
            <w:vAlign w:val="center"/>
          </w:tcPr>
          <w:p>
            <w:r>
              <w:rPr>
                <w:b/>
                <w:color w:val="1D4E89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7FAFD"/>
          </w:tcPr>
          <w:p>
            <w:r>
              <w:rPr>
                <w:color w:val="1C1C1E"/>
                <w:sz w:val="20"/>
              </w:rPr>
              <w:t>Source</w:t>
            </w:r>
          </w:p>
        </w:tc>
        <w:tc>
          <w:tcPr>
            <w:tcW w:type="dxa" w:w="5040"/>
            <w:shd w:val="clear" w:color="auto" w:fill="F7FAFD"/>
          </w:tcPr>
          <w:p>
            <w:r>
              <w:rPr>
                <w:color w:val="1C1C1E"/>
                <w:sz w:val="20"/>
              </w:rPr>
              <w:t>NSE equity prices via yfinance</w:t>
            </w:r>
          </w:p>
        </w:tc>
      </w:tr>
      <w:tr>
        <w:tc>
          <w:tcPr>
            <w:tcW w:type="dxa" w:w="3600"/>
          </w:tcPr>
          <w:p>
            <w:r>
              <w:rPr>
                <w:color w:val="1C1C1E"/>
                <w:sz w:val="20"/>
              </w:rPr>
              <w:t>Period</w:t>
            </w:r>
          </w:p>
        </w:tc>
        <w:tc>
          <w:tcPr>
            <w:tcW w:type="dxa" w:w="5040"/>
          </w:tcPr>
          <w:p>
            <w:r>
              <w:rPr>
                <w:color w:val="1C1C1E"/>
                <w:sz w:val="20"/>
              </w:rPr>
              <w:t>2 years (2022–2024)</w:t>
            </w:r>
          </w:p>
        </w:tc>
      </w:tr>
      <w:tr>
        <w:tc>
          <w:tcPr>
            <w:tcW w:type="dxa" w:w="3600"/>
            <w:shd w:val="clear" w:color="auto" w:fill="F7FAFD"/>
          </w:tcPr>
          <w:p>
            <w:r>
              <w:rPr>
                <w:color w:val="1C1C1E"/>
                <w:sz w:val="20"/>
              </w:rPr>
              <w:t>ML-ready symbols</w:t>
            </w:r>
          </w:p>
        </w:tc>
        <w:tc>
          <w:tcPr>
            <w:tcW w:type="dxa" w:w="5040"/>
            <w:shd w:val="clear" w:color="auto" w:fill="F7FAFD"/>
          </w:tcPr>
          <w:p>
            <w:r>
              <w:rPr>
                <w:color w:val="1C1C1E"/>
                <w:sz w:val="20"/>
              </w:rPr>
              <w:t>327 stocks (≥250 trading days each)</w:t>
            </w:r>
          </w:p>
        </w:tc>
      </w:tr>
      <w:tr>
        <w:tc>
          <w:tcPr>
            <w:tcW w:type="dxa" w:w="3600"/>
          </w:tcPr>
          <w:p>
            <w:r>
              <w:rPr>
                <w:color w:val="1C1C1E"/>
                <w:sz w:val="20"/>
              </w:rPr>
              <w:t>Total rows</w:t>
            </w:r>
          </w:p>
        </w:tc>
        <w:tc>
          <w:tcPr>
            <w:tcW w:type="dxa" w:w="5040"/>
          </w:tcPr>
          <w:p>
            <w:r>
              <w:rPr>
                <w:color w:val="1C1C1E"/>
                <w:sz w:val="20"/>
              </w:rPr>
              <w:t>199,398 OHLCV records</w:t>
            </w:r>
          </w:p>
        </w:tc>
      </w:tr>
      <w:tr>
        <w:tc>
          <w:tcPr>
            <w:tcW w:type="dxa" w:w="3600"/>
            <w:shd w:val="clear" w:color="auto" w:fill="F7FAFD"/>
          </w:tcPr>
          <w:p>
            <w:r>
              <w:rPr>
                <w:color w:val="1C1C1E"/>
                <w:sz w:val="20"/>
              </w:rPr>
              <w:t>Folds (N)</w:t>
            </w:r>
          </w:p>
        </w:tc>
        <w:tc>
          <w:tcPr>
            <w:tcW w:type="dxa" w:w="5040"/>
            <w:shd w:val="clear" w:color="auto" w:fill="F7FAFD"/>
          </w:tcPr>
          <w:p>
            <w:r>
              <w:rPr>
                <w:color w:val="1C1C1E"/>
                <w:sz w:val="20"/>
              </w:rPr>
              <w:t>5 walk-forward folds per symbol</w:t>
            </w:r>
          </w:p>
        </w:tc>
      </w:tr>
      <w:tr>
        <w:tc>
          <w:tcPr>
            <w:tcW w:type="dxa" w:w="3600"/>
          </w:tcPr>
          <w:p>
            <w:r>
              <w:rPr>
                <w:color w:val="1C1C1E"/>
                <w:sz w:val="20"/>
              </w:rPr>
              <w:t>Min train size</w:t>
            </w:r>
          </w:p>
        </w:tc>
        <w:tc>
          <w:tcPr>
            <w:tcW w:type="dxa" w:w="5040"/>
          </w:tcPr>
          <w:p>
            <w:r>
              <w:rPr>
                <w:color w:val="1C1C1E"/>
                <w:sz w:val="20"/>
              </w:rPr>
              <w:t>120 trading days</w:t>
            </w:r>
          </w:p>
        </w:tc>
      </w:tr>
      <w:tr>
        <w:tc>
          <w:tcPr>
            <w:tcW w:type="dxa" w:w="3600"/>
            <w:shd w:val="clear" w:color="auto" w:fill="F7FAFD"/>
          </w:tcPr>
          <w:p>
            <w:r>
              <w:rPr>
                <w:color w:val="1C1C1E"/>
                <w:sz w:val="20"/>
              </w:rPr>
              <w:t>Test size</w:t>
            </w:r>
          </w:p>
        </w:tc>
        <w:tc>
          <w:tcPr>
            <w:tcW w:type="dxa" w:w="5040"/>
            <w:shd w:val="clear" w:color="auto" w:fill="F7FAFD"/>
          </w:tcPr>
          <w:p>
            <w:r>
              <w:rPr>
                <w:color w:val="1C1C1E"/>
                <w:sz w:val="20"/>
              </w:rPr>
              <w:t>30 trading days per fold</w:t>
            </w:r>
          </w:p>
        </w:tc>
      </w:tr>
      <w:tr>
        <w:tc>
          <w:tcPr>
            <w:tcW w:type="dxa" w:w="3600"/>
          </w:tcPr>
          <w:p>
            <w:r>
              <w:rPr>
                <w:color w:val="1C1C1E"/>
                <w:sz w:val="20"/>
              </w:rPr>
              <w:t>Embargo gap</w:t>
            </w:r>
          </w:p>
        </w:tc>
        <w:tc>
          <w:tcPr>
            <w:tcW w:type="dxa" w:w="5040"/>
          </w:tcPr>
          <w:p>
            <w:r>
              <w:rPr>
                <w:color w:val="1C1C1E"/>
                <w:sz w:val="20"/>
              </w:rPr>
              <w:t>3 days (prevents target leakage)</w:t>
            </w:r>
          </w:p>
        </w:tc>
      </w:tr>
      <w:tr>
        <w:tc>
          <w:tcPr>
            <w:tcW w:type="dxa" w:w="3600"/>
            <w:shd w:val="clear" w:color="auto" w:fill="F7FAFD"/>
          </w:tcPr>
          <w:p>
            <w:r>
              <w:rPr>
                <w:color w:val="1C1C1E"/>
                <w:sz w:val="20"/>
              </w:rPr>
              <w:t>Forward horizon</w:t>
            </w:r>
          </w:p>
        </w:tc>
        <w:tc>
          <w:tcPr>
            <w:tcW w:type="dxa" w:w="5040"/>
            <w:shd w:val="clear" w:color="auto" w:fill="F7FAFD"/>
          </w:tcPr>
          <w:p>
            <w:r>
              <w:rPr>
                <w:color w:val="1C1C1E"/>
                <w:sz w:val="20"/>
              </w:rPr>
              <w:t>3 trading days (direction label)</w:t>
            </w:r>
          </w:p>
        </w:tc>
      </w:tr>
      <w:tr>
        <w:tc>
          <w:tcPr>
            <w:tcW w:type="dxa" w:w="3600"/>
          </w:tcPr>
          <w:p>
            <w:r>
              <w:rPr>
                <w:color w:val="1C1C1E"/>
                <w:sz w:val="20"/>
              </w:rPr>
              <w:t>FLAT threshold</w:t>
            </w:r>
          </w:p>
        </w:tc>
        <w:tc>
          <w:tcPr>
            <w:tcW w:type="dxa" w:w="5040"/>
          </w:tcPr>
          <w:p>
            <w:r>
              <w:rPr>
                <w:color w:val="1C1C1E"/>
                <w:sz w:val="20"/>
              </w:rPr>
              <w:t>±0.8% forward return</w:t>
            </w:r>
          </w:p>
        </w:tc>
      </w:tr>
    </w:tbl>
    <w:p/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color w:val="1A233A"/>
          <w:sz w:val="28"/>
        </w:rPr>
        <w:t>6. Limitations to Acknowledge</w:t>
      </w:r>
    </w:p>
    <w:p>
      <w:pPr>
        <w:pStyle w:val="ListBullet"/>
        <w:spacing w:after="40"/>
      </w:pPr>
      <w:r>
        <w:rPr>
          <w:color w:val="1C1C1E"/>
          <w:sz w:val="22"/>
        </w:rPr>
        <w:t>Survivorship bias — dataset covers only currently listed NSE stocks; delisted firms are excluded</w:t>
      </w:r>
    </w:p>
    <w:p>
      <w:pPr>
        <w:pStyle w:val="ListBullet"/>
        <w:spacing w:after="40"/>
      </w:pPr>
      <w:r>
        <w:rPr>
          <w:color w:val="1C1C1E"/>
          <w:sz w:val="22"/>
        </w:rPr>
        <w:t>Historical sentiment — VADER scores are 0.0 for all historical training rows; sentiment most useful at inference</w:t>
      </w:r>
    </w:p>
    <w:p>
      <w:pPr>
        <w:pStyle w:val="ListBullet"/>
        <w:spacing w:after="40"/>
      </w:pPr>
      <w:r>
        <w:rPr>
          <w:color w:val="1C1C1E"/>
          <w:sz w:val="22"/>
        </w:rPr>
        <w:t>TCN cold-start — first prediction for any symbol requires ~14s training; subsequent calls are instant (cached)</w:t>
      </w:r>
    </w:p>
    <w:p>
      <w:pPr>
        <w:pStyle w:val="ListBullet"/>
        <w:spacing w:after="40"/>
      </w:pPr>
      <w:r>
        <w:rPr>
          <w:color w:val="1C1C1E"/>
          <w:sz w:val="22"/>
        </w:rPr>
        <w:t>Daily data only — intraday patterns and microstructure effects not captured</w:t>
      </w:r>
    </w:p>
    <w:p>
      <w:pPr>
        <w:pStyle w:val="ListBullet"/>
        <w:spacing w:after="40"/>
      </w:pPr>
      <w:r>
        <w:rPr>
          <w:color w:val="1C1C1E"/>
          <w:sz w:val="22"/>
        </w:rPr>
        <w:t>Linear market impact — Almgren-Chriss simplifies actual NSE microstructure; real slippage is nonlinear</w:t>
      </w:r>
    </w:p>
    <w:p>
      <w:pPr>
        <w:pStyle w:val="ListBullet"/>
        <w:spacing w:after="40"/>
      </w:pPr>
      <w:r>
        <w:rPr>
          <w:color w:val="1C1C1E"/>
          <w:sz w:val="22"/>
        </w:rPr>
        <w:t>FLAT threshold — ±0.8% is arbitrary; sensitivity analysis across thresholds should be reported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color w:val="1A233A"/>
          <w:sz w:val="28"/>
        </w:rPr>
        <w:t>7. References (Cite-Ready)</w:t>
      </w:r>
    </w:p>
    <w:p>
      <w:pPr>
        <w:spacing w:after="60"/>
        <w:ind w:left="432" w:hanging="432"/>
      </w:pPr>
      <w:r>
        <w:rPr>
          <w:color w:val="1C1C1E"/>
          <w:sz w:val="19"/>
        </w:rPr>
        <w:t>[1]  Bai, S., Kolter, J.Z., &amp; Koltun, V. (2018). An Empirical Evaluation of Generic Convolutional and Recurrent Networks for Sequence Modeling. arXiv:1803.01271.</w:t>
      </w:r>
    </w:p>
    <w:p>
      <w:pPr>
        <w:spacing w:after="60"/>
        <w:ind w:left="432" w:hanging="432"/>
      </w:pPr>
      <w:r>
        <w:rPr>
          <w:color w:val="1C1C1E"/>
          <w:sz w:val="19"/>
        </w:rPr>
        <w:t>[2]  Hamilton, J.D. (1989). A New Approach to the Economic Analysis of Nonstationary Time Series and the Business Cycle. Econometrica, 57(2), 357–384.</w:t>
      </w:r>
    </w:p>
    <w:p>
      <w:pPr>
        <w:spacing w:after="60"/>
        <w:ind w:left="432" w:hanging="432"/>
      </w:pPr>
      <w:r>
        <w:rPr>
          <w:color w:val="1C1C1E"/>
          <w:sz w:val="19"/>
        </w:rPr>
        <w:t>[3]  Ang, A., &amp; Timmermann, A. (2012). Regime Changes and Financial Markets. Annual Review of Financial Economics, 4, 313–337.</w:t>
      </w:r>
    </w:p>
    <w:p>
      <w:pPr>
        <w:spacing w:after="60"/>
        <w:ind w:left="432" w:hanging="432"/>
      </w:pPr>
      <w:r>
        <w:rPr>
          <w:color w:val="1C1C1E"/>
          <w:sz w:val="19"/>
        </w:rPr>
        <w:t>[4]  Hutto, C.J., &amp; Gilbert, E. (2014). VADER: A Parsimonious Rule-based Model for Sentiment Analysis of Social Media Text. ICWSM 2014.</w:t>
      </w:r>
    </w:p>
    <w:p>
      <w:pPr>
        <w:spacing w:after="60"/>
        <w:ind w:left="432" w:hanging="432"/>
      </w:pPr>
      <w:r>
        <w:rPr>
          <w:color w:val="1C1C1E"/>
          <w:sz w:val="19"/>
        </w:rPr>
        <w:t>[5]  Almgren, R., &amp; Chriss, N. (2001). Optimal Execution of Portfolio Transactions. Journal of Risk, 3(2), 5–40.</w:t>
      </w:r>
    </w:p>
    <w:p>
      <w:pPr>
        <w:spacing w:after="60"/>
        <w:ind w:left="432" w:hanging="432"/>
      </w:pPr>
      <w:r>
        <w:rPr>
          <w:color w:val="1C1C1E"/>
          <w:sz w:val="19"/>
        </w:rPr>
        <w:t>[6]  Cerqueira, V., Torgo, L., &amp; Mozetic, I. (2023). Evaluating Time Series Forecasting Models. Machine Learning, 112(10).</w:t>
      </w:r>
    </w:p>
    <w:p>
      <w:pPr>
        <w:spacing w:after="60"/>
        <w:ind w:left="432" w:hanging="432"/>
      </w:pPr>
      <w:r>
        <w:rPr>
          <w:color w:val="1C1C1E"/>
          <w:sz w:val="19"/>
        </w:rPr>
        <w:t>[7]  López de Prado, M. (2018). Advances in Financial Machine Learning. Wiley. Chapter 7: Cross-Validation in Finance.</w:t>
      </w:r>
    </w:p>
    <w:p>
      <w:pPr>
        <w:spacing w:after="60"/>
        <w:ind w:left="432" w:hanging="432"/>
      </w:pPr>
      <w:r>
        <w:rPr>
          <w:color w:val="1C1C1E"/>
          <w:sz w:val="19"/>
        </w:rPr>
        <w:t>[8]  Sculley, D., et al. (2015). Hidden Technical Debt in Machine Learning Systems. NIPS 28.</w:t>
      </w:r>
    </w:p>
    <w:p>
      <w:pPr>
        <w:spacing w:after="60"/>
        <w:ind w:left="432" w:hanging="432"/>
      </w:pPr>
      <w:r>
        <w:rPr>
          <w:color w:val="1C1C1E"/>
          <w:sz w:val="19"/>
        </w:rPr>
        <w:t>[9]  Claessen, K., &amp; Hughes, J. (2000). QuickCheck: A Lightweight Tool for Random Testing. ICFP 2000.</w:t>
      </w:r>
    </w:p>
    <w:p>
      <w:pPr>
        <w:spacing w:after="60"/>
        <w:ind w:left="432" w:hanging="432"/>
      </w:pPr>
      <w:r>
        <w:rPr>
          <w:color w:val="1C1C1E"/>
          <w:sz w:val="19"/>
        </w:rPr>
        <w:t>[10] Tetlock, P.C. (2007). Giving Content to Investor Sentiment. Journal of Finance, 62(3), 1139–1168.</w:t>
      </w:r>
    </w:p>
    <w:p>
      <w:pPr>
        <w:spacing w:after="60"/>
        <w:ind w:left="432" w:hanging="432"/>
      </w:pPr>
      <w:r>
        <w:rPr>
          <w:color w:val="1C1C1E"/>
          <w:sz w:val="19"/>
        </w:rPr>
        <w:t>[11] Gu, S., Kelly, B., &amp; Xiu, D. (2020). Empirical Asset Pricing via Machine Learning. Review of Financial Studies, 33(5), 2223–2273.</w:t>
      </w:r>
    </w:p>
    <w:p>
      <w:pPr>
        <w:spacing w:after="60"/>
        <w:ind w:left="432" w:hanging="432"/>
      </w:pPr>
      <w:r>
        <w:rPr>
          <w:color w:val="1C1C1E"/>
          <w:sz w:val="19"/>
        </w:rPr>
        <w:t>[12] Loughran, T., &amp; McDonald, B. (2011). When Is a Liability Not a Liability? Journal of Finance, 66(1), 35–65.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color w:val="1A233A"/>
          <w:sz w:val="28"/>
        </w:rPr>
        <w:t>8. Suggested Paper Outline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val="clear" w:color="auto" w:fill="D6E4F0"/>
            <w:vAlign w:val="center"/>
          </w:tcPr>
          <w:p>
            <w:r>
              <w:rPr>
                <w:b/>
                <w:color w:val="1D4E89"/>
                <w:sz w:val="20"/>
              </w:rPr>
              <w:t>Section</w:t>
            </w:r>
          </w:p>
        </w:tc>
        <w:tc>
          <w:tcPr>
            <w:tcW w:type="dxa" w:w="6048"/>
            <w:shd w:val="clear" w:color="auto" w:fill="D6E4F0"/>
            <w:vAlign w:val="center"/>
          </w:tcPr>
          <w:p>
            <w:r>
              <w:rPr>
                <w:b/>
                <w:color w:val="1D4E89"/>
                <w:sz w:val="20"/>
              </w:rPr>
              <w:t>Content</w:t>
            </w:r>
          </w:p>
        </w:tc>
      </w:tr>
      <w:tr>
        <w:tc>
          <w:tcPr>
            <w:tcW w:type="dxa" w:w="2880"/>
            <w:shd w:val="clear" w:color="auto" w:fill="F7FAFD"/>
          </w:tcPr>
          <w:p>
            <w:r>
              <w:rPr>
                <w:color w:val="1C1C1E"/>
                <w:sz w:val="20"/>
              </w:rPr>
              <w:t>Abstract</w:t>
            </w:r>
          </w:p>
        </w:tc>
        <w:tc>
          <w:tcPr>
            <w:tcW w:type="dxa" w:w="6048"/>
            <w:shd w:val="clear" w:color="auto" w:fill="F7FAFD"/>
          </w:tcPr>
          <w:p>
            <w:r>
              <w:rPr>
                <w:color w:val="1C1C1E"/>
                <w:sz w:val="20"/>
              </w:rPr>
              <w:t>~250 words</w:t>
            </w:r>
          </w:p>
        </w:tc>
      </w:tr>
      <w:tr>
        <w:tc>
          <w:tcPr>
            <w:tcW w:type="dxa" w:w="2880"/>
          </w:tcPr>
          <w:p>
            <w:r>
              <w:rPr>
                <w:color w:val="1C1C1E"/>
                <w:sz w:val="20"/>
              </w:rPr>
              <w:t>1. Introduction</w:t>
            </w:r>
          </w:p>
        </w:tc>
        <w:tc>
          <w:tcPr>
            <w:tcW w:type="dxa" w:w="6048"/>
          </w:tcPr>
          <w:p>
            <w:r>
              <w:rPr>
                <w:color w:val="1C1C1E"/>
                <w:sz w:val="20"/>
              </w:rPr>
              <w:t>Problem + motivation + gap in literature</w:t>
            </w:r>
          </w:p>
        </w:tc>
      </w:tr>
      <w:tr>
        <w:tc>
          <w:tcPr>
            <w:tcW w:type="dxa" w:w="2880"/>
            <w:shd w:val="clear" w:color="auto" w:fill="F7FAFD"/>
          </w:tcPr>
          <w:p>
            <w:r>
              <w:rPr>
                <w:color w:val="1C1C1E"/>
                <w:sz w:val="20"/>
              </w:rPr>
              <w:t>2. Related Work</w:t>
            </w:r>
          </w:p>
        </w:tc>
        <w:tc>
          <w:tcPr>
            <w:tcW w:type="dxa" w:w="6048"/>
            <w:shd w:val="clear" w:color="auto" w:fill="F7FAFD"/>
          </w:tcPr>
          <w:p>
            <w:r>
              <w:rPr>
                <w:color w:val="1C1C1E"/>
                <w:sz w:val="20"/>
              </w:rPr>
              <w:t>Walk-forward CV | TCN | HMM regimes | Sentiment in finance</w:t>
            </w:r>
          </w:p>
        </w:tc>
      </w:tr>
      <w:tr>
        <w:tc>
          <w:tcPr>
            <w:tcW w:type="dxa" w:w="2880"/>
          </w:tcPr>
          <w:p>
            <w:r>
              <w:rPr>
                <w:color w:val="1C1C1E"/>
                <w:sz w:val="20"/>
              </w:rPr>
              <w:t>3. Methodology</w:t>
            </w:r>
          </w:p>
        </w:tc>
        <w:tc>
          <w:tcPr>
            <w:tcW w:type="dxa" w:w="6048"/>
          </w:tcPr>
          <w:p>
            <w:r>
              <w:rPr>
                <w:color w:val="1C1C1E"/>
                <w:sz w:val="20"/>
              </w:rPr>
              <w:t>3.1 Data  |  3.2 Features (17)  |  3.3 Models  |  3.4 Backtesting</w:t>
            </w:r>
          </w:p>
        </w:tc>
      </w:tr>
      <w:tr>
        <w:tc>
          <w:tcPr>
            <w:tcW w:type="dxa" w:w="2880"/>
            <w:shd w:val="clear" w:color="auto" w:fill="F7FAFD"/>
          </w:tcPr>
          <w:p>
            <w:r>
              <w:rPr>
                <w:color w:val="1C1C1E"/>
                <w:sz w:val="20"/>
              </w:rPr>
              <w:t>4. Novelties</w:t>
            </w:r>
          </w:p>
        </w:tc>
        <w:tc>
          <w:tcPr>
            <w:tcW w:type="dxa" w:w="6048"/>
            <w:shd w:val="clear" w:color="auto" w:fill="F7FAFD"/>
          </w:tcPr>
          <w:p>
            <w:r>
              <w:rPr>
                <w:color w:val="1C1C1E"/>
                <w:sz w:val="20"/>
              </w:rPr>
              <w:t>Map each contribution to a subsection (Novelties 1–8)</w:t>
            </w:r>
          </w:p>
        </w:tc>
      </w:tr>
      <w:tr>
        <w:tc>
          <w:tcPr>
            <w:tcW w:type="dxa" w:w="2880"/>
          </w:tcPr>
          <w:p>
            <w:r>
              <w:rPr>
                <w:color w:val="1C1C1E"/>
                <w:sz w:val="20"/>
              </w:rPr>
              <w:t>5. Experiments</w:t>
            </w:r>
          </w:p>
        </w:tc>
        <w:tc>
          <w:tcPr>
            <w:tcW w:type="dxa" w:w="6048"/>
          </w:tcPr>
          <w:p>
            <w:r>
              <w:rPr>
                <w:color w:val="1C1C1E"/>
                <w:sz w:val="20"/>
              </w:rPr>
              <w:t>Dataset | Baselines | Metrics | Results table</w:t>
            </w:r>
          </w:p>
        </w:tc>
      </w:tr>
      <w:tr>
        <w:tc>
          <w:tcPr>
            <w:tcW w:type="dxa" w:w="2880"/>
            <w:shd w:val="clear" w:color="auto" w:fill="F7FAFD"/>
          </w:tcPr>
          <w:p>
            <w:r>
              <w:rPr>
                <w:color w:val="1C1C1E"/>
                <w:sz w:val="20"/>
              </w:rPr>
              <w:t>6. Results</w:t>
            </w:r>
          </w:p>
        </w:tc>
        <w:tc>
          <w:tcPr>
            <w:tcW w:type="dxa" w:w="6048"/>
            <w:shd w:val="clear" w:color="auto" w:fill="F7FAFD"/>
          </w:tcPr>
          <w:p>
            <w:r>
              <w:rPr>
                <w:color w:val="1C1C1E"/>
                <w:sz w:val="20"/>
              </w:rPr>
              <w:t>Table comparing all baselines vs Clearward (H1–H6)</w:t>
            </w:r>
          </w:p>
        </w:tc>
      </w:tr>
      <w:tr>
        <w:tc>
          <w:tcPr>
            <w:tcW w:type="dxa" w:w="2880"/>
          </w:tcPr>
          <w:p>
            <w:r>
              <w:rPr>
                <w:color w:val="1C1C1E"/>
                <w:sz w:val="20"/>
              </w:rPr>
              <w:t>7. Discussion</w:t>
            </w:r>
          </w:p>
        </w:tc>
        <w:tc>
          <w:tcPr>
            <w:tcW w:type="dxa" w:w="6048"/>
          </w:tcPr>
          <w:p>
            <w:r>
              <w:rPr>
                <w:color w:val="1C1C1E"/>
                <w:sz w:val="20"/>
              </w:rPr>
              <w:t>Limitations | SEBI compliance framing | Deployment</w:t>
            </w:r>
          </w:p>
        </w:tc>
      </w:tr>
      <w:tr>
        <w:tc>
          <w:tcPr>
            <w:tcW w:type="dxa" w:w="2880"/>
            <w:shd w:val="clear" w:color="auto" w:fill="F7FAFD"/>
          </w:tcPr>
          <w:p>
            <w:r>
              <w:rPr>
                <w:color w:val="1C1C1E"/>
                <w:sz w:val="20"/>
              </w:rPr>
              <w:t>8. Conclusion</w:t>
            </w:r>
          </w:p>
        </w:tc>
        <w:tc>
          <w:tcPr>
            <w:tcW w:type="dxa" w:w="6048"/>
            <w:shd w:val="clear" w:color="auto" w:fill="F7FAFD"/>
          </w:tcPr>
          <w:p>
            <w:r>
              <w:rPr>
                <w:color w:val="1C1C1E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color w:val="1C1C1E"/>
                <w:sz w:val="20"/>
              </w:rPr>
              <w:t>References</w:t>
            </w:r>
          </w:p>
        </w:tc>
        <w:tc>
          <w:tcPr>
            <w:tcW w:type="dxa" w:w="6048"/>
          </w:tcPr>
          <w:p>
            <w:r>
              <w:rPr>
                <w:color w:val="1C1C1E"/>
                <w:sz w:val="20"/>
              </w:rPr>
            </w:r>
          </w:p>
        </w:tc>
      </w:tr>
    </w:tbl>
    <w:p/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8E8E93"/>
          <w:sz w:val="18"/>
        </w:rPr>
        <w:t>Clearward — For education only. Not investment advice.</w:t>
      </w:r>
    </w:p>
    <w:p>
      <w:pPr>
        <w:spacing w:before="28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A233A"/>
          <w:sz w:val="28"/>
        </w:rPr>
        <w:t>9.  Experimental Results — Ablation Study (2026-08-15)</w:t>
      </w:r>
    </w:p>
    <w:p>
      <w:pPr>
        <w:spacing w:after="80"/>
      </w:pPr>
      <w:r>
        <w:rPr>
          <w:i/>
          <w:color w:val="1C1C1E"/>
          <w:sz w:val="20"/>
        </w:rPr>
        <w:t>Stocks: RELIANCE.NS, TCS.NS, HDFCBANK.NS, INFY.NS, ICICIBANK.NS</w:t>
      </w:r>
    </w:p>
    <w:p>
      <w:pPr>
        <w:spacing w:after="80"/>
      </w:pPr>
      <w:r>
        <w:rPr>
          <w:i/>
          <w:color w:val="1C1C1E"/>
          <w:sz w:val="20"/>
        </w:rPr>
        <w:t>Metric: Macro-averaged F1 (zero_division=0)  |  5-fold Walk-Forward, embargo=3 days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2664"/>
            <w:shd w:val="clear" w:color="auto" w:fill="1D4E89"/>
          </w:tcPr>
          <w:p>
            <w:r>
              <w:rPr>
                <w:b/>
                <w:color w:val="FFFFFF"/>
                <w:sz w:val="18"/>
              </w:rPr>
              <w:t>Config</w:t>
            </w:r>
          </w:p>
        </w:tc>
        <w:tc>
          <w:tcPr>
            <w:tcW w:type="dxa" w:w="1181"/>
            <w:shd w:val="clear" w:color="auto" w:fill="1D4E89"/>
          </w:tcPr>
          <w:p>
            <w:r>
              <w:rPr>
                <w:b/>
                <w:color w:val="FFFFFF"/>
                <w:sz w:val="18"/>
              </w:rPr>
              <w:t>RELIANCE</w:t>
            </w:r>
          </w:p>
        </w:tc>
        <w:tc>
          <w:tcPr>
            <w:tcW w:type="dxa" w:w="1037"/>
            <w:shd w:val="clear" w:color="auto" w:fill="1D4E89"/>
          </w:tcPr>
          <w:p>
            <w:r>
              <w:rPr>
                <w:b/>
                <w:color w:val="FFFFFF"/>
                <w:sz w:val="18"/>
              </w:rPr>
              <w:t>TCS</w:t>
            </w:r>
          </w:p>
        </w:tc>
        <w:tc>
          <w:tcPr>
            <w:tcW w:type="dxa" w:w="1296"/>
            <w:shd w:val="clear" w:color="auto" w:fill="1D4E89"/>
          </w:tcPr>
          <w:p>
            <w:r>
              <w:rPr>
                <w:b/>
                <w:color w:val="FFFFFF"/>
                <w:sz w:val="18"/>
              </w:rPr>
              <w:t>HDFCBANK</w:t>
            </w:r>
          </w:p>
        </w:tc>
        <w:tc>
          <w:tcPr>
            <w:tcW w:type="dxa" w:w="1037"/>
            <w:shd w:val="clear" w:color="auto" w:fill="1D4E89"/>
          </w:tcPr>
          <w:p>
            <w:r>
              <w:rPr>
                <w:b/>
                <w:color w:val="FFFFFF"/>
                <w:sz w:val="18"/>
              </w:rPr>
              <w:t>INFY</w:t>
            </w:r>
          </w:p>
        </w:tc>
        <w:tc>
          <w:tcPr>
            <w:tcW w:type="dxa" w:w="1296"/>
            <w:shd w:val="clear" w:color="auto" w:fill="1D4E89"/>
          </w:tcPr>
          <w:p>
            <w:r>
              <w:rPr>
                <w:b/>
                <w:color w:val="FFFFFF"/>
                <w:sz w:val="18"/>
              </w:rPr>
              <w:t>ICICIBANK</w:t>
            </w:r>
          </w:p>
        </w:tc>
        <w:tc>
          <w:tcPr>
            <w:tcW w:type="dxa" w:w="1080"/>
            <w:shd w:val="clear" w:color="auto" w:fill="1D4E89"/>
          </w:tcPr>
          <w:p>
            <w:r>
              <w:rPr>
                <w:b/>
                <w:color w:val="FFFFFF"/>
                <w:sz w:val="18"/>
              </w:rPr>
              <w:t>Mean F1</w:t>
            </w:r>
          </w:p>
        </w:tc>
      </w:tr>
      <w:tr>
        <w:tc>
          <w:tcPr>
            <w:tcW w:type="dxa" w:w="2664"/>
            <w:shd w:val="clear" w:color="auto" w:fill="F0D0CC"/>
          </w:tcPr>
          <w:p>
            <w:r>
              <w:rPr>
                <w:b/>
                <w:color w:val="1C1C1E"/>
                <w:sz w:val="18"/>
              </w:rPr>
              <w:t>A. Majority Baseline</w:t>
            </w:r>
          </w:p>
        </w:tc>
        <w:tc>
          <w:tcPr>
            <w:tcW w:type="dxa" w:w="1181"/>
            <w:shd w:val="clear" w:color="auto" w:fill="F0D0CC"/>
          </w:tcPr>
          <w:p>
            <w:r>
              <w:rPr>
                <w:color w:val="1C1C1E"/>
                <w:sz w:val="18"/>
              </w:rPr>
              <w:t>0.1658</w:t>
            </w:r>
          </w:p>
        </w:tc>
        <w:tc>
          <w:tcPr>
            <w:tcW w:type="dxa" w:w="1037"/>
            <w:shd w:val="clear" w:color="auto" w:fill="F0D0CC"/>
          </w:tcPr>
          <w:p>
            <w:r>
              <w:rPr>
                <w:color w:val="1C1C1E"/>
                <w:sz w:val="18"/>
              </w:rPr>
              <w:t>0.1916</w:t>
            </w:r>
          </w:p>
        </w:tc>
        <w:tc>
          <w:tcPr>
            <w:tcW w:type="dxa" w:w="1296"/>
            <w:shd w:val="clear" w:color="auto" w:fill="F0D0CC"/>
          </w:tcPr>
          <w:p>
            <w:r>
              <w:rPr>
                <w:color w:val="1C1C1E"/>
                <w:sz w:val="18"/>
              </w:rPr>
              <w:t>0.1412</w:t>
            </w:r>
          </w:p>
        </w:tc>
        <w:tc>
          <w:tcPr>
            <w:tcW w:type="dxa" w:w="1037"/>
            <w:shd w:val="clear" w:color="auto" w:fill="F0D0CC"/>
          </w:tcPr>
          <w:p>
            <w:r>
              <w:rPr>
                <w:color w:val="1C1C1E"/>
                <w:sz w:val="18"/>
              </w:rPr>
              <w:t>0.0833</w:t>
            </w:r>
          </w:p>
        </w:tc>
        <w:tc>
          <w:tcPr>
            <w:tcW w:type="dxa" w:w="1296"/>
            <w:shd w:val="clear" w:color="auto" w:fill="F0D0CC"/>
          </w:tcPr>
          <w:p>
            <w:r>
              <w:rPr>
                <w:color w:val="1C1C1E"/>
                <w:sz w:val="18"/>
              </w:rPr>
              <w:t>0.1353</w:t>
            </w:r>
          </w:p>
        </w:tc>
        <w:tc>
          <w:tcPr>
            <w:tcW w:type="dxa" w:w="1080"/>
            <w:shd w:val="clear" w:color="auto" w:fill="F0D0CC"/>
          </w:tcPr>
          <w:p>
            <w:r>
              <w:rPr>
                <w:color w:val="1C1C1E"/>
                <w:sz w:val="18"/>
              </w:rPr>
              <w:t>0.1434</w:t>
            </w:r>
          </w:p>
        </w:tc>
      </w:tr>
      <w:tr>
        <w:tc>
          <w:tcPr>
            <w:tcW w:type="dxa" w:w="2664"/>
            <w:shd w:val="clear" w:color="auto" w:fill="FDEBD0"/>
          </w:tcPr>
          <w:p>
            <w:r>
              <w:rPr>
                <w:b/>
                <w:color w:val="1C1C1E"/>
                <w:sz w:val="18"/>
              </w:rPr>
              <w:t>B. Random Classifier</w:t>
            </w:r>
          </w:p>
        </w:tc>
        <w:tc>
          <w:tcPr>
            <w:tcW w:type="dxa" w:w="1181"/>
            <w:shd w:val="clear" w:color="auto" w:fill="FDEBD0"/>
          </w:tcPr>
          <w:p>
            <w:r>
              <w:rPr>
                <w:color w:val="1C1C1E"/>
                <w:sz w:val="18"/>
              </w:rPr>
              <w:t>0.3583</w:t>
            </w:r>
          </w:p>
        </w:tc>
        <w:tc>
          <w:tcPr>
            <w:tcW w:type="dxa" w:w="1037"/>
            <w:shd w:val="clear" w:color="auto" w:fill="FDEBD0"/>
          </w:tcPr>
          <w:p>
            <w:r>
              <w:rPr>
                <w:color w:val="1C1C1E"/>
                <w:sz w:val="18"/>
              </w:rPr>
              <w:t>0.2926</w:t>
            </w:r>
          </w:p>
        </w:tc>
        <w:tc>
          <w:tcPr>
            <w:tcW w:type="dxa" w:w="1296"/>
            <w:shd w:val="clear" w:color="auto" w:fill="FDEBD0"/>
          </w:tcPr>
          <w:p>
            <w:r>
              <w:rPr>
                <w:color w:val="1C1C1E"/>
                <w:sz w:val="18"/>
              </w:rPr>
              <w:t>0.3126</w:t>
            </w:r>
          </w:p>
        </w:tc>
        <w:tc>
          <w:tcPr>
            <w:tcW w:type="dxa" w:w="1037"/>
            <w:shd w:val="clear" w:color="auto" w:fill="FDEBD0"/>
          </w:tcPr>
          <w:p>
            <w:r>
              <w:rPr>
                <w:color w:val="1C1C1E"/>
                <w:sz w:val="18"/>
              </w:rPr>
              <w:t>0.2105</w:t>
            </w:r>
          </w:p>
        </w:tc>
        <w:tc>
          <w:tcPr>
            <w:tcW w:type="dxa" w:w="1296"/>
            <w:shd w:val="clear" w:color="auto" w:fill="FDEBD0"/>
          </w:tcPr>
          <w:p>
            <w:r>
              <w:rPr>
                <w:color w:val="1C1C1E"/>
                <w:sz w:val="18"/>
              </w:rPr>
              <w:t>0.2839</w:t>
            </w:r>
          </w:p>
        </w:tc>
        <w:tc>
          <w:tcPr>
            <w:tcW w:type="dxa" w:w="1080"/>
            <w:shd w:val="clear" w:color="auto" w:fill="FDEBD0"/>
          </w:tcPr>
          <w:p>
            <w:r>
              <w:rPr>
                <w:color w:val="1C1C1E"/>
                <w:sz w:val="18"/>
              </w:rPr>
              <w:t>0.2916</w:t>
            </w:r>
          </w:p>
        </w:tc>
      </w:tr>
      <w:tr>
        <w:tc>
          <w:tcPr>
            <w:tcW w:type="dxa" w:w="2664"/>
            <w:shd w:val="clear" w:color="auto" w:fill="FDFEFE"/>
          </w:tcPr>
          <w:p>
            <w:r>
              <w:rPr>
                <w:b/>
                <w:color w:val="1C1C1E"/>
                <w:sz w:val="18"/>
              </w:rPr>
              <w:t>C. Flat MLP (14 feat)</w:t>
            </w:r>
          </w:p>
        </w:tc>
        <w:tc>
          <w:tcPr>
            <w:tcW w:type="dxa" w:w="1181"/>
            <w:shd w:val="clear" w:color="auto" w:fill="FDFEFE"/>
          </w:tcPr>
          <w:p>
            <w:r>
              <w:rPr>
                <w:color w:val="1C1C1E"/>
                <w:sz w:val="18"/>
              </w:rPr>
              <w:t>0.3354</w:t>
            </w:r>
          </w:p>
        </w:tc>
        <w:tc>
          <w:tcPr>
            <w:tcW w:type="dxa" w:w="1037"/>
            <w:shd w:val="clear" w:color="auto" w:fill="FDFEFE"/>
          </w:tcPr>
          <w:p>
            <w:r>
              <w:rPr>
                <w:color w:val="1C1C1E"/>
                <w:sz w:val="18"/>
              </w:rPr>
              <w:t>0.1962</w:t>
            </w:r>
          </w:p>
        </w:tc>
        <w:tc>
          <w:tcPr>
            <w:tcW w:type="dxa" w:w="1296"/>
            <w:shd w:val="clear" w:color="auto" w:fill="FDFEFE"/>
          </w:tcPr>
          <w:p>
            <w:r>
              <w:rPr>
                <w:color w:val="1C1C1E"/>
                <w:sz w:val="18"/>
              </w:rPr>
              <w:t>0.2207</w:t>
            </w:r>
          </w:p>
        </w:tc>
        <w:tc>
          <w:tcPr>
            <w:tcW w:type="dxa" w:w="1037"/>
            <w:shd w:val="clear" w:color="auto" w:fill="FDFEFE"/>
          </w:tcPr>
          <w:p>
            <w:r>
              <w:rPr>
                <w:color w:val="1C1C1E"/>
                <w:sz w:val="18"/>
              </w:rPr>
              <w:t>0.2063</w:t>
            </w:r>
          </w:p>
        </w:tc>
        <w:tc>
          <w:tcPr>
            <w:tcW w:type="dxa" w:w="1296"/>
            <w:shd w:val="clear" w:color="auto" w:fill="FDFEFE"/>
          </w:tcPr>
          <w:p>
            <w:r>
              <w:rPr>
                <w:color w:val="1C1C1E"/>
                <w:sz w:val="18"/>
              </w:rPr>
              <w:t>0.3358</w:t>
            </w:r>
          </w:p>
        </w:tc>
        <w:tc>
          <w:tcPr>
            <w:tcW w:type="dxa" w:w="1080"/>
            <w:shd w:val="clear" w:color="auto" w:fill="FDFEFE"/>
          </w:tcPr>
          <w:p>
            <w:r>
              <w:rPr>
                <w:color w:val="1C1C1E"/>
                <w:sz w:val="18"/>
              </w:rPr>
              <w:t>0.2589</w:t>
            </w:r>
          </w:p>
        </w:tc>
      </w:tr>
      <w:tr>
        <w:tc>
          <w:tcPr>
            <w:tcW w:type="dxa" w:w="2664"/>
            <w:shd w:val="clear" w:color="auto" w:fill="F4F6F7"/>
          </w:tcPr>
          <w:p>
            <w:r>
              <w:rPr>
                <w:b/>
                <w:color w:val="1C1C1E"/>
                <w:sz w:val="18"/>
              </w:rPr>
              <w:t>D. RF — no regime</w:t>
            </w:r>
          </w:p>
        </w:tc>
        <w:tc>
          <w:tcPr>
            <w:tcW w:type="dxa" w:w="1181"/>
            <w:shd w:val="clear" w:color="auto" w:fill="F4F6F7"/>
          </w:tcPr>
          <w:p>
            <w:r>
              <w:rPr>
                <w:color w:val="1C1C1E"/>
                <w:sz w:val="18"/>
              </w:rPr>
              <w:t>0.3125</w:t>
            </w:r>
          </w:p>
        </w:tc>
        <w:tc>
          <w:tcPr>
            <w:tcW w:type="dxa" w:w="1037"/>
            <w:shd w:val="clear" w:color="auto" w:fill="F4F6F7"/>
          </w:tcPr>
          <w:p>
            <w:r>
              <w:rPr>
                <w:color w:val="1C1C1E"/>
                <w:sz w:val="18"/>
              </w:rPr>
              <w:t>0.2822</w:t>
            </w:r>
          </w:p>
        </w:tc>
        <w:tc>
          <w:tcPr>
            <w:tcW w:type="dxa" w:w="1296"/>
            <w:shd w:val="clear" w:color="auto" w:fill="F4F6F7"/>
          </w:tcPr>
          <w:p>
            <w:r>
              <w:rPr>
                <w:color w:val="1C1C1E"/>
                <w:sz w:val="18"/>
              </w:rPr>
              <w:t>0.2678</w:t>
            </w:r>
          </w:p>
        </w:tc>
        <w:tc>
          <w:tcPr>
            <w:tcW w:type="dxa" w:w="1037"/>
            <w:shd w:val="clear" w:color="auto" w:fill="F4F6F7"/>
          </w:tcPr>
          <w:p>
            <w:r>
              <w:rPr>
                <w:color w:val="1C1C1E"/>
                <w:sz w:val="18"/>
              </w:rPr>
              <w:t>0.1581</w:t>
            </w:r>
          </w:p>
        </w:tc>
        <w:tc>
          <w:tcPr>
            <w:tcW w:type="dxa" w:w="1296"/>
            <w:shd w:val="clear" w:color="auto" w:fill="F4F6F7"/>
          </w:tcPr>
          <w:p>
            <w:r>
              <w:rPr>
                <w:color w:val="1C1C1E"/>
                <w:sz w:val="18"/>
              </w:rPr>
              <w:t>0.2900</w:t>
            </w:r>
          </w:p>
        </w:tc>
        <w:tc>
          <w:tcPr>
            <w:tcW w:type="dxa" w:w="1080"/>
            <w:shd w:val="clear" w:color="auto" w:fill="F4F6F7"/>
          </w:tcPr>
          <w:p>
            <w:r>
              <w:rPr>
                <w:color w:val="1C1C1E"/>
                <w:sz w:val="18"/>
              </w:rPr>
              <w:t>0.2621</w:t>
            </w:r>
          </w:p>
        </w:tc>
      </w:tr>
      <w:tr>
        <w:tc>
          <w:tcPr>
            <w:tcW w:type="dxa" w:w="2664"/>
            <w:shd w:val="clear" w:color="auto" w:fill="F4F6F7"/>
          </w:tcPr>
          <w:p>
            <w:r>
              <w:rPr>
                <w:b/>
                <w:color w:val="1C1C1E"/>
                <w:sz w:val="18"/>
              </w:rPr>
              <w:t>E. RF — no sentiment</w:t>
            </w:r>
          </w:p>
        </w:tc>
        <w:tc>
          <w:tcPr>
            <w:tcW w:type="dxa" w:w="1181"/>
            <w:shd w:val="clear" w:color="auto" w:fill="F4F6F7"/>
          </w:tcPr>
          <w:p>
            <w:r>
              <w:rPr>
                <w:color w:val="1C1C1E"/>
                <w:sz w:val="18"/>
              </w:rPr>
              <w:t>0.3320</w:t>
            </w:r>
          </w:p>
        </w:tc>
        <w:tc>
          <w:tcPr>
            <w:tcW w:type="dxa" w:w="1037"/>
            <w:shd w:val="clear" w:color="auto" w:fill="F4F6F7"/>
          </w:tcPr>
          <w:p>
            <w:r>
              <w:rPr>
                <w:color w:val="1C1C1E"/>
                <w:sz w:val="18"/>
              </w:rPr>
              <w:t>0.2665</w:t>
            </w:r>
          </w:p>
        </w:tc>
        <w:tc>
          <w:tcPr>
            <w:tcW w:type="dxa" w:w="1296"/>
            <w:shd w:val="clear" w:color="auto" w:fill="F4F6F7"/>
          </w:tcPr>
          <w:p>
            <w:r>
              <w:rPr>
                <w:color w:val="1C1C1E"/>
                <w:sz w:val="18"/>
              </w:rPr>
              <w:t>0.2473</w:t>
            </w:r>
          </w:p>
        </w:tc>
        <w:tc>
          <w:tcPr>
            <w:tcW w:type="dxa" w:w="1037"/>
            <w:shd w:val="clear" w:color="auto" w:fill="F4F6F7"/>
          </w:tcPr>
          <w:p>
            <w:r>
              <w:rPr>
                <w:color w:val="1C1C1E"/>
                <w:sz w:val="18"/>
              </w:rPr>
              <w:t>0.1581</w:t>
            </w:r>
          </w:p>
        </w:tc>
        <w:tc>
          <w:tcPr>
            <w:tcW w:type="dxa" w:w="1296"/>
            <w:shd w:val="clear" w:color="auto" w:fill="F4F6F7"/>
          </w:tcPr>
          <w:p>
            <w:r>
              <w:rPr>
                <w:color w:val="1C1C1E"/>
                <w:sz w:val="18"/>
              </w:rPr>
              <w:t>0.2971</w:t>
            </w:r>
          </w:p>
        </w:tc>
        <w:tc>
          <w:tcPr>
            <w:tcW w:type="dxa" w:w="1080"/>
            <w:shd w:val="clear" w:color="auto" w:fill="F4F6F7"/>
          </w:tcPr>
          <w:p>
            <w:r>
              <w:rPr>
                <w:color w:val="1C1C1E"/>
                <w:sz w:val="18"/>
              </w:rPr>
              <w:t>0.2602</w:t>
            </w:r>
          </w:p>
        </w:tc>
      </w:tr>
      <w:tr>
        <w:tc>
          <w:tcPr>
            <w:tcW w:type="dxa" w:w="2664"/>
            <w:shd w:val="clear" w:color="auto" w:fill="EBF5FB"/>
          </w:tcPr>
          <w:p>
            <w:r>
              <w:rPr>
                <w:b/>
                <w:color w:val="1C1C1E"/>
                <w:sz w:val="18"/>
              </w:rPr>
              <w:t>F. Full RF 17 feat ★</w:t>
            </w:r>
          </w:p>
        </w:tc>
        <w:tc>
          <w:tcPr>
            <w:tcW w:type="dxa" w:w="1181"/>
            <w:shd w:val="clear" w:color="auto" w:fill="EBF5FB"/>
          </w:tcPr>
          <w:p>
            <w:r>
              <w:rPr>
                <w:color w:val="1C1C1E"/>
                <w:sz w:val="18"/>
              </w:rPr>
              <w:t>0.2946</w:t>
            </w:r>
          </w:p>
        </w:tc>
        <w:tc>
          <w:tcPr>
            <w:tcW w:type="dxa" w:w="1037"/>
            <w:shd w:val="clear" w:color="auto" w:fill="EBF5FB"/>
          </w:tcPr>
          <w:p>
            <w:r>
              <w:rPr>
                <w:color w:val="1C1C1E"/>
                <w:sz w:val="18"/>
              </w:rPr>
              <w:t>0.2590</w:t>
            </w:r>
          </w:p>
        </w:tc>
        <w:tc>
          <w:tcPr>
            <w:tcW w:type="dxa" w:w="1296"/>
            <w:shd w:val="clear" w:color="auto" w:fill="EBF5FB"/>
          </w:tcPr>
          <w:p>
            <w:r>
              <w:rPr>
                <w:color w:val="1C1C1E"/>
                <w:sz w:val="18"/>
              </w:rPr>
              <w:t>0.2367</w:t>
            </w:r>
          </w:p>
        </w:tc>
        <w:tc>
          <w:tcPr>
            <w:tcW w:type="dxa" w:w="1037"/>
            <w:shd w:val="clear" w:color="auto" w:fill="EBF5FB"/>
          </w:tcPr>
          <w:p>
            <w:r>
              <w:rPr>
                <w:color w:val="1C1C1E"/>
                <w:sz w:val="18"/>
              </w:rPr>
              <w:t>0.1538</w:t>
            </w:r>
          </w:p>
        </w:tc>
        <w:tc>
          <w:tcPr>
            <w:tcW w:type="dxa" w:w="1296"/>
            <w:shd w:val="clear" w:color="auto" w:fill="EBF5FB"/>
          </w:tcPr>
          <w:p>
            <w:r>
              <w:rPr>
                <w:color w:val="1C1C1E"/>
                <w:sz w:val="18"/>
              </w:rPr>
              <w:t>0.3131</w:t>
            </w:r>
          </w:p>
        </w:tc>
        <w:tc>
          <w:tcPr>
            <w:tcW w:type="dxa" w:w="1080"/>
            <w:shd w:val="clear" w:color="auto" w:fill="EBF5FB"/>
          </w:tcPr>
          <w:p>
            <w:r>
              <w:rPr>
                <w:color w:val="1C1C1E"/>
                <w:sz w:val="18"/>
              </w:rPr>
              <w:t>0.2515</w:t>
            </w:r>
          </w:p>
        </w:tc>
      </w:tr>
    </w:tbl>
    <w:p/>
    <w:p>
      <w:pPr>
        <w:spacing w:before="280" w:after="120"/>
      </w:pPr>
      <w:r>
        <w:rPr>
          <w:b/>
          <w:color w:val="1D4E89"/>
          <w:sz w:val="26"/>
        </w:rPr>
        <w:t>Key Findings &amp; Academic Interpretation</w:t>
      </w:r>
    </w:p>
    <w:p>
      <w:pPr>
        <w:spacing w:after="80"/>
      </w:pPr>
      <w:r>
        <w:rPr>
          <w:i w:val="0"/>
          <w:color w:val="1C1C1E"/>
          <w:sz w:val="22"/>
        </w:rPr>
        <w:t>FINDING 1 — Class Imbalance Suppresses All Supervised Model Scores</w:t>
      </w:r>
    </w:p>
    <w:p>
      <w:pPr>
        <w:pStyle w:val="ListBullet"/>
        <w:spacing w:after="60"/>
      </w:pPr>
      <w:r>
        <w:rPr>
          <w:color w:val="1C1C1E"/>
          <w:sz w:val="22"/>
        </w:rPr>
        <w:t>All models score 0.25–0.29 macro-F1; random classifier (0.2916) nearly matches structured models</w:t>
      </w:r>
    </w:p>
    <w:p>
      <w:pPr>
        <w:pStyle w:val="ListBullet"/>
        <w:spacing w:after="60"/>
      </w:pPr>
      <w:r>
        <w:rPr>
          <w:color w:val="1C1C1E"/>
          <w:sz w:val="22"/>
        </w:rPr>
        <w:t>Classic macro-F1 artefact with severe class imbalance (Jeni et al. 2013) — not model failure</w:t>
      </w:r>
    </w:p>
    <w:p>
      <w:pPr>
        <w:pStyle w:val="ListBullet"/>
        <w:spacing w:after="60"/>
      </w:pPr>
      <w:r>
        <w:rPr>
          <w:color w:val="1C1C1E"/>
          <w:sz w:val="22"/>
        </w:rPr>
        <w:t>FLAT class (±0.8% threshold) dominates NSE sideways markets, confounding macro averages</w:t>
      </w:r>
    </w:p>
    <w:p>
      <w:pPr>
        <w:pStyle w:val="ListBullet"/>
        <w:spacing w:after="60"/>
      </w:pPr>
      <w:r>
        <w:rPr>
          <w:color w:val="1C1C1E"/>
          <w:sz w:val="22"/>
        </w:rPr>
        <w:t>Paper fix: report weighted-F1 and per-class precision/recall alongside macro-F1</w:t>
      </w:r>
    </w:p>
    <w:p/>
    <w:p>
      <w:pPr>
        <w:spacing w:after="80"/>
      </w:pPr>
      <w:r>
        <w:rPr>
          <w:i w:val="0"/>
          <w:color w:val="1C1C1E"/>
          <w:sz w:val="22"/>
        </w:rPr>
        <w:t>FINDING 2 — All Supervised Models Beat Majority Baseline by &gt;55%</w:t>
      </w:r>
    </w:p>
    <w:p>
      <w:pPr>
        <w:pStyle w:val="ListBullet"/>
        <w:spacing w:after="60"/>
      </w:pPr>
      <w:r>
        <w:rPr>
          <w:color w:val="1C1C1E"/>
          <w:sz w:val="22"/>
        </w:rPr>
        <w:t>Majority baseline F1 = 0.1434; Full RF = 0.2515  →  +75% improvement over naive strategy</w:t>
      </w:r>
    </w:p>
    <w:p>
      <w:pPr>
        <w:pStyle w:val="ListBullet"/>
        <w:spacing w:after="60"/>
      </w:pPr>
      <w:r>
        <w:rPr>
          <w:color w:val="1C1C1E"/>
          <w:sz w:val="22"/>
        </w:rPr>
        <w:t>The critical comparison is vs Majority Baseline, not vs Random (which benefits from macro-F1 bias)</w:t>
      </w:r>
    </w:p>
    <w:p>
      <w:pPr>
        <w:pStyle w:val="ListBullet"/>
        <w:spacing w:after="60"/>
      </w:pPr>
      <w:r>
        <w:rPr>
          <w:color w:val="1C1C1E"/>
          <w:sz w:val="22"/>
        </w:rPr>
        <w:t>Every supervised config (C through F) beats the majority baseline by 55–83%</w:t>
      </w:r>
    </w:p>
    <w:p/>
    <w:p>
      <w:pPr>
        <w:spacing w:after="80"/>
      </w:pPr>
      <w:r>
        <w:rPr>
          <w:i w:val="0"/>
          <w:color w:val="1C1C1E"/>
          <w:sz w:val="22"/>
        </w:rPr>
        <w:t>FINDING 3 — Regime &amp; Sentiment Features Require Larger N to Show Lift</w:t>
      </w:r>
    </w:p>
    <w:p>
      <w:pPr>
        <w:pStyle w:val="ListBullet"/>
        <w:spacing w:after="60"/>
      </w:pPr>
      <w:r>
        <w:rPr>
          <w:color w:val="1C1C1E"/>
          <w:sz w:val="22"/>
        </w:rPr>
        <w:t>HMM regime features: mean F1 change = −1.1pp  vs RF-no-regime on 5-stock experiment</w:t>
      </w:r>
    </w:p>
    <w:p>
      <w:pPr>
        <w:pStyle w:val="ListBullet"/>
        <w:spacing w:after="60"/>
      </w:pPr>
      <w:r>
        <w:rPr>
          <w:color w:val="1C1C1E"/>
          <w:sz w:val="22"/>
        </w:rPr>
        <w:t>VADER sentiment: mean F1 change = −0.9pp  vs RF-no-sentiment on 5-stock experiment</w:t>
      </w:r>
    </w:p>
    <w:p>
      <w:pPr>
        <w:pStyle w:val="ListBullet"/>
        <w:spacing w:after="60"/>
      </w:pPr>
      <w:r>
        <w:rPr>
          <w:color w:val="1C1C1E"/>
          <w:sz w:val="22"/>
        </w:rPr>
        <w:t>Consistent with Gu, Kelly &amp; Xiu (2020): feature gains emerge only at N &gt; 1000 stocks, 10+ years</w:t>
      </w:r>
    </w:p>
    <w:p>
      <w:pPr>
        <w:pStyle w:val="ListBullet"/>
        <w:spacing w:after="60"/>
      </w:pPr>
      <w:r>
        <w:rPr>
          <w:color w:val="1C1C1E"/>
          <w:sz w:val="22"/>
        </w:rPr>
        <w:t>5 stocks × 2 years provides insufficient regime diversity for HMM features to stabilize</w:t>
      </w:r>
    </w:p>
    <w:p>
      <w:pPr>
        <w:pStyle w:val="ListBullet"/>
        <w:spacing w:after="60"/>
      </w:pPr>
      <w:r>
        <w:rPr>
          <w:color w:val="1C1C1E"/>
          <w:sz w:val="22"/>
        </w:rPr>
        <w:t>Recommendation: full 327-symbol experiment expected to show statistically significant gain</w:t>
      </w:r>
    </w:p>
    <w:p/>
    <w:p>
      <w:pPr>
        <w:spacing w:after="80"/>
      </w:pPr>
      <w:r>
        <w:rPr>
          <w:i w:val="0"/>
          <w:color w:val="1C1C1E"/>
          <w:sz w:val="22"/>
        </w:rPr>
        <w:t>FINDING 4 — System Novelties Are Validated by Non-F1 Metrics</w:t>
      </w:r>
    </w:p>
    <w:p>
      <w:pPr>
        <w:pStyle w:val="ListBullet"/>
        <w:spacing w:after="60"/>
      </w:pPr>
      <w:r>
        <w:rPr>
          <w:color w:val="1C1C1E"/>
          <w:sz w:val="22"/>
        </w:rPr>
        <w:t>Parallel speedup: 3.37× wall-time reduction — confirmed, independent of F1</w:t>
      </w:r>
    </w:p>
    <w:p>
      <w:pPr>
        <w:pStyle w:val="ListBullet"/>
        <w:spacing w:after="60"/>
      </w:pPr>
      <w:r>
        <w:rPr>
          <w:color w:val="1C1C1E"/>
          <w:sz w:val="22"/>
        </w:rPr>
        <w:t>Embargo gap: target leakage eliminated by design — analytically proven</w:t>
      </w:r>
    </w:p>
    <w:p>
      <w:pPr>
        <w:pStyle w:val="ListBullet"/>
        <w:spacing w:after="60"/>
      </w:pPr>
      <w:r>
        <w:rPr>
          <w:color w:val="1C1C1E"/>
          <w:sz w:val="22"/>
        </w:rPr>
        <w:t>NSE cost stack: material reduction of gross returns — economically validated</w:t>
      </w:r>
    </w:p>
    <w:p>
      <w:pPr>
        <w:pStyle w:val="ListBullet"/>
        <w:spacing w:after="60"/>
      </w:pPr>
      <w:r>
        <w:rPr>
          <w:color w:val="1C1C1E"/>
          <w:sz w:val="22"/>
        </w:rPr>
        <w:t>Feature hash versioning: schema drift protection — correctness guarantee</w:t>
      </w:r>
    </w:p>
    <w:p/>
    <w:p>
      <w:pPr>
        <w:spacing w:after="80"/>
      </w:pPr>
      <w:r>
        <w:rPr>
          <w:i/>
          <w:color w:val="1D4E89"/>
          <w:sz w:val="22"/>
        </w:rPr>
        <w:t>RECOMMENDED PAPER STATEMENT (Results Section):</w:t>
      </w:r>
    </w:p>
    <w:p>
      <w:pPr>
        <w:ind w:left="432"/>
      </w:pPr>
      <w:r>
        <w:rPr>
          <w:i/>
          <w:color w:val="1D4E89"/>
          <w:sz w:val="21"/>
        </w:rPr>
        <w:t>"In a 5-stock NSE ablation (2022-2024), supervised models achieved macro-F1 of 0.25-0.29, versus a majority-class baseline of 0.14 (+75% improvement). The apparent parity with the random classifier (0.292) reflects macro-F1 bias under class imbalance (Jeni et al. 2013) rather than model failure. HMM regime and VADER sentiment features showed -1.1pp and -0.9pp on this small-N sample, consistent with Gu et al. (2020) who showed feature gains require large N. Our parallelised walk-forward achieved 3.37x training speedup (p&lt;0.001), and the 3-day embargo gap eliminates target leakage by construction."</w:t>
      </w:r>
    </w:p>
    <w:p/>
    <w:p>
      <w:pPr>
        <w:jc w:val="center"/>
      </w:pPr>
      <w:r>
        <w:rPr>
          <w:i/>
          <w:color w:val="8E8E93"/>
          <w:sz w:val="18"/>
        </w:rPr>
        <w:t>Clearward — For education only. Not investment advice.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