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sz w:val="44"/>
        </w:rPr>
        <w:t>Clearward: A Leakage-Aware Multi-Model Framework</w:t>
        <w:br/>
        <w:t>for Stock Direction Prediction in Indian Equity Markets</w:t>
      </w:r>
    </w:p>
    <w:p>
      <w:pPr>
        <w:spacing w:before="80" w:after="320"/>
        <w:jc w:val="center"/>
      </w:pPr>
      <w:r>
        <w:rPr>
          <w:rFonts w:ascii="Times New Roman" w:hAnsi="Times New Roman"/>
          <w:b w:val="0"/>
          <w:i w:val="0"/>
          <w:sz w:val="22"/>
        </w:rPr>
        <w:t>Om Srivastava</w:t>
      </w:r>
    </w:p>
    <w:p>
      <w:pPr>
        <w:spacing w:before="120" w:after="120"/>
        <w:jc w:val="both"/>
      </w:pPr>
      <w:r>
        <w:rPr>
          <w:rFonts w:ascii="Times New Roman" w:hAnsi="Times New Roman"/>
          <w:b/>
          <w:i/>
          <w:sz w:val="18"/>
        </w:rPr>
        <w:t>Abstract</w:t>
      </w:r>
      <w:r>
        <w:rPr>
          <w:rFonts w:ascii="Times New Roman" w:hAnsi="Times New Roman"/>
          <w:b/>
          <w:sz w:val="18"/>
        </w:rPr>
        <w:t xml:space="preserve"> — </w:t>
      </w:r>
      <w:r>
        <w:rPr>
          <w:rFonts w:ascii="Times New Roman" w:hAnsi="Times New Roman"/>
          <w:i/>
          <w:sz w:val="18"/>
        </w:rPr>
        <w:t>Retail stock prediction systems frequently lack rigorous temporal validation and realistic transaction-cost modeling. This paper presents Clearward, a multi-model framework for three-class direction prediction on NSE-listed Indian equities. The framework combines Random Forest and Temporal Convolutional Network models, augmented with Hidden Markov Model regime posteriors and VADER-derived sentiment scores, yielding a 17-feature prediction matrix. Validation uses expanding walk-forward cross-validation with a three-day embargo gap matching the prediction horizon, enforced by runtime assertions. All backtesting runs exclusively on out-of-fold predictions with NSE-calibrated transaction costs including Almgren–Chriss market-impact slippage. In a five-stock ablation, the full Random Forest achieves macro-F1 of 0.2515 versus 0.1434 for the majority-class baseline, a 75% relative improvement. However, a uniform random classifier achieves 0.2916 macro-F1, exposing the limitations of this metric under class imbalance. The framework establishes a methodological template for leakage-aware, cost-aware ML evaluation in Indian markets.</w:t>
      </w:r>
    </w:p>
    <w:p>
      <w:pPr>
        <w:spacing w:before="80" w:after="240"/>
        <w:jc w:val="both"/>
      </w:pPr>
      <w:r>
        <w:rPr>
          <w:rFonts w:ascii="Times New Roman" w:hAnsi="Times New Roman"/>
          <w:b/>
          <w:i/>
          <w:sz w:val="18"/>
        </w:rPr>
        <w:t>Index Terms</w:t>
      </w:r>
      <w:r>
        <w:rPr>
          <w:rFonts w:ascii="Times New Roman" w:hAnsi="Times New Roman"/>
          <w:b/>
          <w:sz w:val="18"/>
        </w:rPr>
        <w:t xml:space="preserve"> — </w:t>
      </w:r>
      <w:r>
        <w:rPr>
          <w:rFonts w:ascii="Times New Roman" w:hAnsi="Times New Roman"/>
          <w:i/>
          <w:sz w:val="18"/>
        </w:rPr>
        <w:t>Financial machine learning, Hidden Markov Model, Indian equity markets, Random Forest, stock direction prediction, Temporal Convolutional Network, transaction costs, VADER sentiment analysis, walk-forward validation.</w:t>
      </w:r>
    </w:p>
    <w:p>
      <w:pPr>
        <w:spacing w:before="280" w:after="120"/>
        <w:jc w:val="center"/>
      </w:pPr>
      <w:r>
        <w:rPr>
          <w:rFonts w:ascii="Times New Roman" w:hAnsi="Times New Roman"/>
          <w:b/>
          <w:sz w:val="20"/>
        </w:rPr>
        <w:t>I. INTRODUCTION</w:t>
      </w:r>
    </w:p>
    <w:p>
      <w:pPr>
        <w:spacing w:before="200" w:after="80"/>
        <w:jc w:val="left"/>
      </w:pPr>
      <w:r>
        <w:rPr>
          <w:rFonts w:ascii="Times New Roman" w:hAnsi="Times New Roman"/>
          <w:i/>
          <w:sz w:val="20"/>
        </w:rPr>
        <w:t>A. Motivation and Problem Statement</w:t>
      </w:r>
    </w:p>
    <w:p>
      <w:pPr>
        <w:spacing w:before="0" w:after="120"/>
        <w:ind w:firstLine="283"/>
        <w:jc w:val="both"/>
      </w:pPr>
      <w:r>
        <w:rPr>
          <w:rFonts w:ascii="Times New Roman" w:hAnsi="Times New Roman"/>
          <w:b w:val="0"/>
          <w:i w:val="0"/>
          <w:sz w:val="20"/>
        </w:rPr>
        <w:t>Machine learning methods have shown ability to capture nonlinear relationships in financial data that traditional linear factor models miss [1]. However, applying ML to stock prediction introduces two critical challenges that are often overlooked in existing work:</w:t>
      </w:r>
    </w:p>
    <w:p>
      <w:pPr>
        <w:spacing w:before="0" w:after="120"/>
        <w:ind w:firstLine="283"/>
        <w:jc w:val="both"/>
      </w:pPr>
      <w:r>
        <w:rPr>
          <w:rFonts w:ascii="Times New Roman" w:hAnsi="Times New Roman"/>
          <w:b w:val="0"/>
          <w:i w:val="0"/>
          <w:sz w:val="20"/>
        </w:rPr>
        <w:t>First, temporal information leakage. When we predict the k-day forward return, the last k observations in the training window share return information with the test window through overlapping return periods. Standard cross-validation ignores this overlap and produces inflated performance estimates. López de Prado [2] formalized embargo and purging techniques to address this, but their application to Indian equity prediction has been limited.</w:t>
      </w:r>
    </w:p>
    <w:p>
      <w:pPr>
        <w:spacing w:before="0" w:after="120"/>
        <w:ind w:firstLine="283"/>
        <w:jc w:val="both"/>
      </w:pPr>
      <w:r>
        <w:rPr>
          <w:rFonts w:ascii="Times New Roman" w:hAnsi="Times New Roman"/>
          <w:b w:val="0"/>
          <w:i w:val="0"/>
          <w:sz w:val="20"/>
        </w:rPr>
        <w:t>Second, cost-naive backtesting. Most studies on NSE stock prediction report Sharpe ratios and returns without accounting for real transaction costs. In practice, Securities Transaction Tax (STT at 0.1%), brokerage, GST, stamp duty, and market-impact slippage can reduce realized Sharpe ratios by 0.3–0.5 units for strategies trading at mid-cap liquidity levels.</w:t>
      </w:r>
    </w:p>
    <w:p>
      <w:pPr>
        <w:spacing w:before="0" w:after="120"/>
        <w:ind w:firstLine="283"/>
        <w:jc w:val="both"/>
      </w:pPr>
      <w:r>
        <w:rPr>
          <w:rFonts w:ascii="Times New Roman" w:hAnsi="Times New Roman"/>
          <w:b w:val="0"/>
          <w:i w:val="0"/>
          <w:sz w:val="20"/>
        </w:rPr>
        <w:t>These problems are especially acute in Indian equity markets, where mid-cap stocks exhibit higher volatility and lower liquidity than their US counterparts, making both prediction and cost modeling harder.</w:t>
      </w:r>
    </w:p>
    <w:p>
      <w:pPr>
        <w:spacing w:before="200" w:after="80"/>
        <w:jc w:val="left"/>
      </w:pPr>
      <w:r>
        <w:rPr>
          <w:rFonts w:ascii="Times New Roman" w:hAnsi="Times New Roman"/>
          <w:i/>
          <w:sz w:val="20"/>
        </w:rPr>
        <w:t>B. Proposed Solution</w:t>
      </w:r>
    </w:p>
    <w:p>
      <w:pPr>
        <w:spacing w:before="0" w:after="120"/>
        <w:ind w:firstLine="283"/>
        <w:jc w:val="both"/>
      </w:pPr>
      <w:r>
        <w:rPr>
          <w:rFonts w:ascii="Times New Roman" w:hAnsi="Times New Roman"/>
          <w:b w:val="0"/>
          <w:i w:val="0"/>
          <w:sz w:val="20"/>
        </w:rPr>
        <w:t>We present Clearward, an integrated framework that directly addresses both problems. The framework trains Random Forest (RF) and Temporal Convolutional Network (TCN) models on a 17-feature matrix. This matrix includes 14 standard technical indicators plus three novel features: Hidden Markov Model (HMM) regime posterior probabilities and a VADER-derived sentiment score. Validation uses five expanding walk-forward folds with a three-day embargo matching the three-day prediction horizon. All backtesting runs exclusively on out-of-fold predictions with an NSE-calibrated cost model that includes Almgren–Chriss market-impact slippage [3].</w:t>
      </w:r>
    </w:p>
    <w:p>
      <w:pPr>
        <w:spacing w:before="200" w:after="80"/>
        <w:jc w:val="left"/>
      </w:pPr>
      <w:r>
        <w:rPr>
          <w:rFonts w:ascii="Times New Roman" w:hAnsi="Times New Roman"/>
          <w:i/>
          <w:sz w:val="20"/>
        </w:rPr>
        <w:t>C. Contributions</w:t>
      </w:r>
    </w:p>
    <w:p>
      <w:pPr>
        <w:spacing w:before="0" w:after="120"/>
        <w:jc w:val="both"/>
      </w:pPr>
      <w:r>
        <w:rPr>
          <w:rFonts w:ascii="Times New Roman" w:hAnsi="Times New Roman"/>
          <w:b w:val="0"/>
          <w:i w:val="0"/>
          <w:sz w:val="20"/>
        </w:rPr>
        <w:t>The main contributions of this paper are:</w:t>
      </w:r>
    </w:p>
    <w:p>
      <w:pPr>
        <w:spacing w:before="20" w:after="20"/>
        <w:ind w:left="567" w:hanging="227"/>
        <w:jc w:val="both"/>
      </w:pPr>
      <w:r>
        <w:rPr>
          <w:rFonts w:ascii="Times New Roman" w:hAnsi="Times New Roman"/>
          <w:sz w:val="18"/>
        </w:rPr>
        <w:t>• An integrated RF + TCN framework for three-class stock direction prediction on 347 NSE equities, with walk-forward validation enforcing a three-day embargo gap through runtime index and timestamp assertions.</w:t>
      </w:r>
    </w:p>
    <w:p>
      <w:pPr>
        <w:spacing w:before="20" w:after="20"/>
        <w:ind w:left="567" w:hanging="227"/>
        <w:jc w:val="both"/>
      </w:pPr>
      <w:r>
        <w:rPr>
          <w:rFonts w:ascii="Times New Roman" w:hAnsi="Times New Roman"/>
          <w:sz w:val="18"/>
        </w:rPr>
        <w:t>• A two-state Gaussian HMM built from scratch (NumPy + SciPy, without hmmlearn) whose posterior probabilities serve as continuous prediction features, preserving regime-uncertainty information that hard labels discard.</w:t>
      </w:r>
    </w:p>
    <w:p>
      <w:pPr>
        <w:spacing w:before="20" w:after="20"/>
        <w:ind w:left="567" w:hanging="227"/>
        <w:jc w:val="both"/>
      </w:pPr>
      <w:r>
        <w:rPr>
          <w:rFonts w:ascii="Times New Roman" w:hAnsi="Times New Roman"/>
          <w:sz w:val="18"/>
        </w:rPr>
        <w:t>• VADER compound sentiment scores incorporated as a quantitative prediction feature, aligned to trading dates with 3-day forward-fill imputation.</w:t>
      </w:r>
    </w:p>
    <w:p>
      <w:pPr>
        <w:spacing w:before="20" w:after="20"/>
        <w:ind w:left="567" w:hanging="227"/>
        <w:jc w:val="both"/>
      </w:pPr>
      <w:r>
        <w:rPr>
          <w:rFonts w:ascii="Times New Roman" w:hAnsi="Times New Roman"/>
          <w:sz w:val="18"/>
        </w:rPr>
        <w:t>• Out-of-fold backtesting with NSE-calibrated transaction costs including STT, brokerage, GST, stamp duty, and Almgren–Chriss market-impact slippage.</w:t>
      </w:r>
    </w:p>
    <w:p>
      <w:pPr>
        <w:spacing w:before="20" w:after="20"/>
        <w:ind w:left="567" w:hanging="227"/>
        <w:jc w:val="both"/>
      </w:pPr>
      <w:r>
        <w:rPr>
          <w:rFonts w:ascii="Times New Roman" w:hAnsi="Times New Roman"/>
          <w:sz w:val="18"/>
        </w:rPr>
        <w:t>• Parallelized walk-forward training with recency-weighted fold ensembling, achieving 3.37× speedup via ThreadPoolExecutor.</w:t>
      </w:r>
    </w:p>
    <w:p>
      <w:pPr>
        <w:spacing w:before="20" w:after="20"/>
        <w:ind w:left="567" w:hanging="227"/>
        <w:jc w:val="both"/>
      </w:pPr>
      <w:r>
        <w:rPr>
          <w:rFonts w:ascii="Times New Roman" w:hAnsi="Times New Roman"/>
          <w:sz w:val="18"/>
        </w:rPr>
        <w:t>• Honest evaluation that reports a uniform random classifier outperforming the trained RF on macro-F1, with analysis of why this occurs and what it means for metric selection in imbalanced financial classification.</w:t>
      </w:r>
    </w:p>
    <w:p>
      <w:pPr>
        <w:spacing w:before="200" w:after="80"/>
        <w:jc w:val="left"/>
      </w:pPr>
      <w:r>
        <w:rPr>
          <w:rFonts w:ascii="Times New Roman" w:hAnsi="Times New Roman"/>
          <w:i/>
          <w:sz w:val="20"/>
        </w:rPr>
        <w:t>D. Paper Organization</w:t>
      </w:r>
    </w:p>
    <w:p>
      <w:pPr>
        <w:spacing w:before="0" w:after="120"/>
        <w:ind w:firstLine="283"/>
        <w:jc w:val="both"/>
      </w:pPr>
      <w:r>
        <w:rPr>
          <w:rFonts w:ascii="Times New Roman" w:hAnsi="Times New Roman"/>
          <w:b w:val="0"/>
          <w:i w:val="0"/>
          <w:sz w:val="20"/>
        </w:rPr>
        <w:t>The rest of this paper is organized as follows. Section II reviews related work. Section III describes the complete methodology. Section IV details the experimental setup. Section V presents results. Section VI discusses findings and limitations. Section VII concludes with future directions.</w:t>
      </w:r>
    </w:p>
    <w:p>
      <w:pPr>
        <w:spacing w:before="280" w:after="120"/>
        <w:jc w:val="center"/>
      </w:pPr>
      <w:r>
        <w:rPr>
          <w:rFonts w:ascii="Times New Roman" w:hAnsi="Times New Roman"/>
          <w:b/>
          <w:sz w:val="20"/>
        </w:rPr>
        <w:t>II. RELATED WORK</w:t>
      </w:r>
    </w:p>
    <w:p>
      <w:pPr>
        <w:spacing w:before="200" w:after="80"/>
        <w:jc w:val="left"/>
      </w:pPr>
      <w:r>
        <w:rPr>
          <w:rFonts w:ascii="Times New Roman" w:hAnsi="Times New Roman"/>
          <w:i/>
          <w:sz w:val="20"/>
        </w:rPr>
        <w:t>A. Machine Learning for Financial Prediction</w:t>
      </w:r>
    </w:p>
    <w:p>
      <w:pPr>
        <w:spacing w:before="0" w:after="120"/>
        <w:ind w:firstLine="283"/>
        <w:jc w:val="both"/>
      </w:pPr>
      <w:r>
        <w:rPr>
          <w:rFonts w:ascii="Times New Roman" w:hAnsi="Times New Roman"/>
          <w:b w:val="0"/>
          <w:i w:val="0"/>
          <w:sz w:val="20"/>
        </w:rPr>
        <w:t>Gu, Kelly, and Xiu [1] conducted a comprehensive comparison of ML methods for empirical asset pricing. They demonstrated that tree-based and neural network models significantly outperform linear models when predicting cross-sectional returns. Importantly, their study showed that the marginal contribution of alternative features (beyond standard price-based predictors) only emerges at large cross-sectional scale — hundreds to thousands of stocks. This finding directly shapes how we interpret our five-stock ablation results.</w:t>
      </w:r>
    </w:p>
    <w:p>
      <w:pPr>
        <w:spacing w:before="200" w:after="80"/>
        <w:jc w:val="left"/>
      </w:pPr>
      <w:r>
        <w:rPr>
          <w:rFonts w:ascii="Times New Roman" w:hAnsi="Times New Roman"/>
          <w:i/>
          <w:sz w:val="20"/>
        </w:rPr>
        <w:t>B. Temporal Validation and Information Leakage</w:t>
      </w:r>
    </w:p>
    <w:p>
      <w:pPr>
        <w:spacing w:before="0" w:after="120"/>
        <w:ind w:firstLine="283"/>
        <w:jc w:val="both"/>
      </w:pPr>
      <w:r>
        <w:rPr>
          <w:rFonts w:ascii="Times New Roman" w:hAnsi="Times New Roman"/>
          <w:b w:val="0"/>
          <w:i w:val="0"/>
          <w:sz w:val="20"/>
        </w:rPr>
        <w:t>Cerqueira et al. [4] systematically evaluated performance estimation methods for time-series forecasting and showed that methods violating temporal ordering produce significantly biased estimates. López de Prado [2] formalized two key techniques: purging (removing training observations whose labels overlap with test observations) and embargo (inserting a buffer period between training and test sets). These techniques directly motivate our three-day embargo matching the three-day forward-return prediction target.</w:t>
      </w:r>
    </w:p>
    <w:p>
      <w:pPr>
        <w:spacing w:before="200" w:after="80"/>
        <w:jc w:val="left"/>
      </w:pPr>
      <w:r>
        <w:rPr>
          <w:rFonts w:ascii="Times New Roman" w:hAnsi="Times New Roman"/>
          <w:i/>
          <w:sz w:val="20"/>
        </w:rPr>
        <w:t>C. Sequence Modeling</w:t>
      </w:r>
    </w:p>
    <w:p>
      <w:pPr>
        <w:spacing w:before="0" w:after="120"/>
        <w:ind w:firstLine="283"/>
        <w:jc w:val="both"/>
      </w:pPr>
      <w:r>
        <w:rPr>
          <w:rFonts w:ascii="Times New Roman" w:hAnsi="Times New Roman"/>
          <w:b w:val="0"/>
          <w:i w:val="0"/>
          <w:sz w:val="20"/>
        </w:rPr>
        <w:t>Hochreiter and Schmidhuber [5] introduced LSTM networks for learning long-range dependencies. Bai, Kolter, and Koltun [6] later showed that Temporal Convolutional Networks (TCNs) using dilated causal convolutions match or exceed LSTM performance across diverse benchmarks while offering parallelizable training and explicit receptive-field control through exponentially growing dilation factors. We adopt the TCN architecture for these practical advantages.</w:t>
      </w:r>
    </w:p>
    <w:p>
      <w:pPr>
        <w:spacing w:before="200" w:after="80"/>
        <w:jc w:val="left"/>
      </w:pPr>
      <w:r>
        <w:rPr>
          <w:rFonts w:ascii="Times New Roman" w:hAnsi="Times New Roman"/>
          <w:i/>
          <w:sz w:val="20"/>
        </w:rPr>
        <w:t>D. Market Regime Detection</w:t>
      </w:r>
    </w:p>
    <w:p>
      <w:pPr>
        <w:spacing w:before="0" w:after="120"/>
        <w:ind w:firstLine="283"/>
        <w:jc w:val="both"/>
      </w:pPr>
      <w:r>
        <w:rPr>
          <w:rFonts w:ascii="Times New Roman" w:hAnsi="Times New Roman"/>
          <w:b w:val="0"/>
          <w:i w:val="0"/>
          <w:sz w:val="20"/>
        </w:rPr>
        <w:t>Hamilton [7] introduced the Markov-switching model for detecting latent state changes in economic time series. Ang and Timmermann [8] reviewed regime models in financial markets, showing that regime-conditioned strategies outperform static approaches. A common limitation is the use of hard regime labels (argmax of posterior), which discards the uncertainty in the posterior distribution. Our framework instead supplies the full posterior probability as a continuous feature, allowing the downstream classifier to learn interactions between regime certainty and other predictors.</w:t>
      </w:r>
    </w:p>
    <w:p>
      <w:pPr>
        <w:spacing w:before="200" w:after="80"/>
        <w:jc w:val="left"/>
      </w:pPr>
      <w:r>
        <w:rPr>
          <w:rFonts w:ascii="Times New Roman" w:hAnsi="Times New Roman"/>
          <w:i/>
          <w:sz w:val="20"/>
        </w:rPr>
        <w:t>E. Sentiment Analysis in Finance</w:t>
      </w:r>
    </w:p>
    <w:p>
      <w:pPr>
        <w:spacing w:before="0" w:after="120"/>
        <w:ind w:firstLine="283"/>
        <w:jc w:val="both"/>
      </w:pPr>
      <w:r>
        <w:rPr>
          <w:rFonts w:ascii="Times New Roman" w:hAnsi="Times New Roman"/>
          <w:b w:val="0"/>
          <w:i w:val="0"/>
          <w:sz w:val="20"/>
        </w:rPr>
        <w:t>Tetlock [9] provided early empirical evidence that financial media content predicts next-day returns and trading volume. Hutto and Gilbert [10] developed VADER, a lightweight rule-based sentiment analyzer suitable for real-time processing of short texts. Yang et al. [11] developed FinBERT, a domain-specific BERT model for financial communications. We use VADER for its computational efficiency and zero-dependency deployment, noting FinBERT as a planned upgrade.</w:t>
      </w:r>
    </w:p>
    <w:p>
      <w:pPr>
        <w:spacing w:before="200" w:after="80"/>
        <w:jc w:val="left"/>
      </w:pPr>
      <w:r>
        <w:rPr>
          <w:rFonts w:ascii="Times New Roman" w:hAnsi="Times New Roman"/>
          <w:i/>
          <w:sz w:val="20"/>
        </w:rPr>
        <w:t>F. Transaction Costs and Backtest Integrity</w:t>
      </w:r>
    </w:p>
    <w:p>
      <w:pPr>
        <w:spacing w:before="0" w:after="120"/>
        <w:ind w:firstLine="283"/>
        <w:jc w:val="both"/>
      </w:pPr>
      <w:r>
        <w:rPr>
          <w:rFonts w:ascii="Times New Roman" w:hAnsi="Times New Roman"/>
          <w:b w:val="0"/>
          <w:i w:val="0"/>
          <w:sz w:val="20"/>
        </w:rPr>
        <w:t>Almgren and Chriss [3] proposed a framework decomposing execution costs into permanent market impact, timing risk, and fixed costs. Bailey and López de Prado [12] showed that backtest overfitting and selection bias systematically inflate reported Sharpe ratios. These works motivate our decision to include NSE-calibrated transaction costs in all backtests and restrict evaluation to out-of-fold predictions.</w:t>
      </w:r>
    </w:p>
    <w:p>
      <w:pPr>
        <w:spacing w:before="280" w:after="120"/>
        <w:jc w:val="center"/>
      </w:pPr>
      <w:r>
        <w:rPr>
          <w:rFonts w:ascii="Times New Roman" w:hAnsi="Times New Roman"/>
          <w:b/>
          <w:sz w:val="20"/>
        </w:rPr>
        <w:t>III. METHODOLOGY</w:t>
      </w:r>
    </w:p>
    <w:p>
      <w:pPr>
        <w:spacing w:before="200" w:after="80"/>
        <w:jc w:val="left"/>
      </w:pPr>
      <w:r>
        <w:rPr>
          <w:rFonts w:ascii="Times New Roman" w:hAnsi="Times New Roman"/>
          <w:i/>
          <w:sz w:val="20"/>
        </w:rPr>
        <w:t>A. System Architecture</w:t>
      </w:r>
    </w:p>
    <w:p>
      <w:pPr>
        <w:spacing w:before="0" w:after="120"/>
        <w:ind w:firstLine="283"/>
        <w:jc w:val="both"/>
      </w:pPr>
      <w:r>
        <w:rPr>
          <w:rFonts w:ascii="Times New Roman" w:hAnsi="Times New Roman"/>
          <w:b w:val="0"/>
          <w:i w:val="0"/>
          <w:sz w:val="20"/>
        </w:rPr>
        <w:t>Clearward is a two-tier system. The backend is built with FastAPI (Python 3.11) using SQLite in Write-Ahead Logging (WAL) mode for concurrent read performance. It exposes 36 REST API endpoints covering stock search, price history, ML predictions, portfolio risk analytics, mutual fund analysis, and a RAG-grounded chatbot. Background scheduling via APScheduler handles daily price ingestion (18:00 IST), nightly model retraining (20:00 IST), and hourly news ingestion.</w:t>
      </w:r>
    </w:p>
    <w:p>
      <w:pPr>
        <w:spacing w:before="0" w:after="120"/>
        <w:ind w:firstLine="283"/>
        <w:jc w:val="both"/>
      </w:pPr>
      <w:r>
        <w:rPr>
          <w:rFonts w:ascii="Times New Roman" w:hAnsi="Times New Roman"/>
          <w:b w:val="0"/>
          <w:i w:val="0"/>
          <w:sz w:val="20"/>
        </w:rPr>
        <w:t>The frontend is built with React 18 and Vite 5, providing stock search, OHLCV price charts, ML prediction cards with SEBI-compliant labels (POSITIVE BIAS, NEGATIVE BIAS, CONSOLIDATION instead of BUY/SELL/HOLD), portfolio risk analytics, mutual fund overlap analysis, a HypeGuard pump-anomaly detector, and a RAG-grounded chatbot with citation verification.</w:t>
      </w:r>
    </w:p>
    <w:p>
      <w:pPr>
        <w:spacing w:before="0" w:after="120"/>
        <w:ind w:firstLine="283"/>
        <w:jc w:val="both"/>
      </w:pPr>
      <w:r>
        <w:rPr>
          <w:rFonts w:ascii="Times New Roman" w:hAnsi="Times New Roman"/>
          <w:b w:val="0"/>
          <w:i w:val="0"/>
          <w:sz w:val="20"/>
        </w:rPr>
        <w:t>The stock universe covers 347 NSE-listed equities satisfying a minimum of 250 trading days over the 2022–2024 period.</w:t>
      </w:r>
    </w:p>
    <w:p>
      <w:pPr>
        <w:spacing w:before="200" w:after="80"/>
        <w:jc w:val="left"/>
      </w:pPr>
      <w:r>
        <w:rPr>
          <w:rFonts w:ascii="Times New Roman" w:hAnsi="Times New Roman"/>
          <w:i/>
          <w:sz w:val="20"/>
        </w:rPr>
        <w:t>B. Prediction Target</w:t>
      </w:r>
    </w:p>
    <w:p>
      <w:pPr>
        <w:spacing w:before="0" w:after="120"/>
        <w:ind w:firstLine="283"/>
        <w:jc w:val="both"/>
      </w:pPr>
      <w:r>
        <w:rPr>
          <w:rFonts w:ascii="Times New Roman" w:hAnsi="Times New Roman"/>
          <w:b w:val="0"/>
          <w:i w:val="0"/>
          <w:sz w:val="20"/>
        </w:rPr>
        <w:t>The prediction target is the three-day forward return, computed as the percentage price change from day t to day t+3. We classify this return into three classes using a ±0.8% threshold:</w:t>
      </w:r>
    </w:p>
    <w:p>
      <w:pPr>
        <w:spacing w:before="120" w:after="120"/>
        <w:jc w:val="center"/>
      </w:pPr>
      <w:r>
        <w:rPr>
          <w:rFonts w:ascii="Times New Roman" w:hAnsi="Times New Roman"/>
          <w:i/>
          <w:sz w:val="20"/>
        </w:rPr>
        <w:t>r(t→t+3) = (P(t+3) − P(t)) / P(t) × 100%</w:t>
      </w:r>
      <w:r>
        <w:rPr>
          <w:rFonts w:ascii="Times New Roman" w:hAnsi="Times New Roman"/>
          <w:sz w:val="20"/>
        </w:rPr>
        <w:t xml:space="preserve">    (1)</w:t>
      </w:r>
    </w:p>
    <w:p>
      <w:pPr>
        <w:spacing w:before="120" w:after="120"/>
        <w:jc w:val="center"/>
      </w:pPr>
      <w:r>
        <w:rPr>
          <w:rFonts w:ascii="Times New Roman" w:hAnsi="Times New Roman"/>
          <w:i/>
          <w:sz w:val="20"/>
        </w:rPr>
        <w:t>y(t) = UP if r ≥ +0.8%,  DOWN if r ≤ −0.8%,  FLAT otherwise</w:t>
      </w:r>
      <w:r>
        <w:rPr>
          <w:rFonts w:ascii="Times New Roman" w:hAnsi="Times New Roman"/>
          <w:sz w:val="20"/>
        </w:rPr>
        <w:t xml:space="preserve">    (2)</w:t>
      </w:r>
    </w:p>
    <w:p>
      <w:pPr>
        <w:spacing w:before="0" w:after="120"/>
        <w:ind w:firstLine="283"/>
        <w:jc w:val="both"/>
      </w:pPr>
      <w:r>
        <w:rPr>
          <w:rFonts w:ascii="Times New Roman" w:hAnsi="Times New Roman"/>
          <w:b w:val="0"/>
          <w:i w:val="0"/>
          <w:sz w:val="20"/>
        </w:rPr>
        <w:t>The ±0.8% threshold creates a meaningful FLAT band that filters directional noise. Under this threshold, the observed class distribution is approximately 48% FLAT, 27% UP, and 25% DOWN across the five ablation stocks — a moderate class imbalance that significantly affects metric interpretation.</w:t>
      </w:r>
    </w:p>
    <w:p>
      <w:pPr>
        <w:spacing w:before="200" w:after="80"/>
        <w:jc w:val="left"/>
      </w:pPr>
      <w:r>
        <w:rPr>
          <w:rFonts w:ascii="Times New Roman" w:hAnsi="Times New Roman"/>
          <w:i/>
          <w:sz w:val="20"/>
        </w:rPr>
        <w:t>C. Feature Engineering</w:t>
      </w:r>
    </w:p>
    <w:p>
      <w:pPr>
        <w:spacing w:before="0" w:after="120"/>
        <w:ind w:firstLine="283"/>
        <w:jc w:val="both"/>
      </w:pPr>
      <w:r>
        <w:rPr>
          <w:rFonts w:ascii="Times New Roman" w:hAnsi="Times New Roman"/>
          <w:b w:val="0"/>
          <w:i w:val="0"/>
          <w:sz w:val="20"/>
        </w:rPr>
        <w:t>We construct 17 features per trading day across six categories. Features 1–14 are standard technical indicators derived from OHLCV price data. Features 15–17 are novel contributions from the HMM regime detector and VADER sentiment pipeline. Table I lists the complete feature matrix.</w:t>
      </w:r>
    </w:p>
    <w:p>
      <w:pPr>
        <w:spacing w:before="160" w:after="80"/>
        <w:jc w:val="center"/>
      </w:pPr>
      <w:r>
        <w:rPr>
          <w:rFonts w:ascii="Times New Roman" w:hAnsi="Times New Roman"/>
          <w:b/>
          <w:sz w:val="16"/>
        </w:rPr>
        <w:t>TABLE I</w:t>
      </w:r>
      <w:r>
        <w:rPr>
          <w:sz w:val="16"/>
        </w:rPr>
        <w:br/>
      </w:r>
      <w:r>
        <w:rPr>
          <w:rFonts w:ascii="Times New Roman" w:hAnsi="Times New Roman"/>
          <w:i/>
          <w:sz w:val="16"/>
        </w:rPr>
        <w:t>Complete 17-Feature Matrix. Features marked ★ are novel contributions.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432"/>
            <w:shd w:fill="1B3A5C"/>
          </w:tcPr>
          <w:p>
            <w:pPr>
              <w:jc w:val="center"/>
            </w:pPr>
            <w:r/>
            <w:r>
              <w:rPr>
                <w:rFonts w:ascii="Times New Roman" w:hAnsi="Times New Roman"/>
                <w:b/>
                <w:color w:val="FFFFFF"/>
                <w:sz w:val="16"/>
              </w:rPr>
              <w:t>#</w:t>
            </w:r>
          </w:p>
        </w:tc>
        <w:tc>
          <w:tcPr>
            <w:tcW w:type="dxa" w:w="2016"/>
            <w:shd w:fill="1B3A5C"/>
          </w:tcPr>
          <w:p>
            <w:pPr>
              <w:jc w:val="center"/>
            </w:pPr>
            <w:r/>
            <w:r>
              <w:rPr>
                <w:rFonts w:ascii="Times New Roman" w:hAnsi="Times New Roman"/>
                <w:b/>
                <w:color w:val="FFFFFF"/>
                <w:sz w:val="16"/>
              </w:rPr>
              <w:t>Feature Name</w:t>
            </w:r>
          </w:p>
        </w:tc>
        <w:tc>
          <w:tcPr>
            <w:tcW w:type="dxa" w:w="4032"/>
            <w:shd w:fill="1B3A5C"/>
          </w:tcPr>
          <w:p>
            <w:pPr>
              <w:jc w:val="center"/>
            </w:pPr>
            <w:r/>
            <w:r>
              <w:rPr>
                <w:rFonts w:ascii="Times New Roman" w:hAnsi="Times New Roman"/>
                <w:b/>
                <w:color w:val="FFFFFF"/>
                <w:sz w:val="16"/>
              </w:rPr>
              <w:t>Description</w:t>
            </w:r>
          </w:p>
        </w:tc>
        <w:tc>
          <w:tcPr>
            <w:tcW w:type="dxa" w:w="1584"/>
            <w:shd w:fill="1B3A5C"/>
          </w:tcPr>
          <w:p>
            <w:pPr>
              <w:jc w:val="center"/>
            </w:pPr>
            <w:r/>
            <w:r>
              <w:rPr>
                <w:rFonts w:ascii="Times New Roman" w:hAnsi="Times New Roman"/>
                <w:b/>
                <w:color w:val="FFFFFF"/>
                <w:sz w:val="16"/>
              </w:rPr>
              <w:t>Category</w:t>
            </w:r>
          </w:p>
        </w:tc>
      </w:tr>
      <w:tr>
        <w:tc>
          <w:tcPr>
            <w:tcW w:type="dxa" w:w="432"/>
            <w:shd w:fill="F0F4F8"/>
          </w:tcPr>
          <w:p>
            <w:pPr>
              <w:jc w:val="center"/>
            </w:pPr>
            <w:r/>
            <w:r>
              <w:rPr>
                <w:rFonts w:ascii="Times New Roman" w:hAnsi="Times New Roman"/>
                <w:sz w:val="16"/>
              </w:rPr>
              <w:t>1</w:t>
            </w:r>
          </w:p>
        </w:tc>
        <w:tc>
          <w:tcPr>
            <w:tcW w:type="dxa" w:w="2016"/>
            <w:shd w:fill="F0F4F8"/>
          </w:tcPr>
          <w:p>
            <w:pPr>
              <w:jc w:val="center"/>
            </w:pPr>
            <w:r/>
            <w:r>
              <w:rPr>
                <w:rFonts w:ascii="Times New Roman" w:hAnsi="Times New Roman"/>
                <w:sz w:val="16"/>
              </w:rPr>
              <w:t>ret_1d</w:t>
            </w:r>
          </w:p>
        </w:tc>
        <w:tc>
          <w:tcPr>
            <w:tcW w:type="dxa" w:w="4032"/>
            <w:shd w:fill="F0F4F8"/>
          </w:tcPr>
          <w:p>
            <w:pPr>
              <w:jc w:val="center"/>
            </w:pPr>
            <w:r/>
            <w:r>
              <w:rPr>
                <w:rFonts w:ascii="Times New Roman" w:hAnsi="Times New Roman"/>
                <w:sz w:val="16"/>
              </w:rPr>
              <w:t>1-day percentage return</w:t>
            </w:r>
          </w:p>
        </w:tc>
        <w:tc>
          <w:tcPr>
            <w:tcW w:type="dxa" w:w="1584"/>
            <w:shd w:fill="F0F4F8"/>
          </w:tcPr>
          <w:p>
            <w:pPr>
              <w:jc w:val="center"/>
            </w:pPr>
            <w:r/>
            <w:r>
              <w:rPr>
                <w:rFonts w:ascii="Times New Roman" w:hAnsi="Times New Roman"/>
                <w:sz w:val="16"/>
              </w:rPr>
              <w:t>Price</w:t>
            </w:r>
          </w:p>
        </w:tc>
      </w:tr>
      <w:tr>
        <w:tc>
          <w:tcPr>
            <w:tcW w:type="dxa" w:w="432"/>
            <w:shd w:fill="FFFFFF"/>
          </w:tcPr>
          <w:p>
            <w:pPr>
              <w:jc w:val="center"/>
            </w:pPr>
            <w:r/>
            <w:r>
              <w:rPr>
                <w:rFonts w:ascii="Times New Roman" w:hAnsi="Times New Roman"/>
                <w:sz w:val="16"/>
              </w:rPr>
              <w:t>2</w:t>
            </w:r>
          </w:p>
        </w:tc>
        <w:tc>
          <w:tcPr>
            <w:tcW w:type="dxa" w:w="2016"/>
            <w:shd w:fill="FFFFFF"/>
          </w:tcPr>
          <w:p>
            <w:pPr>
              <w:jc w:val="center"/>
            </w:pPr>
            <w:r/>
            <w:r>
              <w:rPr>
                <w:rFonts w:ascii="Times New Roman" w:hAnsi="Times New Roman"/>
                <w:sz w:val="16"/>
              </w:rPr>
              <w:t>ret_2d</w:t>
            </w:r>
          </w:p>
        </w:tc>
        <w:tc>
          <w:tcPr>
            <w:tcW w:type="dxa" w:w="4032"/>
            <w:shd w:fill="FFFFFF"/>
          </w:tcPr>
          <w:p>
            <w:pPr>
              <w:jc w:val="center"/>
            </w:pPr>
            <w:r/>
            <w:r>
              <w:rPr>
                <w:rFonts w:ascii="Times New Roman" w:hAnsi="Times New Roman"/>
                <w:sz w:val="16"/>
              </w:rPr>
              <w:t>2-day percentage return</w:t>
            </w:r>
          </w:p>
        </w:tc>
        <w:tc>
          <w:tcPr>
            <w:tcW w:type="dxa" w:w="1584"/>
            <w:shd w:fill="FFFFFF"/>
          </w:tcPr>
          <w:p>
            <w:pPr>
              <w:jc w:val="center"/>
            </w:pPr>
            <w:r/>
            <w:r>
              <w:rPr>
                <w:rFonts w:ascii="Times New Roman" w:hAnsi="Times New Roman"/>
                <w:sz w:val="16"/>
              </w:rPr>
              <w:t>Price</w:t>
            </w:r>
          </w:p>
        </w:tc>
      </w:tr>
      <w:tr>
        <w:tc>
          <w:tcPr>
            <w:tcW w:type="dxa" w:w="432"/>
            <w:shd w:fill="F0F4F8"/>
          </w:tcPr>
          <w:p>
            <w:pPr>
              <w:jc w:val="center"/>
            </w:pPr>
            <w:r/>
            <w:r>
              <w:rPr>
                <w:rFonts w:ascii="Times New Roman" w:hAnsi="Times New Roman"/>
                <w:sz w:val="16"/>
              </w:rPr>
              <w:t>3</w:t>
            </w:r>
          </w:p>
        </w:tc>
        <w:tc>
          <w:tcPr>
            <w:tcW w:type="dxa" w:w="2016"/>
            <w:shd w:fill="F0F4F8"/>
          </w:tcPr>
          <w:p>
            <w:pPr>
              <w:jc w:val="center"/>
            </w:pPr>
            <w:r/>
            <w:r>
              <w:rPr>
                <w:rFonts w:ascii="Times New Roman" w:hAnsi="Times New Roman"/>
                <w:sz w:val="16"/>
              </w:rPr>
              <w:t>ret_3d</w:t>
            </w:r>
          </w:p>
        </w:tc>
        <w:tc>
          <w:tcPr>
            <w:tcW w:type="dxa" w:w="4032"/>
            <w:shd w:fill="F0F4F8"/>
          </w:tcPr>
          <w:p>
            <w:pPr>
              <w:jc w:val="center"/>
            </w:pPr>
            <w:r/>
            <w:r>
              <w:rPr>
                <w:rFonts w:ascii="Times New Roman" w:hAnsi="Times New Roman"/>
                <w:sz w:val="16"/>
              </w:rPr>
              <w:t>3-day percentage return</w:t>
            </w:r>
          </w:p>
        </w:tc>
        <w:tc>
          <w:tcPr>
            <w:tcW w:type="dxa" w:w="1584"/>
            <w:shd w:fill="F0F4F8"/>
          </w:tcPr>
          <w:p>
            <w:pPr>
              <w:jc w:val="center"/>
            </w:pPr>
            <w:r/>
            <w:r>
              <w:rPr>
                <w:rFonts w:ascii="Times New Roman" w:hAnsi="Times New Roman"/>
                <w:sz w:val="16"/>
              </w:rPr>
              <w:t>Price</w:t>
            </w:r>
          </w:p>
        </w:tc>
      </w:tr>
      <w:tr>
        <w:tc>
          <w:tcPr>
            <w:tcW w:type="dxa" w:w="432"/>
            <w:shd w:fill="FFFFFF"/>
          </w:tcPr>
          <w:p>
            <w:pPr>
              <w:jc w:val="center"/>
            </w:pPr>
            <w:r/>
            <w:r>
              <w:rPr>
                <w:rFonts w:ascii="Times New Roman" w:hAnsi="Times New Roman"/>
                <w:sz w:val="16"/>
              </w:rPr>
              <w:t>4</w:t>
            </w:r>
          </w:p>
        </w:tc>
        <w:tc>
          <w:tcPr>
            <w:tcW w:type="dxa" w:w="2016"/>
            <w:shd w:fill="FFFFFF"/>
          </w:tcPr>
          <w:p>
            <w:pPr>
              <w:jc w:val="center"/>
            </w:pPr>
            <w:r/>
            <w:r>
              <w:rPr>
                <w:rFonts w:ascii="Times New Roman" w:hAnsi="Times New Roman"/>
                <w:sz w:val="16"/>
              </w:rPr>
              <w:t>ret_5d</w:t>
            </w:r>
          </w:p>
        </w:tc>
        <w:tc>
          <w:tcPr>
            <w:tcW w:type="dxa" w:w="4032"/>
            <w:shd w:fill="FFFFFF"/>
          </w:tcPr>
          <w:p>
            <w:pPr>
              <w:jc w:val="center"/>
            </w:pPr>
            <w:r/>
            <w:r>
              <w:rPr>
                <w:rFonts w:ascii="Times New Roman" w:hAnsi="Times New Roman"/>
                <w:sz w:val="16"/>
              </w:rPr>
              <w:t>5-day percentage return</w:t>
            </w:r>
          </w:p>
        </w:tc>
        <w:tc>
          <w:tcPr>
            <w:tcW w:type="dxa" w:w="1584"/>
            <w:shd w:fill="FFFFFF"/>
          </w:tcPr>
          <w:p>
            <w:pPr>
              <w:jc w:val="center"/>
            </w:pPr>
            <w:r/>
            <w:r>
              <w:rPr>
                <w:rFonts w:ascii="Times New Roman" w:hAnsi="Times New Roman"/>
                <w:sz w:val="16"/>
              </w:rPr>
              <w:t>Price</w:t>
            </w:r>
          </w:p>
        </w:tc>
      </w:tr>
      <w:tr>
        <w:tc>
          <w:tcPr>
            <w:tcW w:type="dxa" w:w="432"/>
            <w:shd w:fill="F0F4F8"/>
          </w:tcPr>
          <w:p>
            <w:pPr>
              <w:jc w:val="center"/>
            </w:pPr>
            <w:r/>
            <w:r>
              <w:rPr>
                <w:rFonts w:ascii="Times New Roman" w:hAnsi="Times New Roman"/>
                <w:sz w:val="16"/>
              </w:rPr>
              <w:t>5</w:t>
            </w:r>
          </w:p>
        </w:tc>
        <w:tc>
          <w:tcPr>
            <w:tcW w:type="dxa" w:w="2016"/>
            <w:shd w:fill="F0F4F8"/>
          </w:tcPr>
          <w:p>
            <w:pPr>
              <w:jc w:val="center"/>
            </w:pPr>
            <w:r/>
            <w:r>
              <w:rPr>
                <w:rFonts w:ascii="Times New Roman" w:hAnsi="Times New Roman"/>
                <w:sz w:val="16"/>
              </w:rPr>
              <w:t>rsi_14</w:t>
            </w:r>
          </w:p>
        </w:tc>
        <w:tc>
          <w:tcPr>
            <w:tcW w:type="dxa" w:w="4032"/>
            <w:shd w:fill="F0F4F8"/>
          </w:tcPr>
          <w:p>
            <w:pPr>
              <w:jc w:val="center"/>
            </w:pPr>
            <w:r/>
            <w:r>
              <w:rPr>
                <w:rFonts w:ascii="Times New Roman" w:hAnsi="Times New Roman"/>
                <w:sz w:val="16"/>
              </w:rPr>
              <w:t>Wilder-smoothed RSI (14-period)</w:t>
            </w:r>
          </w:p>
        </w:tc>
        <w:tc>
          <w:tcPr>
            <w:tcW w:type="dxa" w:w="1584"/>
            <w:shd w:fill="F0F4F8"/>
          </w:tcPr>
          <w:p>
            <w:pPr>
              <w:jc w:val="center"/>
            </w:pPr>
            <w:r/>
            <w:r>
              <w:rPr>
                <w:rFonts w:ascii="Times New Roman" w:hAnsi="Times New Roman"/>
                <w:sz w:val="16"/>
              </w:rPr>
              <w:t>Momentum</w:t>
            </w:r>
          </w:p>
        </w:tc>
      </w:tr>
      <w:tr>
        <w:tc>
          <w:tcPr>
            <w:tcW w:type="dxa" w:w="432"/>
            <w:shd w:fill="FFFFFF"/>
          </w:tcPr>
          <w:p>
            <w:pPr>
              <w:jc w:val="center"/>
            </w:pPr>
            <w:r/>
            <w:r>
              <w:rPr>
                <w:rFonts w:ascii="Times New Roman" w:hAnsi="Times New Roman"/>
                <w:sz w:val="16"/>
              </w:rPr>
              <w:t>6</w:t>
            </w:r>
          </w:p>
        </w:tc>
        <w:tc>
          <w:tcPr>
            <w:tcW w:type="dxa" w:w="2016"/>
            <w:shd w:fill="FFFFFF"/>
          </w:tcPr>
          <w:p>
            <w:pPr>
              <w:jc w:val="center"/>
            </w:pPr>
            <w:r/>
            <w:r>
              <w:rPr>
                <w:rFonts w:ascii="Times New Roman" w:hAnsi="Times New Roman"/>
                <w:sz w:val="16"/>
              </w:rPr>
              <w:t>macd_hist</w:t>
            </w:r>
          </w:p>
        </w:tc>
        <w:tc>
          <w:tcPr>
            <w:tcW w:type="dxa" w:w="4032"/>
            <w:shd w:fill="FFFFFF"/>
          </w:tcPr>
          <w:p>
            <w:pPr>
              <w:jc w:val="center"/>
            </w:pPr>
            <w:r/>
            <w:r>
              <w:rPr>
                <w:rFonts w:ascii="Times New Roman" w:hAnsi="Times New Roman"/>
                <w:sz w:val="16"/>
              </w:rPr>
              <w:t>MACD histogram: EMA(12)−EMA(26)−Signal(9)</w:t>
            </w:r>
          </w:p>
        </w:tc>
        <w:tc>
          <w:tcPr>
            <w:tcW w:type="dxa" w:w="1584"/>
            <w:shd w:fill="FFFFFF"/>
          </w:tcPr>
          <w:p>
            <w:pPr>
              <w:jc w:val="center"/>
            </w:pPr>
            <w:r/>
            <w:r>
              <w:rPr>
                <w:rFonts w:ascii="Times New Roman" w:hAnsi="Times New Roman"/>
                <w:sz w:val="16"/>
              </w:rPr>
              <w:t>Momentum</w:t>
            </w:r>
          </w:p>
        </w:tc>
      </w:tr>
      <w:tr>
        <w:tc>
          <w:tcPr>
            <w:tcW w:type="dxa" w:w="432"/>
            <w:shd w:fill="F0F4F8"/>
          </w:tcPr>
          <w:p>
            <w:pPr>
              <w:jc w:val="center"/>
            </w:pPr>
            <w:r/>
            <w:r>
              <w:rPr>
                <w:rFonts w:ascii="Times New Roman" w:hAnsi="Times New Roman"/>
                <w:sz w:val="16"/>
              </w:rPr>
              <w:t>7</w:t>
            </w:r>
          </w:p>
        </w:tc>
        <w:tc>
          <w:tcPr>
            <w:tcW w:type="dxa" w:w="2016"/>
            <w:shd w:fill="F0F4F8"/>
          </w:tcPr>
          <w:p>
            <w:pPr>
              <w:jc w:val="center"/>
            </w:pPr>
            <w:r/>
            <w:r>
              <w:rPr>
                <w:rFonts w:ascii="Times New Roman" w:hAnsi="Times New Roman"/>
                <w:sz w:val="16"/>
              </w:rPr>
              <w:t>bb_pct_b</w:t>
            </w:r>
          </w:p>
        </w:tc>
        <w:tc>
          <w:tcPr>
            <w:tcW w:type="dxa" w:w="4032"/>
            <w:shd w:fill="F0F4F8"/>
          </w:tcPr>
          <w:p>
            <w:pPr>
              <w:jc w:val="center"/>
            </w:pPr>
            <w:r/>
            <w:r>
              <w:rPr>
                <w:rFonts w:ascii="Times New Roman" w:hAnsi="Times New Roman"/>
                <w:sz w:val="16"/>
              </w:rPr>
              <w:t>Bollinger %B position within bands</w:t>
            </w:r>
          </w:p>
        </w:tc>
        <w:tc>
          <w:tcPr>
            <w:tcW w:type="dxa" w:w="1584"/>
            <w:shd w:fill="F0F4F8"/>
          </w:tcPr>
          <w:p>
            <w:pPr>
              <w:jc w:val="center"/>
            </w:pPr>
            <w:r/>
            <w:r>
              <w:rPr>
                <w:rFonts w:ascii="Times New Roman" w:hAnsi="Times New Roman"/>
                <w:sz w:val="16"/>
              </w:rPr>
              <w:t>Volatility</w:t>
            </w:r>
          </w:p>
        </w:tc>
      </w:tr>
      <w:tr>
        <w:tc>
          <w:tcPr>
            <w:tcW w:type="dxa" w:w="432"/>
            <w:shd w:fill="FFFFFF"/>
          </w:tcPr>
          <w:p>
            <w:pPr>
              <w:jc w:val="center"/>
            </w:pPr>
            <w:r/>
            <w:r>
              <w:rPr>
                <w:rFonts w:ascii="Times New Roman" w:hAnsi="Times New Roman"/>
                <w:sz w:val="16"/>
              </w:rPr>
              <w:t>8</w:t>
            </w:r>
          </w:p>
        </w:tc>
        <w:tc>
          <w:tcPr>
            <w:tcW w:type="dxa" w:w="2016"/>
            <w:shd w:fill="FFFFFF"/>
          </w:tcPr>
          <w:p>
            <w:pPr>
              <w:jc w:val="center"/>
            </w:pPr>
            <w:r/>
            <w:r>
              <w:rPr>
                <w:rFonts w:ascii="Times New Roman" w:hAnsi="Times New Roman"/>
                <w:sz w:val="16"/>
              </w:rPr>
              <w:t>vol_ratio</w:t>
            </w:r>
          </w:p>
        </w:tc>
        <w:tc>
          <w:tcPr>
            <w:tcW w:type="dxa" w:w="4032"/>
            <w:shd w:fill="FFFFFF"/>
          </w:tcPr>
          <w:p>
            <w:pPr>
              <w:jc w:val="center"/>
            </w:pPr>
            <w:r/>
            <w:r>
              <w:rPr>
                <w:rFonts w:ascii="Times New Roman" w:hAnsi="Times New Roman"/>
                <w:sz w:val="16"/>
              </w:rPr>
              <w:t>Volume / 20-day SMA(Volume)</w:t>
            </w:r>
          </w:p>
        </w:tc>
        <w:tc>
          <w:tcPr>
            <w:tcW w:type="dxa" w:w="1584"/>
            <w:shd w:fill="FFFFFF"/>
          </w:tcPr>
          <w:p>
            <w:pPr>
              <w:jc w:val="center"/>
            </w:pPr>
            <w:r/>
            <w:r>
              <w:rPr>
                <w:rFonts w:ascii="Times New Roman" w:hAnsi="Times New Roman"/>
                <w:sz w:val="16"/>
              </w:rPr>
              <w:t>Volume</w:t>
            </w:r>
          </w:p>
        </w:tc>
      </w:tr>
      <w:tr>
        <w:tc>
          <w:tcPr>
            <w:tcW w:type="dxa" w:w="432"/>
            <w:shd w:fill="F0F4F8"/>
          </w:tcPr>
          <w:p>
            <w:pPr>
              <w:jc w:val="center"/>
            </w:pPr>
            <w:r/>
            <w:r>
              <w:rPr>
                <w:rFonts w:ascii="Times New Roman" w:hAnsi="Times New Roman"/>
                <w:sz w:val="16"/>
              </w:rPr>
              <w:t>9</w:t>
            </w:r>
          </w:p>
        </w:tc>
        <w:tc>
          <w:tcPr>
            <w:tcW w:type="dxa" w:w="2016"/>
            <w:shd w:fill="F0F4F8"/>
          </w:tcPr>
          <w:p>
            <w:pPr>
              <w:jc w:val="center"/>
            </w:pPr>
            <w:r/>
            <w:r>
              <w:rPr>
                <w:rFonts w:ascii="Times New Roman" w:hAnsi="Times New Roman"/>
                <w:sz w:val="16"/>
              </w:rPr>
              <w:t>atr_pct</w:t>
            </w:r>
          </w:p>
        </w:tc>
        <w:tc>
          <w:tcPr>
            <w:tcW w:type="dxa" w:w="4032"/>
            <w:shd w:fill="F0F4F8"/>
          </w:tcPr>
          <w:p>
            <w:pPr>
              <w:jc w:val="center"/>
            </w:pPr>
            <w:r/>
            <w:r>
              <w:rPr>
                <w:rFonts w:ascii="Times New Roman" w:hAnsi="Times New Roman"/>
                <w:sz w:val="16"/>
              </w:rPr>
              <w:t>ATR(14) / Close — normalized volatility</w:t>
            </w:r>
          </w:p>
        </w:tc>
        <w:tc>
          <w:tcPr>
            <w:tcW w:type="dxa" w:w="1584"/>
            <w:shd w:fill="F0F4F8"/>
          </w:tcPr>
          <w:p>
            <w:pPr>
              <w:jc w:val="center"/>
            </w:pPr>
            <w:r/>
            <w:r>
              <w:rPr>
                <w:rFonts w:ascii="Times New Roman" w:hAnsi="Times New Roman"/>
                <w:sz w:val="16"/>
              </w:rPr>
              <w:t>Volatility</w:t>
            </w:r>
          </w:p>
        </w:tc>
      </w:tr>
      <w:tr>
        <w:tc>
          <w:tcPr>
            <w:tcW w:type="dxa" w:w="432"/>
            <w:shd w:fill="FFFFFF"/>
          </w:tcPr>
          <w:p>
            <w:pPr>
              <w:jc w:val="center"/>
            </w:pPr>
            <w:r/>
            <w:r>
              <w:rPr>
                <w:rFonts w:ascii="Times New Roman" w:hAnsi="Times New Roman"/>
                <w:sz w:val="16"/>
              </w:rPr>
              <w:t>10</w:t>
            </w:r>
          </w:p>
        </w:tc>
        <w:tc>
          <w:tcPr>
            <w:tcW w:type="dxa" w:w="2016"/>
            <w:shd w:fill="FFFFFF"/>
          </w:tcPr>
          <w:p>
            <w:pPr>
              <w:jc w:val="center"/>
            </w:pPr>
            <w:r/>
            <w:r>
              <w:rPr>
                <w:rFonts w:ascii="Times New Roman" w:hAnsi="Times New Roman"/>
                <w:sz w:val="16"/>
              </w:rPr>
              <w:t>ema_ratio</w:t>
            </w:r>
          </w:p>
        </w:tc>
        <w:tc>
          <w:tcPr>
            <w:tcW w:type="dxa" w:w="4032"/>
            <w:shd w:fill="FFFFFF"/>
          </w:tcPr>
          <w:p>
            <w:pPr>
              <w:jc w:val="center"/>
            </w:pPr>
            <w:r/>
            <w:r>
              <w:rPr>
                <w:rFonts w:ascii="Times New Roman" w:hAnsi="Times New Roman"/>
                <w:sz w:val="16"/>
              </w:rPr>
              <w:t>EMA(20) / EMA(50) — trend direction</w:t>
            </w:r>
          </w:p>
        </w:tc>
        <w:tc>
          <w:tcPr>
            <w:tcW w:type="dxa" w:w="1584"/>
            <w:shd w:fill="FFFFFF"/>
          </w:tcPr>
          <w:p>
            <w:pPr>
              <w:jc w:val="center"/>
            </w:pPr>
            <w:r/>
            <w:r>
              <w:rPr>
                <w:rFonts w:ascii="Times New Roman" w:hAnsi="Times New Roman"/>
                <w:sz w:val="16"/>
              </w:rPr>
              <w:t>Trend</w:t>
            </w:r>
          </w:p>
        </w:tc>
      </w:tr>
      <w:tr>
        <w:tc>
          <w:tcPr>
            <w:tcW w:type="dxa" w:w="432"/>
            <w:shd w:fill="F0F4F8"/>
          </w:tcPr>
          <w:p>
            <w:pPr>
              <w:jc w:val="center"/>
            </w:pPr>
            <w:r/>
            <w:r>
              <w:rPr>
                <w:rFonts w:ascii="Times New Roman" w:hAnsi="Times New Roman"/>
                <w:sz w:val="16"/>
              </w:rPr>
              <w:t>11</w:t>
            </w:r>
          </w:p>
        </w:tc>
        <w:tc>
          <w:tcPr>
            <w:tcW w:type="dxa" w:w="2016"/>
            <w:shd w:fill="F0F4F8"/>
          </w:tcPr>
          <w:p>
            <w:pPr>
              <w:jc w:val="center"/>
            </w:pPr>
            <w:r/>
            <w:r>
              <w:rPr>
                <w:rFonts w:ascii="Times New Roman" w:hAnsi="Times New Roman"/>
                <w:sz w:val="16"/>
              </w:rPr>
              <w:t>stoch_k</w:t>
            </w:r>
          </w:p>
        </w:tc>
        <w:tc>
          <w:tcPr>
            <w:tcW w:type="dxa" w:w="4032"/>
            <w:shd w:fill="F0F4F8"/>
          </w:tcPr>
          <w:p>
            <w:pPr>
              <w:jc w:val="center"/>
            </w:pPr>
            <w:r/>
            <w:r>
              <w:rPr>
                <w:rFonts w:ascii="Times New Roman" w:hAnsi="Times New Roman"/>
                <w:sz w:val="16"/>
              </w:rPr>
              <w:t>Stochastic %K (14-period), normalized [0,1]</w:t>
            </w:r>
          </w:p>
        </w:tc>
        <w:tc>
          <w:tcPr>
            <w:tcW w:type="dxa" w:w="1584"/>
            <w:shd w:fill="F0F4F8"/>
          </w:tcPr>
          <w:p>
            <w:pPr>
              <w:jc w:val="center"/>
            </w:pPr>
            <w:r/>
            <w:r>
              <w:rPr>
                <w:rFonts w:ascii="Times New Roman" w:hAnsi="Times New Roman"/>
                <w:sz w:val="16"/>
              </w:rPr>
              <w:t>Momentum</w:t>
            </w:r>
          </w:p>
        </w:tc>
      </w:tr>
      <w:tr>
        <w:tc>
          <w:tcPr>
            <w:tcW w:type="dxa" w:w="432"/>
            <w:shd w:fill="FFFFFF"/>
          </w:tcPr>
          <w:p>
            <w:pPr>
              <w:jc w:val="center"/>
            </w:pPr>
            <w:r/>
            <w:r>
              <w:rPr>
                <w:rFonts w:ascii="Times New Roman" w:hAnsi="Times New Roman"/>
                <w:sz w:val="16"/>
              </w:rPr>
              <w:t>12</w:t>
            </w:r>
          </w:p>
        </w:tc>
        <w:tc>
          <w:tcPr>
            <w:tcW w:type="dxa" w:w="2016"/>
            <w:shd w:fill="FFFFFF"/>
          </w:tcPr>
          <w:p>
            <w:pPr>
              <w:jc w:val="center"/>
            </w:pPr>
            <w:r/>
            <w:r>
              <w:rPr>
                <w:rFonts w:ascii="Times New Roman" w:hAnsi="Times New Roman"/>
                <w:sz w:val="16"/>
              </w:rPr>
              <w:t>price_sma200_ratio</w:t>
            </w:r>
          </w:p>
        </w:tc>
        <w:tc>
          <w:tcPr>
            <w:tcW w:type="dxa" w:w="4032"/>
            <w:shd w:fill="FFFFFF"/>
          </w:tcPr>
          <w:p>
            <w:pPr>
              <w:jc w:val="center"/>
            </w:pPr>
            <w:r/>
            <w:r>
              <w:rPr>
                <w:rFonts w:ascii="Times New Roman" w:hAnsi="Times New Roman"/>
                <w:sz w:val="16"/>
              </w:rPr>
              <w:t>Close / SMA(200), clipped [0.5, 2.0]</w:t>
            </w:r>
          </w:p>
        </w:tc>
        <w:tc>
          <w:tcPr>
            <w:tcW w:type="dxa" w:w="1584"/>
            <w:shd w:fill="FFFFFF"/>
          </w:tcPr>
          <w:p>
            <w:pPr>
              <w:jc w:val="center"/>
            </w:pPr>
            <w:r/>
            <w:r>
              <w:rPr>
                <w:rFonts w:ascii="Times New Roman" w:hAnsi="Times New Roman"/>
                <w:sz w:val="16"/>
              </w:rPr>
              <w:t>Trend</w:t>
            </w:r>
          </w:p>
        </w:tc>
      </w:tr>
      <w:tr>
        <w:tc>
          <w:tcPr>
            <w:tcW w:type="dxa" w:w="432"/>
            <w:shd w:fill="F0F4F8"/>
          </w:tcPr>
          <w:p>
            <w:pPr>
              <w:jc w:val="center"/>
            </w:pPr>
            <w:r/>
            <w:r>
              <w:rPr>
                <w:rFonts w:ascii="Times New Roman" w:hAnsi="Times New Roman"/>
                <w:sz w:val="16"/>
              </w:rPr>
              <w:t>13</w:t>
            </w:r>
          </w:p>
        </w:tc>
        <w:tc>
          <w:tcPr>
            <w:tcW w:type="dxa" w:w="2016"/>
            <w:shd w:fill="F0F4F8"/>
          </w:tcPr>
          <w:p>
            <w:pPr>
              <w:jc w:val="center"/>
            </w:pPr>
            <w:r/>
            <w:r>
              <w:rPr>
                <w:rFonts w:ascii="Times New Roman" w:hAnsi="Times New Roman"/>
                <w:sz w:val="16"/>
              </w:rPr>
              <w:t>intraday_range</w:t>
            </w:r>
          </w:p>
        </w:tc>
        <w:tc>
          <w:tcPr>
            <w:tcW w:type="dxa" w:w="4032"/>
            <w:shd w:fill="F0F4F8"/>
          </w:tcPr>
          <w:p>
            <w:pPr>
              <w:jc w:val="center"/>
            </w:pPr>
            <w:r/>
            <w:r>
              <w:rPr>
                <w:rFonts w:ascii="Times New Roman" w:hAnsi="Times New Roman"/>
                <w:sz w:val="16"/>
              </w:rPr>
              <w:t>(Close−Open) / (High−Low), clipped [−1,1]</w:t>
            </w:r>
          </w:p>
        </w:tc>
        <w:tc>
          <w:tcPr>
            <w:tcW w:type="dxa" w:w="1584"/>
            <w:shd w:fill="F0F4F8"/>
          </w:tcPr>
          <w:p>
            <w:pPr>
              <w:jc w:val="center"/>
            </w:pPr>
            <w:r/>
            <w:r>
              <w:rPr>
                <w:rFonts w:ascii="Times New Roman" w:hAnsi="Times New Roman"/>
                <w:sz w:val="16"/>
              </w:rPr>
              <w:t>Volatility</w:t>
            </w:r>
          </w:p>
        </w:tc>
      </w:tr>
      <w:tr>
        <w:tc>
          <w:tcPr>
            <w:tcW w:type="dxa" w:w="432"/>
            <w:shd w:fill="FFFFFF"/>
          </w:tcPr>
          <w:p>
            <w:pPr>
              <w:jc w:val="center"/>
            </w:pPr>
            <w:r/>
            <w:r>
              <w:rPr>
                <w:rFonts w:ascii="Times New Roman" w:hAnsi="Times New Roman"/>
                <w:sz w:val="16"/>
              </w:rPr>
              <w:t>14</w:t>
            </w:r>
          </w:p>
        </w:tc>
        <w:tc>
          <w:tcPr>
            <w:tcW w:type="dxa" w:w="2016"/>
            <w:shd w:fill="FFFFFF"/>
          </w:tcPr>
          <w:p>
            <w:pPr>
              <w:jc w:val="center"/>
            </w:pPr>
            <w:r/>
            <w:r>
              <w:rPr>
                <w:rFonts w:ascii="Times New Roman" w:hAnsi="Times New Roman"/>
                <w:sz w:val="16"/>
              </w:rPr>
              <w:t>ret_10d</w:t>
            </w:r>
          </w:p>
        </w:tc>
        <w:tc>
          <w:tcPr>
            <w:tcW w:type="dxa" w:w="4032"/>
            <w:shd w:fill="FFFFFF"/>
          </w:tcPr>
          <w:p>
            <w:pPr>
              <w:jc w:val="center"/>
            </w:pPr>
            <w:r/>
            <w:r>
              <w:rPr>
                <w:rFonts w:ascii="Times New Roman" w:hAnsi="Times New Roman"/>
                <w:sz w:val="16"/>
              </w:rPr>
              <w:t>10-day return — medium-term momentum</w:t>
            </w:r>
          </w:p>
        </w:tc>
        <w:tc>
          <w:tcPr>
            <w:tcW w:type="dxa" w:w="1584"/>
            <w:shd w:fill="FFFFFF"/>
          </w:tcPr>
          <w:p>
            <w:pPr>
              <w:jc w:val="center"/>
            </w:pPr>
            <w:r/>
            <w:r>
              <w:rPr>
                <w:rFonts w:ascii="Times New Roman" w:hAnsi="Times New Roman"/>
                <w:sz w:val="16"/>
              </w:rPr>
              <w:t>Price</w:t>
            </w:r>
          </w:p>
        </w:tc>
      </w:tr>
      <w:tr>
        <w:tc>
          <w:tcPr>
            <w:tcW w:type="dxa" w:w="432"/>
            <w:shd w:fill="F0F4F8"/>
          </w:tcPr>
          <w:p>
            <w:pPr>
              <w:jc w:val="center"/>
            </w:pPr>
            <w:r/>
            <w:r>
              <w:rPr>
                <w:rFonts w:ascii="Times New Roman" w:hAnsi="Times New Roman"/>
                <w:sz w:val="16"/>
              </w:rPr>
              <w:t>15</w:t>
            </w:r>
          </w:p>
        </w:tc>
        <w:tc>
          <w:tcPr>
            <w:tcW w:type="dxa" w:w="2016"/>
            <w:shd w:fill="F0F4F8"/>
          </w:tcPr>
          <w:p>
            <w:pPr>
              <w:jc w:val="center"/>
            </w:pPr>
            <w:r/>
            <w:r>
              <w:rPr>
                <w:rFonts w:ascii="Times New Roman" w:hAnsi="Times New Roman"/>
                <w:sz w:val="16"/>
              </w:rPr>
              <w:t>regime_state ★</w:t>
            </w:r>
          </w:p>
        </w:tc>
        <w:tc>
          <w:tcPr>
            <w:tcW w:type="dxa" w:w="4032"/>
            <w:shd w:fill="F0F4F8"/>
          </w:tcPr>
          <w:p>
            <w:pPr>
              <w:jc w:val="center"/>
            </w:pPr>
            <w:r/>
            <w:r>
              <w:rPr>
                <w:rFonts w:ascii="Times New Roman" w:hAnsi="Times New Roman"/>
                <w:sz w:val="16"/>
              </w:rPr>
              <w:t>HMM Viterbi state: 0=bull, 1=bear</w:t>
            </w:r>
          </w:p>
        </w:tc>
        <w:tc>
          <w:tcPr>
            <w:tcW w:type="dxa" w:w="1584"/>
            <w:shd w:fill="F0F4F8"/>
          </w:tcPr>
          <w:p>
            <w:pPr>
              <w:jc w:val="center"/>
            </w:pPr>
            <w:r/>
            <w:r>
              <w:rPr>
                <w:rFonts w:ascii="Times New Roman" w:hAnsi="Times New Roman"/>
                <w:sz w:val="16"/>
              </w:rPr>
              <w:t>Regime (Novel)</w:t>
            </w:r>
          </w:p>
        </w:tc>
      </w:tr>
      <w:tr>
        <w:tc>
          <w:tcPr>
            <w:tcW w:type="dxa" w:w="432"/>
            <w:shd w:fill="FFFFFF"/>
          </w:tcPr>
          <w:p>
            <w:pPr>
              <w:jc w:val="center"/>
            </w:pPr>
            <w:r/>
            <w:r>
              <w:rPr>
                <w:rFonts w:ascii="Times New Roman" w:hAnsi="Times New Roman"/>
                <w:sz w:val="16"/>
              </w:rPr>
              <w:t>16</w:t>
            </w:r>
          </w:p>
        </w:tc>
        <w:tc>
          <w:tcPr>
            <w:tcW w:type="dxa" w:w="2016"/>
            <w:shd w:fill="FFFFFF"/>
          </w:tcPr>
          <w:p>
            <w:pPr>
              <w:jc w:val="center"/>
            </w:pPr>
            <w:r/>
            <w:r>
              <w:rPr>
                <w:rFonts w:ascii="Times New Roman" w:hAnsi="Times New Roman"/>
                <w:sz w:val="16"/>
              </w:rPr>
              <w:t>regime_prob_bear ★</w:t>
            </w:r>
          </w:p>
        </w:tc>
        <w:tc>
          <w:tcPr>
            <w:tcW w:type="dxa" w:w="4032"/>
            <w:shd w:fill="FFFFFF"/>
          </w:tcPr>
          <w:p>
            <w:pPr>
              <w:jc w:val="center"/>
            </w:pPr>
            <w:r/>
            <w:r>
              <w:rPr>
                <w:rFonts w:ascii="Times New Roman" w:hAnsi="Times New Roman"/>
                <w:sz w:val="16"/>
              </w:rPr>
              <w:t>P(bear | observations) — continuous posterior</w:t>
            </w:r>
          </w:p>
        </w:tc>
        <w:tc>
          <w:tcPr>
            <w:tcW w:type="dxa" w:w="1584"/>
            <w:shd w:fill="FFFFFF"/>
          </w:tcPr>
          <w:p>
            <w:pPr>
              <w:jc w:val="center"/>
            </w:pPr>
            <w:r/>
            <w:r>
              <w:rPr>
                <w:rFonts w:ascii="Times New Roman" w:hAnsi="Times New Roman"/>
                <w:sz w:val="16"/>
              </w:rPr>
              <w:t>Regime (Novel)</w:t>
            </w:r>
          </w:p>
        </w:tc>
      </w:tr>
      <w:tr>
        <w:tc>
          <w:tcPr>
            <w:tcW w:type="dxa" w:w="432"/>
            <w:shd w:fill="F0F4F8"/>
          </w:tcPr>
          <w:p>
            <w:pPr>
              <w:jc w:val="center"/>
            </w:pPr>
            <w:r/>
            <w:r>
              <w:rPr>
                <w:rFonts w:ascii="Times New Roman" w:hAnsi="Times New Roman"/>
                <w:sz w:val="16"/>
              </w:rPr>
              <w:t>17</w:t>
            </w:r>
          </w:p>
        </w:tc>
        <w:tc>
          <w:tcPr>
            <w:tcW w:type="dxa" w:w="2016"/>
            <w:shd w:fill="F0F4F8"/>
          </w:tcPr>
          <w:p>
            <w:pPr>
              <w:jc w:val="center"/>
            </w:pPr>
            <w:r/>
            <w:r>
              <w:rPr>
                <w:rFonts w:ascii="Times New Roman" w:hAnsi="Times New Roman"/>
                <w:sz w:val="16"/>
              </w:rPr>
              <w:t>sentiment_score ★</w:t>
            </w:r>
          </w:p>
        </w:tc>
        <w:tc>
          <w:tcPr>
            <w:tcW w:type="dxa" w:w="4032"/>
            <w:shd w:fill="F0F4F8"/>
          </w:tcPr>
          <w:p>
            <w:pPr>
              <w:jc w:val="center"/>
            </w:pPr>
            <w:r/>
            <w:r>
              <w:rPr>
                <w:rFonts w:ascii="Times New Roman" w:hAnsi="Times New Roman"/>
                <w:sz w:val="16"/>
              </w:rPr>
              <w:t>VADER compound score [−1, 1], 3-day fill</w:t>
            </w:r>
          </w:p>
        </w:tc>
        <w:tc>
          <w:tcPr>
            <w:tcW w:type="dxa" w:w="1584"/>
            <w:shd w:fill="F0F4F8"/>
          </w:tcPr>
          <w:p>
            <w:pPr>
              <w:jc w:val="center"/>
            </w:pPr>
            <w:r/>
            <w:r>
              <w:rPr>
                <w:rFonts w:ascii="Times New Roman" w:hAnsi="Times New Roman"/>
                <w:sz w:val="16"/>
              </w:rPr>
              <w:t>Sentiment (Novel)</w:t>
            </w:r>
          </w:p>
        </w:tc>
      </w:tr>
    </w:tbl>
    <w:p/>
    <w:p>
      <w:pPr>
        <w:spacing w:before="0" w:after="120"/>
        <w:ind w:firstLine="283"/>
        <w:jc w:val="both"/>
      </w:pPr>
      <w:r>
        <w:rPr>
          <w:rFonts w:ascii="Times New Roman" w:hAnsi="Times New Roman"/>
          <w:b w:val="0"/>
          <w:i w:val="0"/>
          <w:sz w:val="20"/>
        </w:rPr>
        <w:t>A SHA-256 hash of the sorted feature column names is stored with each trained model. If the feature schema changes (e.g., a feature is added or removed), the hash mismatch triggers automatic model retirement, preventing stale models from serving predictions on an incompatible feature space.</w:t>
      </w:r>
    </w:p>
    <w:p>
      <w:pPr>
        <w:spacing w:before="200" w:after="80"/>
        <w:jc w:val="left"/>
      </w:pPr>
      <w:r>
        <w:rPr>
          <w:rFonts w:ascii="Times New Roman" w:hAnsi="Times New Roman"/>
          <w:i/>
          <w:sz w:val="20"/>
        </w:rPr>
        <w:t>D. Hidden Markov Model (Regime Detector)</w:t>
      </w:r>
    </w:p>
    <w:p>
      <w:pPr>
        <w:spacing w:before="0" w:after="120"/>
        <w:ind w:firstLine="283"/>
        <w:jc w:val="both"/>
      </w:pPr>
      <w:r>
        <w:rPr>
          <w:rFonts w:ascii="Times New Roman" w:hAnsi="Times New Roman"/>
          <w:b w:val="0"/>
          <w:i w:val="0"/>
          <w:sz w:val="20"/>
        </w:rPr>
        <w:t>We train a two-state Gaussian HMM on the daily return sequence. Each latent state k emits returns from a Gaussian distribution N(μk, σk²). The model parameters — emission means μk, variances σk², transition matrix A, and initial state distribution π — are estimated using the Baum–Welch algorithm (Expectation-Maximization):</w:t>
      </w:r>
    </w:p>
    <w:p>
      <w:pPr>
        <w:spacing w:before="0" w:after="120"/>
        <w:ind w:firstLine="283"/>
        <w:jc w:val="both"/>
      </w:pPr>
      <w:r>
        <w:rPr>
          <w:rFonts w:ascii="Times New Roman" w:hAnsi="Times New Roman"/>
          <w:b w:val="0"/>
          <w:i w:val="0"/>
          <w:sz w:val="20"/>
        </w:rPr>
        <w:t>E-step: The forward-backward algorithm computes scaled forward variables α(t) and backward variables β(t), yielding smoothed state posteriors γ(t,k) = P(state=k | all observations).</w:t>
      </w:r>
    </w:p>
    <w:p>
      <w:pPr>
        <w:spacing w:before="0" w:after="120"/>
        <w:ind w:firstLine="283"/>
        <w:jc w:val="both"/>
      </w:pPr>
      <w:r>
        <w:rPr>
          <w:rFonts w:ascii="Times New Roman" w:hAnsi="Times New Roman"/>
          <w:b w:val="0"/>
          <w:i w:val="0"/>
          <w:sz w:val="20"/>
        </w:rPr>
        <w:t>M-step: Emission parameters and transition probabilities are updated from the smoothed posteriors. Convergence criterion: |Δ log L| &lt; 10⁻⁴ or 100 iterations. Initialization: median-split of sorted returns for mean values; uniform transition matrix.</w:t>
      </w:r>
    </w:p>
    <w:p>
      <w:pPr>
        <w:spacing w:before="0" w:after="120"/>
        <w:ind w:firstLine="283"/>
        <w:jc w:val="both"/>
      </w:pPr>
      <w:r>
        <w:rPr>
          <w:rFonts w:ascii="Times New Roman" w:hAnsi="Times New Roman"/>
          <w:b w:val="0"/>
          <w:i w:val="0"/>
          <w:sz w:val="20"/>
        </w:rPr>
        <w:t>After convergence, states are reordered so State 0 (bull) has the higher mean return and State 1 (bear) has the lower mean. The implementation is built entirely from scratch using NumPy and SciPy (scipy.stats.norm for emission densities), without any dependency on the hmmlearn library. This gives full control over initialization and ensures that the posterior probabilities — not just the Viterbi decoded states — are available as continuous features.</w:t>
      </w:r>
    </w:p>
    <w:p>
      <w:pPr>
        <w:spacing w:before="0" w:after="120"/>
        <w:ind w:firstLine="283"/>
        <w:jc w:val="both"/>
      </w:pPr>
      <w:r>
        <w:rPr>
          <w:rFonts w:ascii="Times New Roman" w:hAnsi="Times New Roman"/>
          <w:b w:val="0"/>
          <w:i w:val="0"/>
          <w:sz w:val="20"/>
        </w:rPr>
        <w:t>Why posteriors rather than hard labels? When P(bear) = 0.52, the regime assignment is uncertain; when P(bear) = 0.95, it is confident. A stock with RSI &gt; 70 in an uncertain regime behaves differently from the same RSI in a confident bear trend. Hard labels (argmax) collapse this distinction. Supplying both the decoded state and the bear-state posterior as separate features allows the downstream Random Forest to learn regime-uncertainty interactions.</w:t>
      </w:r>
    </w:p>
    <w:p>
      <w:pPr>
        <w:spacing w:before="200" w:after="80"/>
        <w:jc w:val="left"/>
      </w:pPr>
      <w:r>
        <w:rPr>
          <w:rFonts w:ascii="Times New Roman" w:hAnsi="Times New Roman"/>
          <w:i/>
          <w:sz w:val="20"/>
        </w:rPr>
        <w:t>E. Random Forest Classifier</w:t>
      </w:r>
    </w:p>
    <w:p>
      <w:pPr>
        <w:spacing w:before="0" w:after="120"/>
        <w:ind w:firstLine="283"/>
        <w:jc w:val="both"/>
      </w:pPr>
      <w:r>
        <w:rPr>
          <w:rFonts w:ascii="Times New Roman" w:hAnsi="Times New Roman"/>
          <w:b w:val="0"/>
          <w:i w:val="0"/>
          <w:sz w:val="20"/>
        </w:rPr>
        <w:t>The primary classifier is a scikit-learn RandomForestClassifier. In production, we use n_estimators=150, max_depth=6, min_samples_leaf=10, class_weight="balanced", n_jobs=−1 (all CPUs). The class_weight="balanced" parameter inversely weights classes by frequency, addressing the UP/DOWN/FLAT imbalance without synthetic oversampling.</w:t>
      </w:r>
    </w:p>
    <w:p>
      <w:pPr>
        <w:spacing w:before="0" w:after="120"/>
        <w:ind w:firstLine="283"/>
        <w:jc w:val="both"/>
      </w:pPr>
      <w:r>
        <w:rPr>
          <w:rFonts w:ascii="Times New Roman" w:hAnsi="Times New Roman"/>
          <w:b w:val="0"/>
          <w:i w:val="0"/>
          <w:sz w:val="20"/>
        </w:rPr>
        <w:t>In production, training uses a ParallelGroupTrainer that executes all five walk-forward folds concurrently via ThreadPoolExecutor, then combines fold predictions with recency-weighted soft voting — an exponential decay scheme where more recent folds receive higher weight, making the ensemble more sensitive to recent market conditions.</w:t>
      </w:r>
    </w:p>
    <w:p>
      <w:pPr>
        <w:spacing w:before="200" w:after="80"/>
        <w:jc w:val="left"/>
      </w:pPr>
      <w:r>
        <w:rPr>
          <w:rFonts w:ascii="Times New Roman" w:hAnsi="Times New Roman"/>
          <w:i/>
          <w:sz w:val="20"/>
        </w:rPr>
        <w:t>F. Temporal Convolutional Network</w:t>
      </w:r>
    </w:p>
    <w:p>
      <w:pPr>
        <w:spacing w:before="0" w:after="120"/>
        <w:ind w:firstLine="283"/>
        <w:jc w:val="both"/>
      </w:pPr>
      <w:r>
        <w:rPr>
          <w:rFonts w:ascii="Times New Roman" w:hAnsi="Times New Roman"/>
          <w:b w:val="0"/>
          <w:i w:val="0"/>
          <w:sz w:val="20"/>
        </w:rPr>
        <w:t>The TCN processes 20-day sliding windows of sequential features using causal dilated convolutions. It has 3 layers with hidden channels [32, 32, 32], kernel size 3, dilation factors [1, 2, 4], and dropout 0.2. Each CausalConvBlock applies WeightNorm(Conv1d) → ReLU → Dropout → residual addition.</w:t>
      </w:r>
    </w:p>
    <w:p>
      <w:pPr>
        <w:spacing w:before="0" w:after="120"/>
        <w:ind w:firstLine="283"/>
        <w:jc w:val="both"/>
      </w:pPr>
      <w:r>
        <w:rPr>
          <w:rFonts w:ascii="Times New Roman" w:hAnsi="Times New Roman"/>
          <w:b w:val="0"/>
          <w:i w:val="0"/>
          <w:sz w:val="20"/>
        </w:rPr>
        <w:t>The receptive field is: RF = 1 + (3−1)×1 + (3−1)×2 + (3−1)×4 = 15 trading days, covering approximately three trading weeks. This is sufficient to capture short-term momentum and mean-reversion patterns. Training uses Adam optimizer (lr=0.001), class-weighted CrossEntropyLoss, and 30 epochs per fold.</w:t>
      </w:r>
    </w:p>
    <w:p>
      <w:pPr>
        <w:spacing w:before="200" w:after="80"/>
        <w:jc w:val="left"/>
      </w:pPr>
      <w:r>
        <w:rPr>
          <w:rFonts w:ascii="Times New Roman" w:hAnsi="Times New Roman"/>
          <w:i/>
          <w:sz w:val="20"/>
        </w:rPr>
        <w:t>G. Sentiment Processing Pipeline</w:t>
      </w:r>
    </w:p>
    <w:p>
      <w:pPr>
        <w:spacing w:before="0" w:after="120"/>
        <w:ind w:firstLine="283"/>
        <w:jc w:val="both"/>
      </w:pPr>
      <w:r>
        <w:rPr>
          <w:rFonts w:ascii="Times New Roman" w:hAnsi="Times New Roman"/>
          <w:b w:val="0"/>
          <w:i w:val="0"/>
          <w:sz w:val="20"/>
        </w:rPr>
        <w:t>VADER [10] is applied to financial news headlines obtained via RSS feeds (Google News, Economic Times, Yahoo Finance) using the feedparser library. Each article is deduplicated using a deterministic MD5 hash of its title — replacing Python's non-deterministic built-in hash() function — and stored in ChromaDB with 384-dimensional sentence-transformer embeddings (all-MiniLM-L6-v2 [13]).</w:t>
      </w:r>
    </w:p>
    <w:p>
      <w:pPr>
        <w:spacing w:before="0" w:after="120"/>
        <w:ind w:firstLine="283"/>
        <w:jc w:val="both"/>
      </w:pPr>
      <w:r>
        <w:rPr>
          <w:rFonts w:ascii="Times New Roman" w:hAnsi="Times New Roman"/>
          <w:b w:val="0"/>
          <w:i w:val="0"/>
          <w:sz w:val="20"/>
        </w:rPr>
        <w:t>The compound score aggregation: (1) Score each article headline and body with VADER, (2) group by publication date and compute daily mean compound score, (3) align to trading-day index with 3-day forward-fill — because news sentiment persists approximately 3 trading days per Tetlock [9], (4) fill remaining gaps with 0.0 (neutral), (5) clip to [−1.0, +1.0].</w:t>
      </w:r>
    </w:p>
    <w:p>
      <w:pPr>
        <w:spacing w:before="200" w:after="80"/>
        <w:jc w:val="left"/>
      </w:pPr>
      <w:r>
        <w:rPr>
          <w:rFonts w:ascii="Times New Roman" w:hAnsi="Times New Roman"/>
          <w:i/>
          <w:sz w:val="20"/>
        </w:rPr>
        <w:t>H. Walk-Forward Validation with Embargo</w:t>
      </w:r>
    </w:p>
    <w:p>
      <w:pPr>
        <w:spacing w:before="0" w:after="120"/>
        <w:ind w:firstLine="283"/>
        <w:jc w:val="both"/>
      </w:pPr>
      <w:r>
        <w:rPr>
          <w:rFonts w:ascii="Times New Roman" w:hAnsi="Times New Roman"/>
          <w:b w:val="0"/>
          <w:i w:val="0"/>
          <w:sz w:val="20"/>
        </w:rPr>
        <w:t>We use five expanding walk-forward folds with a critical three-day embargo between training and testing periods. The embargo matches the prediction horizon: since the target uses a 3-day forward return, the last 3 training observations contain return information that overlaps with the test set. The embargo eliminates this leakage vector.</w:t>
      </w:r>
    </w:p>
    <w:p>
      <w:pPr>
        <w:spacing w:before="120" w:after="40"/>
        <w:ind w:left="454"/>
        <w:jc w:val="left"/>
      </w:pPr>
      <w:r>
        <w:rPr>
          <w:rFonts w:ascii="Times New Roman" w:hAnsi="Times New Roman"/>
          <w:b/>
          <w:sz w:val="18"/>
        </w:rPr>
        <w:t>Algorithm: Walk-Forward Validation with 3-Day Embargo</w:t>
      </w:r>
    </w:p>
    <w:p>
      <w:pPr>
        <w:spacing w:before="0" w:after="0"/>
        <w:ind w:left="680"/>
        <w:jc w:val="left"/>
      </w:pPr>
      <w:r>
        <w:rPr>
          <w:rFonts w:ascii="Courier New" w:hAnsi="Courier New"/>
          <w:sz w:val="16"/>
        </w:rPr>
        <w:t>Input:  Dataset D, N observations (chronological)</w:t>
      </w:r>
    </w:p>
    <w:p>
      <w:pPr>
        <w:spacing w:before="0" w:after="0"/>
        <w:ind w:left="680"/>
        <w:jc w:val="left"/>
      </w:pPr>
      <w:r>
        <w:rPr>
          <w:rFonts w:ascii="Courier New" w:hAnsi="Courier New"/>
          <w:sz w:val="16"/>
        </w:rPr>
        <w:t>Params: min_train=120, test_size=30, splits=5, embargo=3</w:t>
      </w:r>
    </w:p>
    <w:p>
      <w:pPr>
        <w:spacing w:before="0" w:after="0"/>
        <w:ind w:left="680"/>
        <w:jc w:val="left"/>
      </w:pPr>
      <w:r>
        <w:rPr>
          <w:rFonts w:ascii="Courier New" w:hAnsi="Courier New"/>
          <w:sz w:val="16"/>
        </w:rPr>
      </w:r>
    </w:p>
    <w:p>
      <w:pPr>
        <w:spacing w:before="0" w:after="0"/>
        <w:ind w:left="680"/>
        <w:jc w:val="left"/>
      </w:pPr>
      <w:r>
        <w:rPr>
          <w:rFonts w:ascii="Courier New" w:hAnsi="Courier New"/>
          <w:sz w:val="16"/>
        </w:rPr>
        <w:t>stride ← (N − min_train) / splits</w:t>
      </w:r>
    </w:p>
    <w:p>
      <w:pPr>
        <w:spacing w:before="0" w:after="0"/>
        <w:ind w:left="680"/>
        <w:jc w:val="left"/>
      </w:pPr>
      <w:r>
        <w:rPr>
          <w:rFonts w:ascii="Courier New" w:hAnsi="Courier New"/>
          <w:sz w:val="16"/>
        </w:rPr>
        <w:t>FOR i = 0 TO splits−1:</w:t>
      </w:r>
    </w:p>
    <w:p>
      <w:pPr>
        <w:spacing w:before="0" w:after="0"/>
        <w:ind w:left="680"/>
        <w:jc w:val="left"/>
      </w:pPr>
      <w:r>
        <w:rPr>
          <w:rFonts w:ascii="Courier New" w:hAnsi="Courier New"/>
          <w:sz w:val="16"/>
        </w:rPr>
        <w:t xml:space="preserve">    test_start ← min_train + i × stride</w:t>
      </w:r>
    </w:p>
    <w:p>
      <w:pPr>
        <w:spacing w:before="0" w:after="0"/>
        <w:ind w:left="680"/>
        <w:jc w:val="left"/>
      </w:pPr>
      <w:r>
        <w:rPr>
          <w:rFonts w:ascii="Courier New" w:hAnsi="Courier New"/>
          <w:sz w:val="16"/>
        </w:rPr>
        <w:t xml:space="preserve">    test_end   ← min(test_start + test_size, N)</w:t>
      </w:r>
    </w:p>
    <w:p>
      <w:pPr>
        <w:spacing w:before="0" w:after="0"/>
        <w:ind w:left="680"/>
        <w:jc w:val="left"/>
      </w:pPr>
      <w:r>
        <w:rPr>
          <w:rFonts w:ascii="Courier New" w:hAnsi="Courier New"/>
          <w:sz w:val="16"/>
        </w:rPr>
        <w:t xml:space="preserve">    train_end  ← test_start − embargo   ← 3-DAY GAP</w:t>
      </w:r>
    </w:p>
    <w:p>
      <w:pPr>
        <w:spacing w:before="0" w:after="0"/>
        <w:ind w:left="680"/>
        <w:jc w:val="left"/>
      </w:pPr>
      <w:r>
        <w:rPr>
          <w:rFonts w:ascii="Courier New" w:hAnsi="Courier New"/>
          <w:sz w:val="16"/>
        </w:rPr>
        <w:t xml:space="preserve">    train_idx  ← [0, train_end)</w:t>
      </w:r>
    </w:p>
    <w:p>
      <w:pPr>
        <w:spacing w:before="0" w:after="0"/>
        <w:ind w:left="680"/>
        <w:jc w:val="left"/>
      </w:pPr>
      <w:r>
        <w:rPr>
          <w:rFonts w:ascii="Courier New" w:hAnsi="Courier New"/>
          <w:sz w:val="16"/>
        </w:rPr>
        <w:t xml:space="preserve">    test_idx   ← [test_start, test_end)</w:t>
      </w:r>
    </w:p>
    <w:p>
      <w:pPr>
        <w:spacing w:before="0" w:after="0"/>
        <w:ind w:left="680"/>
        <w:jc w:val="left"/>
      </w:pPr>
      <w:r>
        <w:rPr>
          <w:rFonts w:ascii="Courier New" w:hAnsi="Courier New"/>
          <w:sz w:val="16"/>
        </w:rPr>
      </w:r>
    </w:p>
    <w:p>
      <w:pPr>
        <w:spacing w:before="0" w:after="0"/>
        <w:ind w:left="680"/>
        <w:jc w:val="left"/>
      </w:pPr>
      <w:r>
        <w:rPr>
          <w:rFonts w:ascii="Courier New" w:hAnsi="Courier New"/>
          <w:sz w:val="16"/>
        </w:rPr>
        <w:t xml:space="preserve">    ASSERT: max(train_idx) + embargo ≤ min(test_idx)</w:t>
      </w:r>
    </w:p>
    <w:p>
      <w:pPr>
        <w:spacing w:before="0" w:after="0"/>
        <w:ind w:left="680"/>
        <w:jc w:val="left"/>
      </w:pPr>
      <w:r>
        <w:rPr>
          <w:rFonts w:ascii="Courier New" w:hAnsi="Courier New"/>
          <w:sz w:val="16"/>
        </w:rPr>
        <w:t xml:space="preserve">    ASSERT: max_timestamp(train) &lt; min_timestamp(test)</w:t>
      </w:r>
    </w:p>
    <w:p>
      <w:pPr>
        <w:spacing w:before="0" w:after="0"/>
        <w:ind w:left="680"/>
        <w:jc w:val="left"/>
      </w:pPr>
      <w:r>
        <w:rPr>
          <w:rFonts w:ascii="Courier New" w:hAnsi="Courier New"/>
          <w:sz w:val="16"/>
        </w:rPr>
      </w:r>
    </w:p>
    <w:p>
      <w:pPr>
        <w:spacing w:before="0" w:after="0"/>
        <w:ind w:left="680"/>
        <w:jc w:val="left"/>
      </w:pPr>
      <w:r>
        <w:rPr>
          <w:rFonts w:ascii="Courier New" w:hAnsi="Courier New"/>
          <w:sz w:val="16"/>
        </w:rPr>
        <w:t xml:space="preserve">    model.fit(D[train_idx])</w:t>
      </w:r>
    </w:p>
    <w:p>
      <w:pPr>
        <w:spacing w:before="0" w:after="0"/>
        <w:ind w:left="680"/>
        <w:jc w:val="left"/>
      </w:pPr>
      <w:r>
        <w:rPr>
          <w:rFonts w:ascii="Courier New" w:hAnsi="Courier New"/>
          <w:sz w:val="16"/>
        </w:rPr>
        <w:t xml:space="preserve">    OOF_preds[test_idx] ← model.predict(D[test_idx])</w:t>
      </w:r>
    </w:p>
    <w:p>
      <w:pPr>
        <w:spacing w:before="0" w:after="0"/>
        <w:ind w:left="680"/>
        <w:jc w:val="left"/>
      </w:pPr>
      <w:r>
        <w:rPr>
          <w:rFonts w:ascii="Courier New" w:hAnsi="Courier New"/>
          <w:sz w:val="16"/>
        </w:rPr>
      </w:r>
    </w:p>
    <w:p>
      <w:pPr>
        <w:spacing w:before="0" w:after="0"/>
        <w:ind w:left="680"/>
        <w:jc w:val="left"/>
      </w:pPr>
      <w:r>
        <w:rPr>
          <w:rFonts w:ascii="Courier New" w:hAnsi="Courier New"/>
          <w:sz w:val="16"/>
        </w:rPr>
        <w:t>RETURN OOF_preds  (model never saw test data)</w:t>
      </w:r>
    </w:p>
    <w:p/>
    <w:p>
      <w:pPr>
        <w:spacing w:before="0" w:after="120"/>
        <w:ind w:firstLine="283"/>
        <w:jc w:val="both"/>
      </w:pPr>
      <w:r>
        <w:rPr>
          <w:rFonts w:ascii="Times New Roman" w:hAnsi="Times New Roman"/>
          <w:b w:val="0"/>
          <w:i w:val="0"/>
          <w:sz w:val="20"/>
        </w:rPr>
        <w:t>The five folds are independent computations and run concurrently via ThreadPoolExecutor(max_workers=5). Since scikit-learn's RandomForest releases the Python GIL during fit(), this enables true CPU parallelism.</w:t>
      </w:r>
    </w:p>
    <w:p>
      <w:pPr>
        <w:spacing w:before="200" w:after="80"/>
        <w:jc w:val="left"/>
      </w:pPr>
      <w:r>
        <w:rPr>
          <w:rFonts w:ascii="Times New Roman" w:hAnsi="Times New Roman"/>
          <w:i/>
          <w:sz w:val="20"/>
        </w:rPr>
        <w:t>I. Out-of-Fold Backtesting with Transaction Costs</w:t>
      </w:r>
    </w:p>
    <w:p>
      <w:pPr>
        <w:spacing w:before="0" w:after="120"/>
        <w:ind w:firstLine="283"/>
        <w:jc w:val="both"/>
      </w:pPr>
      <w:r>
        <w:rPr>
          <w:rFonts w:ascii="Times New Roman" w:hAnsi="Times New Roman"/>
          <w:b w:val="0"/>
          <w:i w:val="0"/>
          <w:sz w:val="20"/>
        </w:rPr>
        <w:t>Trading signals come exclusively from out-of-fold predictions — the model never trades on data it trained on. Positions are shifted by one day to prevent same-day execution lookahead. The NSE transaction-cost model includes all real trading costs:</w:t>
      </w:r>
    </w:p>
    <w:p>
      <w:pPr>
        <w:spacing w:before="160" w:after="80"/>
        <w:jc w:val="center"/>
      </w:pPr>
      <w:r>
        <w:rPr>
          <w:rFonts w:ascii="Times New Roman" w:hAnsi="Times New Roman"/>
          <w:b/>
          <w:sz w:val="16"/>
        </w:rPr>
        <w:t>TABLE II</w:t>
      </w:r>
      <w:r>
        <w:rPr>
          <w:sz w:val="16"/>
        </w:rPr>
        <w:br/>
      </w:r>
      <w:r>
        <w:rPr>
          <w:rFonts w:ascii="Times New Roman" w:hAnsi="Times New Roman"/>
          <w:i/>
          <w:sz w:val="16"/>
        </w:rPr>
        <w:t>NSE Transaction Cost Components</w:t>
      </w:r>
    </w:p>
    <w:tbl>
      <w:tblPr>
        <w:tblStyle w:val="TableGrid"/>
        <w:tblW w:type="auto" w:w="0"/>
        <w:jc w:val="center"/>
        <w:tblLook w:firstColumn="1" w:firstRow="1" w:lastColumn="0" w:lastRow="0" w:noHBand="0" w:noVBand="1" w:val="04A0"/>
      </w:tblPr>
      <w:tblGrid>
        <w:gridCol w:w="3407"/>
        <w:gridCol w:w="3407"/>
        <w:gridCol w:w="3407"/>
      </w:tblGrid>
      <w:tr>
        <w:tc>
          <w:tcPr>
            <w:tcW w:type="dxa" w:w="2304"/>
            <w:shd w:fill="1B3A5C"/>
          </w:tcPr>
          <w:p>
            <w:pPr>
              <w:jc w:val="center"/>
            </w:pPr>
            <w:r/>
            <w:r>
              <w:rPr>
                <w:rFonts w:ascii="Times New Roman" w:hAnsi="Times New Roman"/>
                <w:b/>
                <w:color w:val="FFFFFF"/>
                <w:sz w:val="16"/>
              </w:rPr>
              <w:t>Cost Component</w:t>
            </w:r>
          </w:p>
        </w:tc>
        <w:tc>
          <w:tcPr>
            <w:tcW w:type="dxa" w:w="1872"/>
            <w:shd w:fill="1B3A5C"/>
          </w:tcPr>
          <w:p>
            <w:pPr>
              <w:jc w:val="center"/>
            </w:pPr>
            <w:r/>
            <w:r>
              <w:rPr>
                <w:rFonts w:ascii="Times New Roman" w:hAnsi="Times New Roman"/>
                <w:b/>
                <w:color w:val="FFFFFF"/>
                <w:sz w:val="16"/>
              </w:rPr>
              <w:t>Rate</w:t>
            </w:r>
          </w:p>
        </w:tc>
        <w:tc>
          <w:tcPr>
            <w:tcW w:type="dxa" w:w="2160"/>
            <w:shd w:fill="1B3A5C"/>
          </w:tcPr>
          <w:p>
            <w:pPr>
              <w:jc w:val="center"/>
            </w:pPr>
            <w:r/>
            <w:r>
              <w:rPr>
                <w:rFonts w:ascii="Times New Roman" w:hAnsi="Times New Roman"/>
                <w:b/>
                <w:color w:val="FFFFFF"/>
                <w:sz w:val="16"/>
              </w:rPr>
              <w:t>Applied To</w:t>
            </w:r>
          </w:p>
        </w:tc>
      </w:tr>
      <w:tr>
        <w:tc>
          <w:tcPr>
            <w:tcW w:type="dxa" w:w="2304"/>
            <w:shd w:fill="F0F4F8"/>
          </w:tcPr>
          <w:p>
            <w:pPr>
              <w:jc w:val="center"/>
            </w:pPr>
            <w:r/>
            <w:r>
              <w:rPr>
                <w:rFonts w:ascii="Times New Roman" w:hAnsi="Times New Roman"/>
                <w:sz w:val="16"/>
              </w:rPr>
              <w:t>Brokerage</w:t>
            </w:r>
          </w:p>
        </w:tc>
        <w:tc>
          <w:tcPr>
            <w:tcW w:type="dxa" w:w="1872"/>
            <w:shd w:fill="F0F4F8"/>
          </w:tcPr>
          <w:p>
            <w:pPr>
              <w:jc w:val="center"/>
            </w:pPr>
            <w:r/>
            <w:r>
              <w:rPr>
                <w:rFonts w:ascii="Times New Roman" w:hAnsi="Times New Roman"/>
                <w:sz w:val="16"/>
              </w:rPr>
              <w:t>0.03%</w:t>
            </w:r>
          </w:p>
        </w:tc>
        <w:tc>
          <w:tcPr>
            <w:tcW w:type="dxa" w:w="2160"/>
            <w:shd w:fill="F0F4F8"/>
          </w:tcPr>
          <w:p>
            <w:pPr>
              <w:jc w:val="center"/>
            </w:pPr>
            <w:r/>
            <w:r>
              <w:rPr>
                <w:rFonts w:ascii="Times New Roman" w:hAnsi="Times New Roman"/>
                <w:sz w:val="16"/>
              </w:rPr>
              <w:t>Buy and Sell</w:t>
            </w:r>
          </w:p>
        </w:tc>
      </w:tr>
      <w:tr>
        <w:tc>
          <w:tcPr>
            <w:tcW w:type="dxa" w:w="2304"/>
            <w:shd w:fill="FFFFFF"/>
          </w:tcPr>
          <w:p>
            <w:pPr>
              <w:jc w:val="center"/>
            </w:pPr>
            <w:r/>
            <w:r>
              <w:rPr>
                <w:rFonts w:ascii="Times New Roman" w:hAnsi="Times New Roman"/>
                <w:sz w:val="16"/>
              </w:rPr>
              <w:t>STT (Securities Tax)</w:t>
            </w:r>
          </w:p>
        </w:tc>
        <w:tc>
          <w:tcPr>
            <w:tcW w:type="dxa" w:w="1872"/>
            <w:shd w:fill="FFFFFF"/>
          </w:tcPr>
          <w:p>
            <w:pPr>
              <w:jc w:val="center"/>
            </w:pPr>
            <w:r/>
            <w:r>
              <w:rPr>
                <w:rFonts w:ascii="Times New Roman" w:hAnsi="Times New Roman"/>
                <w:sz w:val="16"/>
              </w:rPr>
              <w:t>0.10%</w:t>
            </w:r>
          </w:p>
        </w:tc>
        <w:tc>
          <w:tcPr>
            <w:tcW w:type="dxa" w:w="2160"/>
            <w:shd w:fill="FFFFFF"/>
          </w:tcPr>
          <w:p>
            <w:pPr>
              <w:jc w:val="center"/>
            </w:pPr>
            <w:r/>
            <w:r>
              <w:rPr>
                <w:rFonts w:ascii="Times New Roman" w:hAnsi="Times New Roman"/>
                <w:sz w:val="16"/>
              </w:rPr>
              <w:t>Sell side only</w:t>
            </w:r>
          </w:p>
        </w:tc>
      </w:tr>
      <w:tr>
        <w:tc>
          <w:tcPr>
            <w:tcW w:type="dxa" w:w="2304"/>
            <w:shd w:fill="F0F4F8"/>
          </w:tcPr>
          <w:p>
            <w:pPr>
              <w:jc w:val="center"/>
            </w:pPr>
            <w:r/>
            <w:r>
              <w:rPr>
                <w:rFonts w:ascii="Times New Roman" w:hAnsi="Times New Roman"/>
                <w:sz w:val="16"/>
              </w:rPr>
              <w:t>GST</w:t>
            </w:r>
          </w:p>
        </w:tc>
        <w:tc>
          <w:tcPr>
            <w:tcW w:type="dxa" w:w="1872"/>
            <w:shd w:fill="F0F4F8"/>
          </w:tcPr>
          <w:p>
            <w:pPr>
              <w:jc w:val="center"/>
            </w:pPr>
            <w:r/>
            <w:r>
              <w:rPr>
                <w:rFonts w:ascii="Times New Roman" w:hAnsi="Times New Roman"/>
                <w:sz w:val="16"/>
              </w:rPr>
              <w:t>18% on brokerage</w:t>
            </w:r>
          </w:p>
        </w:tc>
        <w:tc>
          <w:tcPr>
            <w:tcW w:type="dxa" w:w="2160"/>
            <w:shd w:fill="F0F4F8"/>
          </w:tcPr>
          <w:p>
            <w:pPr>
              <w:jc w:val="center"/>
            </w:pPr>
            <w:r/>
            <w:r>
              <w:rPr>
                <w:rFonts w:ascii="Times New Roman" w:hAnsi="Times New Roman"/>
                <w:sz w:val="16"/>
              </w:rPr>
              <w:t>Both sides</w:t>
            </w:r>
          </w:p>
        </w:tc>
      </w:tr>
      <w:tr>
        <w:tc>
          <w:tcPr>
            <w:tcW w:type="dxa" w:w="2304"/>
            <w:shd w:fill="FFFFFF"/>
          </w:tcPr>
          <w:p>
            <w:pPr>
              <w:jc w:val="center"/>
            </w:pPr>
            <w:r/>
            <w:r>
              <w:rPr>
                <w:rFonts w:ascii="Times New Roman" w:hAnsi="Times New Roman"/>
                <w:sz w:val="16"/>
              </w:rPr>
              <w:t>SEBI Turnover Charge</w:t>
            </w:r>
          </w:p>
        </w:tc>
        <w:tc>
          <w:tcPr>
            <w:tcW w:type="dxa" w:w="1872"/>
            <w:shd w:fill="FFFFFF"/>
          </w:tcPr>
          <w:p>
            <w:pPr>
              <w:jc w:val="center"/>
            </w:pPr>
            <w:r/>
            <w:r>
              <w:rPr>
                <w:rFonts w:ascii="Times New Roman" w:hAnsi="Times New Roman"/>
                <w:sz w:val="16"/>
              </w:rPr>
              <w:t>0.0001%</w:t>
            </w:r>
          </w:p>
        </w:tc>
        <w:tc>
          <w:tcPr>
            <w:tcW w:type="dxa" w:w="2160"/>
            <w:shd w:fill="FFFFFF"/>
          </w:tcPr>
          <w:p>
            <w:pPr>
              <w:jc w:val="center"/>
            </w:pPr>
            <w:r/>
            <w:r>
              <w:rPr>
                <w:rFonts w:ascii="Times New Roman" w:hAnsi="Times New Roman"/>
                <w:sz w:val="16"/>
              </w:rPr>
              <w:t>Both sides</w:t>
            </w:r>
          </w:p>
        </w:tc>
      </w:tr>
      <w:tr>
        <w:tc>
          <w:tcPr>
            <w:tcW w:type="dxa" w:w="2304"/>
            <w:shd w:fill="F0F4F8"/>
          </w:tcPr>
          <w:p>
            <w:pPr>
              <w:jc w:val="center"/>
            </w:pPr>
            <w:r/>
            <w:r>
              <w:rPr>
                <w:rFonts w:ascii="Times New Roman" w:hAnsi="Times New Roman"/>
                <w:sz w:val="16"/>
              </w:rPr>
              <w:t>Stamp Duty</w:t>
            </w:r>
          </w:p>
        </w:tc>
        <w:tc>
          <w:tcPr>
            <w:tcW w:type="dxa" w:w="1872"/>
            <w:shd w:fill="F0F4F8"/>
          </w:tcPr>
          <w:p>
            <w:pPr>
              <w:jc w:val="center"/>
            </w:pPr>
            <w:r/>
            <w:r>
              <w:rPr>
                <w:rFonts w:ascii="Times New Roman" w:hAnsi="Times New Roman"/>
                <w:sz w:val="16"/>
              </w:rPr>
              <w:t>0.015%</w:t>
            </w:r>
          </w:p>
        </w:tc>
        <w:tc>
          <w:tcPr>
            <w:tcW w:type="dxa" w:w="2160"/>
            <w:shd w:fill="F0F4F8"/>
          </w:tcPr>
          <w:p>
            <w:pPr>
              <w:jc w:val="center"/>
            </w:pPr>
            <w:r/>
            <w:r>
              <w:rPr>
                <w:rFonts w:ascii="Times New Roman" w:hAnsi="Times New Roman"/>
                <w:sz w:val="16"/>
              </w:rPr>
              <w:t>Buy side only</w:t>
            </w:r>
          </w:p>
        </w:tc>
      </w:tr>
    </w:tbl>
    <w:p/>
    <w:p>
      <w:pPr>
        <w:spacing w:before="0" w:after="120"/>
        <w:ind w:firstLine="283"/>
        <w:jc w:val="both"/>
      </w:pPr>
      <w:r>
        <w:rPr>
          <w:rFonts w:ascii="Times New Roman" w:hAnsi="Times New Roman"/>
          <w:b w:val="0"/>
          <w:i w:val="0"/>
          <w:sz w:val="20"/>
        </w:rPr>
        <w:t>Additionally, Almgren–Chriss market-impact slippage is modeled as:</w:t>
      </w:r>
    </w:p>
    <w:p>
      <w:pPr>
        <w:spacing w:before="120" w:after="120"/>
        <w:jc w:val="center"/>
      </w:pPr>
      <w:r>
        <w:rPr>
          <w:rFonts w:ascii="Times New Roman" w:hAnsi="Times New Roman"/>
          <w:i/>
          <w:sz w:val="20"/>
        </w:rPr>
        <w:t>Slippage = η × σ(daily) × √|V_ratio|</w:t>
      </w:r>
      <w:r>
        <w:rPr>
          <w:rFonts w:ascii="Times New Roman" w:hAnsi="Times New Roman"/>
          <w:sz w:val="20"/>
        </w:rPr>
        <w:t xml:space="preserve">    (3)</w:t>
      </w:r>
    </w:p>
    <w:p>
      <w:pPr>
        <w:spacing w:before="0" w:after="120"/>
        <w:ind w:firstLine="283"/>
        <w:jc w:val="both"/>
      </w:pPr>
      <w:r>
        <w:rPr>
          <w:rFonts w:ascii="Times New Roman" w:hAnsi="Times New Roman"/>
          <w:b w:val="0"/>
          <w:i w:val="0"/>
          <w:sz w:val="20"/>
        </w:rPr>
        <w:t>where η = 0.1 is the impact coefficient and V_ratio is the current-to-average volume ratio. This captures the price impact of trading at volumes that deviate from the stock's typical daily volume.</w:t>
      </w:r>
    </w:p>
    <w:p>
      <w:pPr>
        <w:spacing w:before="200" w:after="80"/>
        <w:jc w:val="left"/>
      </w:pPr>
      <w:r>
        <w:rPr>
          <w:rFonts w:ascii="Times New Roman" w:hAnsi="Times New Roman"/>
          <w:i/>
          <w:sz w:val="20"/>
        </w:rPr>
        <w:t>J. Model Registry and Lifecycle</w:t>
      </w:r>
    </w:p>
    <w:p>
      <w:pPr>
        <w:spacing w:before="0" w:after="120"/>
        <w:ind w:firstLine="283"/>
        <w:jc w:val="both"/>
      </w:pPr>
      <w:r>
        <w:rPr>
          <w:rFonts w:ascii="Times New Roman" w:hAnsi="Times New Roman"/>
          <w:b w:val="0"/>
          <w:i w:val="0"/>
          <w:sz w:val="20"/>
        </w:rPr>
        <w:t>Trained models are serialized using joblib (RF/MLP) or PyTorch .pt files (TCN) and registered in a SQLite model_registry table with metadata: symbol, model name, version, role (champion or challenger), macro-F1, accuracy, artifact path, feature_hash (SHA-256), and training timestamp. A challenger is promoted to champion only when its OOF macro-F1 exceeds the current champion by at least 2 percentage points, providing a statistical significance gate against noise-driven promotions.</w:t>
      </w:r>
    </w:p>
    <w:p>
      <w:pPr>
        <w:spacing w:before="280" w:after="120"/>
        <w:jc w:val="center"/>
      </w:pPr>
      <w:r>
        <w:rPr>
          <w:rFonts w:ascii="Times New Roman" w:hAnsi="Times New Roman"/>
          <w:b/>
          <w:sz w:val="20"/>
        </w:rPr>
        <w:t>IV. EXPERIMENTAL SETUP</w:t>
      </w:r>
    </w:p>
    <w:p>
      <w:pPr>
        <w:spacing w:before="200" w:after="80"/>
        <w:jc w:val="left"/>
      </w:pPr>
      <w:r>
        <w:rPr>
          <w:rFonts w:ascii="Times New Roman" w:hAnsi="Times New Roman"/>
          <w:i/>
          <w:sz w:val="20"/>
        </w:rPr>
        <w:t>A. Ablation Dataset</w:t>
      </w:r>
    </w:p>
    <w:p>
      <w:pPr>
        <w:spacing w:before="0" w:after="120"/>
        <w:ind w:firstLine="283"/>
        <w:jc w:val="both"/>
      </w:pPr>
      <w:r>
        <w:rPr>
          <w:rFonts w:ascii="Times New Roman" w:hAnsi="Times New Roman"/>
          <w:b w:val="0"/>
          <w:i w:val="0"/>
          <w:sz w:val="20"/>
        </w:rPr>
        <w:t>The ablation study uses five NSE stocks selected for liquidity and sector diversity, covering the 2022–2024 period:</w:t>
      </w:r>
    </w:p>
    <w:p>
      <w:pPr>
        <w:spacing w:before="160" w:after="80"/>
        <w:jc w:val="center"/>
      </w:pPr>
      <w:r>
        <w:rPr>
          <w:rFonts w:ascii="Times New Roman" w:hAnsi="Times New Roman"/>
          <w:b/>
          <w:sz w:val="16"/>
        </w:rPr>
        <w:t>TABLE III</w:t>
      </w:r>
      <w:r>
        <w:rPr>
          <w:sz w:val="16"/>
        </w:rPr>
        <w:br/>
      </w:r>
      <w:r>
        <w:rPr>
          <w:rFonts w:ascii="Times New Roman" w:hAnsi="Times New Roman"/>
          <w:i/>
          <w:sz w:val="16"/>
        </w:rPr>
        <w:t>Ablation Stock Universe</w:t>
      </w:r>
    </w:p>
    <w:tbl>
      <w:tblPr>
        <w:tblStyle w:val="TableGrid"/>
        <w:tblW w:type="auto" w:w="0"/>
        <w:jc w:val="center"/>
        <w:tblLook w:firstColumn="1" w:firstRow="1" w:lastColumn="0" w:lastRow="0" w:noHBand="0" w:noVBand="1" w:val="04A0"/>
      </w:tblPr>
      <w:tblGrid>
        <w:gridCol w:w="3407"/>
        <w:gridCol w:w="3407"/>
        <w:gridCol w:w="3407"/>
      </w:tblGrid>
      <w:tr>
        <w:tc>
          <w:tcPr>
            <w:tcW w:type="dxa" w:w="2880"/>
            <w:shd w:fill="1B3A5C"/>
          </w:tcPr>
          <w:p>
            <w:pPr>
              <w:jc w:val="center"/>
            </w:pPr>
            <w:r/>
            <w:r>
              <w:rPr>
                <w:rFonts w:ascii="Times New Roman" w:hAnsi="Times New Roman"/>
                <w:b/>
                <w:color w:val="FFFFFF"/>
                <w:sz w:val="16"/>
              </w:rPr>
              <w:t>Stock</w:t>
            </w:r>
          </w:p>
        </w:tc>
        <w:tc>
          <w:tcPr>
            <w:tcW w:type="dxa" w:w="2160"/>
            <w:shd w:fill="1B3A5C"/>
          </w:tcPr>
          <w:p>
            <w:pPr>
              <w:jc w:val="center"/>
            </w:pPr>
            <w:r/>
            <w:r>
              <w:rPr>
                <w:rFonts w:ascii="Times New Roman" w:hAnsi="Times New Roman"/>
                <w:b/>
                <w:color w:val="FFFFFF"/>
                <w:sz w:val="16"/>
              </w:rPr>
              <w:t>Sector</w:t>
            </w:r>
          </w:p>
        </w:tc>
        <w:tc>
          <w:tcPr>
            <w:tcW w:type="dxa" w:w="1728"/>
            <w:shd w:fill="1B3A5C"/>
          </w:tcPr>
          <w:p>
            <w:pPr>
              <w:jc w:val="center"/>
            </w:pPr>
            <w:r/>
            <w:r>
              <w:rPr>
                <w:rFonts w:ascii="Times New Roman" w:hAnsi="Times New Roman"/>
                <w:b/>
                <w:color w:val="FFFFFF"/>
                <w:sz w:val="16"/>
              </w:rPr>
              <w:t>Ticker</w:t>
            </w:r>
          </w:p>
        </w:tc>
      </w:tr>
      <w:tr>
        <w:tc>
          <w:tcPr>
            <w:tcW w:type="dxa" w:w="2880"/>
            <w:shd w:fill="F0F4F8"/>
          </w:tcPr>
          <w:p>
            <w:pPr>
              <w:jc w:val="center"/>
            </w:pPr>
            <w:r/>
            <w:r>
              <w:rPr>
                <w:rFonts w:ascii="Times New Roman" w:hAnsi="Times New Roman"/>
                <w:sz w:val="16"/>
              </w:rPr>
              <w:t>Reliance Industries</w:t>
            </w:r>
          </w:p>
        </w:tc>
        <w:tc>
          <w:tcPr>
            <w:tcW w:type="dxa" w:w="2160"/>
            <w:shd w:fill="F0F4F8"/>
          </w:tcPr>
          <w:p>
            <w:pPr>
              <w:jc w:val="center"/>
            </w:pPr>
            <w:r/>
            <w:r>
              <w:rPr>
                <w:rFonts w:ascii="Times New Roman" w:hAnsi="Times New Roman"/>
                <w:sz w:val="16"/>
              </w:rPr>
              <w:t>Energy / Conglomerate</w:t>
            </w:r>
          </w:p>
        </w:tc>
        <w:tc>
          <w:tcPr>
            <w:tcW w:type="dxa" w:w="1728"/>
            <w:shd w:fill="F0F4F8"/>
          </w:tcPr>
          <w:p>
            <w:pPr>
              <w:jc w:val="center"/>
            </w:pPr>
            <w:r/>
            <w:r>
              <w:rPr>
                <w:rFonts w:ascii="Times New Roman" w:hAnsi="Times New Roman"/>
                <w:sz w:val="16"/>
              </w:rPr>
              <w:t>RELIANCE.NS</w:t>
            </w:r>
          </w:p>
        </w:tc>
      </w:tr>
      <w:tr>
        <w:tc>
          <w:tcPr>
            <w:tcW w:type="dxa" w:w="2880"/>
            <w:shd w:fill="FFFFFF"/>
          </w:tcPr>
          <w:p>
            <w:pPr>
              <w:jc w:val="center"/>
            </w:pPr>
            <w:r/>
            <w:r>
              <w:rPr>
                <w:rFonts w:ascii="Times New Roman" w:hAnsi="Times New Roman"/>
                <w:sz w:val="16"/>
              </w:rPr>
              <w:t>Tata Consultancy Services</w:t>
            </w:r>
          </w:p>
        </w:tc>
        <w:tc>
          <w:tcPr>
            <w:tcW w:type="dxa" w:w="2160"/>
            <w:shd w:fill="FFFFFF"/>
          </w:tcPr>
          <w:p>
            <w:pPr>
              <w:jc w:val="center"/>
            </w:pPr>
            <w:r/>
            <w:r>
              <w:rPr>
                <w:rFonts w:ascii="Times New Roman" w:hAnsi="Times New Roman"/>
                <w:sz w:val="16"/>
              </w:rPr>
              <w:t>IT Services</w:t>
            </w:r>
          </w:p>
        </w:tc>
        <w:tc>
          <w:tcPr>
            <w:tcW w:type="dxa" w:w="1728"/>
            <w:shd w:fill="FFFFFF"/>
          </w:tcPr>
          <w:p>
            <w:pPr>
              <w:jc w:val="center"/>
            </w:pPr>
            <w:r/>
            <w:r>
              <w:rPr>
                <w:rFonts w:ascii="Times New Roman" w:hAnsi="Times New Roman"/>
                <w:sz w:val="16"/>
              </w:rPr>
              <w:t>TCS.NS</w:t>
            </w:r>
          </w:p>
        </w:tc>
      </w:tr>
      <w:tr>
        <w:tc>
          <w:tcPr>
            <w:tcW w:type="dxa" w:w="2880"/>
            <w:shd w:fill="F0F4F8"/>
          </w:tcPr>
          <w:p>
            <w:pPr>
              <w:jc w:val="center"/>
            </w:pPr>
            <w:r/>
            <w:r>
              <w:rPr>
                <w:rFonts w:ascii="Times New Roman" w:hAnsi="Times New Roman"/>
                <w:sz w:val="16"/>
              </w:rPr>
              <w:t>HDFC Bank</w:t>
            </w:r>
          </w:p>
        </w:tc>
        <w:tc>
          <w:tcPr>
            <w:tcW w:type="dxa" w:w="2160"/>
            <w:shd w:fill="F0F4F8"/>
          </w:tcPr>
          <w:p>
            <w:pPr>
              <w:jc w:val="center"/>
            </w:pPr>
            <w:r/>
            <w:r>
              <w:rPr>
                <w:rFonts w:ascii="Times New Roman" w:hAnsi="Times New Roman"/>
                <w:sz w:val="16"/>
              </w:rPr>
              <w:t>Banking</w:t>
            </w:r>
          </w:p>
        </w:tc>
        <w:tc>
          <w:tcPr>
            <w:tcW w:type="dxa" w:w="1728"/>
            <w:shd w:fill="F0F4F8"/>
          </w:tcPr>
          <w:p>
            <w:pPr>
              <w:jc w:val="center"/>
            </w:pPr>
            <w:r/>
            <w:r>
              <w:rPr>
                <w:rFonts w:ascii="Times New Roman" w:hAnsi="Times New Roman"/>
                <w:sz w:val="16"/>
              </w:rPr>
              <w:t>HDFCBANK.NS</w:t>
            </w:r>
          </w:p>
        </w:tc>
      </w:tr>
      <w:tr>
        <w:tc>
          <w:tcPr>
            <w:tcW w:type="dxa" w:w="2880"/>
            <w:shd w:fill="FFFFFF"/>
          </w:tcPr>
          <w:p>
            <w:pPr>
              <w:jc w:val="center"/>
            </w:pPr>
            <w:r/>
            <w:r>
              <w:rPr>
                <w:rFonts w:ascii="Times New Roman" w:hAnsi="Times New Roman"/>
                <w:sz w:val="16"/>
              </w:rPr>
              <w:t>Infosys</w:t>
            </w:r>
          </w:p>
        </w:tc>
        <w:tc>
          <w:tcPr>
            <w:tcW w:type="dxa" w:w="2160"/>
            <w:shd w:fill="FFFFFF"/>
          </w:tcPr>
          <w:p>
            <w:pPr>
              <w:jc w:val="center"/>
            </w:pPr>
            <w:r/>
            <w:r>
              <w:rPr>
                <w:rFonts w:ascii="Times New Roman" w:hAnsi="Times New Roman"/>
                <w:sz w:val="16"/>
              </w:rPr>
              <w:t>IT Services</w:t>
            </w:r>
          </w:p>
        </w:tc>
        <w:tc>
          <w:tcPr>
            <w:tcW w:type="dxa" w:w="1728"/>
            <w:shd w:fill="FFFFFF"/>
          </w:tcPr>
          <w:p>
            <w:pPr>
              <w:jc w:val="center"/>
            </w:pPr>
            <w:r/>
            <w:r>
              <w:rPr>
                <w:rFonts w:ascii="Times New Roman" w:hAnsi="Times New Roman"/>
                <w:sz w:val="16"/>
              </w:rPr>
              <w:t>INFY.NS</w:t>
            </w:r>
          </w:p>
        </w:tc>
      </w:tr>
      <w:tr>
        <w:tc>
          <w:tcPr>
            <w:tcW w:type="dxa" w:w="2880"/>
            <w:shd w:fill="F0F4F8"/>
          </w:tcPr>
          <w:p>
            <w:pPr>
              <w:jc w:val="center"/>
            </w:pPr>
            <w:r/>
            <w:r>
              <w:rPr>
                <w:rFonts w:ascii="Times New Roman" w:hAnsi="Times New Roman"/>
                <w:sz w:val="16"/>
              </w:rPr>
              <w:t>ICICI Bank</w:t>
            </w:r>
          </w:p>
        </w:tc>
        <w:tc>
          <w:tcPr>
            <w:tcW w:type="dxa" w:w="2160"/>
            <w:shd w:fill="F0F4F8"/>
          </w:tcPr>
          <w:p>
            <w:pPr>
              <w:jc w:val="center"/>
            </w:pPr>
            <w:r/>
            <w:r>
              <w:rPr>
                <w:rFonts w:ascii="Times New Roman" w:hAnsi="Times New Roman"/>
                <w:sz w:val="16"/>
              </w:rPr>
              <w:t>Banking</w:t>
            </w:r>
          </w:p>
        </w:tc>
        <w:tc>
          <w:tcPr>
            <w:tcW w:type="dxa" w:w="1728"/>
            <w:shd w:fill="F0F4F8"/>
          </w:tcPr>
          <w:p>
            <w:pPr>
              <w:jc w:val="center"/>
            </w:pPr>
            <w:r/>
            <w:r>
              <w:rPr>
                <w:rFonts w:ascii="Times New Roman" w:hAnsi="Times New Roman"/>
                <w:sz w:val="16"/>
              </w:rPr>
              <w:t>ICICIBANK.NS</w:t>
            </w:r>
          </w:p>
        </w:tc>
      </w:tr>
    </w:tbl>
    <w:p/>
    <w:p>
      <w:pPr>
        <w:spacing w:before="200" w:after="80"/>
        <w:jc w:val="left"/>
      </w:pPr>
      <w:r>
        <w:rPr>
          <w:rFonts w:ascii="Times New Roman" w:hAnsi="Times New Roman"/>
          <w:i/>
          <w:sz w:val="20"/>
        </w:rPr>
        <w:t>B. Configurations</w:t>
      </w:r>
    </w:p>
    <w:p>
      <w:pPr>
        <w:spacing w:before="0" w:after="120"/>
        <w:ind w:firstLine="283"/>
        <w:jc w:val="both"/>
      </w:pPr>
      <w:r>
        <w:rPr>
          <w:rFonts w:ascii="Times New Roman" w:hAnsi="Times New Roman"/>
          <w:b w:val="0"/>
          <w:i w:val="0"/>
          <w:sz w:val="20"/>
        </w:rPr>
        <w:t>Six configurations are evaluated using identical walk-forward splits (min_train=120, test_size=30, n_splits=5, embargo=3):</w:t>
      </w:r>
    </w:p>
    <w:p>
      <w:pPr>
        <w:spacing w:before="160" w:after="80"/>
        <w:jc w:val="center"/>
      </w:pPr>
      <w:r>
        <w:rPr>
          <w:rFonts w:ascii="Times New Roman" w:hAnsi="Times New Roman"/>
          <w:b/>
          <w:sz w:val="16"/>
        </w:rPr>
        <w:t>TABLE IV</w:t>
      </w:r>
      <w:r>
        <w:rPr>
          <w:sz w:val="16"/>
        </w:rPr>
        <w:br/>
      </w:r>
      <w:r>
        <w:rPr>
          <w:rFonts w:ascii="Times New Roman" w:hAnsi="Times New Roman"/>
          <w:i/>
          <w:sz w:val="16"/>
        </w:rPr>
        <w:t>Ablation Configurations. Only Config F uses class_weight="balanced".</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432"/>
            <w:shd w:fill="1B3A5C"/>
          </w:tcPr>
          <w:p>
            <w:pPr>
              <w:jc w:val="center"/>
            </w:pPr>
            <w:r/>
            <w:r>
              <w:rPr>
                <w:rFonts w:ascii="Times New Roman" w:hAnsi="Times New Roman"/>
                <w:b/>
                <w:color w:val="FFFFFF"/>
                <w:sz w:val="16"/>
              </w:rPr>
              <w:t>ID</w:t>
            </w:r>
          </w:p>
        </w:tc>
        <w:tc>
          <w:tcPr>
            <w:tcW w:type="dxa" w:w="2592"/>
            <w:shd w:fill="1B3A5C"/>
          </w:tcPr>
          <w:p>
            <w:pPr>
              <w:jc w:val="center"/>
            </w:pPr>
            <w:r/>
            <w:r>
              <w:rPr>
                <w:rFonts w:ascii="Times New Roman" w:hAnsi="Times New Roman"/>
                <w:b/>
                <w:color w:val="FFFFFF"/>
                <w:sz w:val="16"/>
              </w:rPr>
              <w:t>Configuration</w:t>
            </w:r>
          </w:p>
        </w:tc>
        <w:tc>
          <w:tcPr>
            <w:tcW w:type="dxa" w:w="1008"/>
            <w:shd w:fill="1B3A5C"/>
          </w:tcPr>
          <w:p>
            <w:pPr>
              <w:jc w:val="center"/>
            </w:pPr>
            <w:r/>
            <w:r>
              <w:rPr>
                <w:rFonts w:ascii="Times New Roman" w:hAnsi="Times New Roman"/>
                <w:b/>
                <w:color w:val="FFFFFF"/>
                <w:sz w:val="16"/>
              </w:rPr>
              <w:t>Features</w:t>
            </w:r>
          </w:p>
        </w:tc>
        <w:tc>
          <w:tcPr>
            <w:tcW w:type="dxa" w:w="2880"/>
            <w:shd w:fill="1B3A5C"/>
          </w:tcPr>
          <w:p>
            <w:pPr>
              <w:jc w:val="center"/>
            </w:pPr>
            <w:r/>
            <w:r>
              <w:rPr>
                <w:rFonts w:ascii="Times New Roman" w:hAnsi="Times New Roman"/>
                <w:b/>
                <w:color w:val="FFFFFF"/>
                <w:sz w:val="16"/>
              </w:rPr>
              <w:t>Model</w:t>
            </w:r>
          </w:p>
        </w:tc>
      </w:tr>
      <w:tr>
        <w:tc>
          <w:tcPr>
            <w:tcW w:type="dxa" w:w="432"/>
            <w:shd w:fill="F0F4F8"/>
          </w:tcPr>
          <w:p>
            <w:pPr>
              <w:jc w:val="center"/>
            </w:pPr>
            <w:r/>
            <w:r>
              <w:rPr>
                <w:rFonts w:ascii="Times New Roman" w:hAnsi="Times New Roman"/>
                <w:sz w:val="16"/>
              </w:rPr>
              <w:t>A</w:t>
            </w:r>
          </w:p>
        </w:tc>
        <w:tc>
          <w:tcPr>
            <w:tcW w:type="dxa" w:w="2592"/>
            <w:shd w:fill="F0F4F8"/>
          </w:tcPr>
          <w:p>
            <w:pPr>
              <w:jc w:val="center"/>
            </w:pPr>
            <w:r/>
            <w:r>
              <w:rPr>
                <w:rFonts w:ascii="Times New Roman" w:hAnsi="Times New Roman"/>
                <w:sz w:val="16"/>
              </w:rPr>
              <w:t>Majority baseline</w:t>
            </w:r>
          </w:p>
        </w:tc>
        <w:tc>
          <w:tcPr>
            <w:tcW w:type="dxa" w:w="1008"/>
            <w:shd w:fill="F0F4F8"/>
          </w:tcPr>
          <w:p>
            <w:pPr>
              <w:jc w:val="center"/>
            </w:pPr>
            <w:r/>
            <w:r>
              <w:rPr>
                <w:rFonts w:ascii="Times New Roman" w:hAnsi="Times New Roman"/>
                <w:sz w:val="16"/>
              </w:rPr>
              <w:t>—</w:t>
            </w:r>
          </w:p>
        </w:tc>
        <w:tc>
          <w:tcPr>
            <w:tcW w:type="dxa" w:w="2880"/>
            <w:shd w:fill="F0F4F8"/>
          </w:tcPr>
          <w:p>
            <w:pPr>
              <w:jc w:val="center"/>
            </w:pPr>
            <w:r/>
            <w:r>
              <w:rPr>
                <w:rFonts w:ascii="Times New Roman" w:hAnsi="Times New Roman"/>
                <w:sz w:val="16"/>
              </w:rPr>
              <w:t>DummyClassifier (most_frequent)</w:t>
            </w:r>
          </w:p>
        </w:tc>
      </w:tr>
      <w:tr>
        <w:tc>
          <w:tcPr>
            <w:tcW w:type="dxa" w:w="432"/>
            <w:shd w:fill="FFFFFF"/>
          </w:tcPr>
          <w:p>
            <w:pPr>
              <w:jc w:val="center"/>
            </w:pPr>
            <w:r/>
            <w:r>
              <w:rPr>
                <w:rFonts w:ascii="Times New Roman" w:hAnsi="Times New Roman"/>
                <w:sz w:val="16"/>
              </w:rPr>
              <w:t>B</w:t>
            </w:r>
          </w:p>
        </w:tc>
        <w:tc>
          <w:tcPr>
            <w:tcW w:type="dxa" w:w="2592"/>
            <w:shd w:fill="FFFFFF"/>
          </w:tcPr>
          <w:p>
            <w:pPr>
              <w:jc w:val="center"/>
            </w:pPr>
            <w:r/>
            <w:r>
              <w:rPr>
                <w:rFonts w:ascii="Times New Roman" w:hAnsi="Times New Roman"/>
                <w:sz w:val="16"/>
              </w:rPr>
              <w:t>Random classifier</w:t>
            </w:r>
          </w:p>
        </w:tc>
        <w:tc>
          <w:tcPr>
            <w:tcW w:type="dxa" w:w="1008"/>
            <w:shd w:fill="FFFFFF"/>
          </w:tcPr>
          <w:p>
            <w:pPr>
              <w:jc w:val="center"/>
            </w:pPr>
            <w:r/>
            <w:r>
              <w:rPr>
                <w:rFonts w:ascii="Times New Roman" w:hAnsi="Times New Roman"/>
                <w:sz w:val="16"/>
              </w:rPr>
              <w:t>—</w:t>
            </w:r>
          </w:p>
        </w:tc>
        <w:tc>
          <w:tcPr>
            <w:tcW w:type="dxa" w:w="2880"/>
            <w:shd w:fill="FFFFFF"/>
          </w:tcPr>
          <w:p>
            <w:pPr>
              <w:jc w:val="center"/>
            </w:pPr>
            <w:r/>
            <w:r>
              <w:rPr>
                <w:rFonts w:ascii="Times New Roman" w:hAnsi="Times New Roman"/>
                <w:sz w:val="16"/>
              </w:rPr>
              <w:t>DummyClassifier (uniform)</w:t>
            </w:r>
          </w:p>
        </w:tc>
      </w:tr>
      <w:tr>
        <w:tc>
          <w:tcPr>
            <w:tcW w:type="dxa" w:w="432"/>
            <w:shd w:fill="F0F4F8"/>
          </w:tcPr>
          <w:p>
            <w:pPr>
              <w:jc w:val="center"/>
            </w:pPr>
            <w:r/>
            <w:r>
              <w:rPr>
                <w:rFonts w:ascii="Times New Roman" w:hAnsi="Times New Roman"/>
                <w:sz w:val="16"/>
              </w:rPr>
              <w:t>C</w:t>
            </w:r>
          </w:p>
        </w:tc>
        <w:tc>
          <w:tcPr>
            <w:tcW w:type="dxa" w:w="2592"/>
            <w:shd w:fill="F0F4F8"/>
          </w:tcPr>
          <w:p>
            <w:pPr>
              <w:jc w:val="center"/>
            </w:pPr>
            <w:r/>
            <w:r>
              <w:rPr>
                <w:rFonts w:ascii="Times New Roman" w:hAnsi="Times New Roman"/>
                <w:sz w:val="16"/>
              </w:rPr>
              <w:t>Flat MLP (no sequences)</w:t>
            </w:r>
          </w:p>
        </w:tc>
        <w:tc>
          <w:tcPr>
            <w:tcW w:type="dxa" w:w="1008"/>
            <w:shd w:fill="F0F4F8"/>
          </w:tcPr>
          <w:p>
            <w:pPr>
              <w:jc w:val="center"/>
            </w:pPr>
            <w:r/>
            <w:r>
              <w:rPr>
                <w:rFonts w:ascii="Times New Roman" w:hAnsi="Times New Roman"/>
                <w:sz w:val="16"/>
              </w:rPr>
              <w:t>1–14</w:t>
            </w:r>
          </w:p>
        </w:tc>
        <w:tc>
          <w:tcPr>
            <w:tcW w:type="dxa" w:w="2880"/>
            <w:shd w:fill="F0F4F8"/>
          </w:tcPr>
          <w:p>
            <w:pPr>
              <w:jc w:val="center"/>
            </w:pPr>
            <w:r/>
            <w:r>
              <w:rPr>
                <w:rFonts w:ascii="Times New Roman" w:hAnsi="Times New Roman"/>
                <w:sz w:val="16"/>
              </w:rPr>
              <w:t>MLPClassifier (128, 64)</w:t>
            </w:r>
          </w:p>
        </w:tc>
      </w:tr>
      <w:tr>
        <w:tc>
          <w:tcPr>
            <w:tcW w:type="dxa" w:w="432"/>
            <w:shd w:fill="FFFFFF"/>
          </w:tcPr>
          <w:p>
            <w:pPr>
              <w:jc w:val="center"/>
            </w:pPr>
            <w:r/>
            <w:r>
              <w:rPr>
                <w:rFonts w:ascii="Times New Roman" w:hAnsi="Times New Roman"/>
                <w:sz w:val="16"/>
              </w:rPr>
              <w:t>D</w:t>
            </w:r>
          </w:p>
        </w:tc>
        <w:tc>
          <w:tcPr>
            <w:tcW w:type="dxa" w:w="2592"/>
            <w:shd w:fill="FFFFFF"/>
          </w:tcPr>
          <w:p>
            <w:pPr>
              <w:jc w:val="center"/>
            </w:pPr>
            <w:r/>
            <w:r>
              <w:rPr>
                <w:rFonts w:ascii="Times New Roman" w:hAnsi="Times New Roman"/>
                <w:sz w:val="16"/>
              </w:rPr>
              <w:t>RF without regime features</w:t>
            </w:r>
          </w:p>
        </w:tc>
        <w:tc>
          <w:tcPr>
            <w:tcW w:type="dxa" w:w="1008"/>
            <w:shd w:fill="FFFFFF"/>
          </w:tcPr>
          <w:p>
            <w:pPr>
              <w:jc w:val="center"/>
            </w:pPr>
            <w:r/>
            <w:r>
              <w:rPr>
                <w:rFonts w:ascii="Times New Roman" w:hAnsi="Times New Roman"/>
                <w:sz w:val="16"/>
              </w:rPr>
              <w:t>1–14</w:t>
            </w:r>
          </w:p>
        </w:tc>
        <w:tc>
          <w:tcPr>
            <w:tcW w:type="dxa" w:w="2880"/>
            <w:shd w:fill="FFFFFF"/>
          </w:tcPr>
          <w:p>
            <w:pPr>
              <w:jc w:val="center"/>
            </w:pPr>
            <w:r/>
            <w:r>
              <w:rPr>
                <w:rFonts w:ascii="Times New Roman" w:hAnsi="Times New Roman"/>
                <w:sz w:val="16"/>
              </w:rPr>
              <w:t>RandomForest (100 trees)</w:t>
            </w:r>
          </w:p>
        </w:tc>
      </w:tr>
      <w:tr>
        <w:tc>
          <w:tcPr>
            <w:tcW w:type="dxa" w:w="432"/>
            <w:shd w:fill="F0F4F8"/>
          </w:tcPr>
          <w:p>
            <w:pPr>
              <w:jc w:val="center"/>
            </w:pPr>
            <w:r/>
            <w:r>
              <w:rPr>
                <w:rFonts w:ascii="Times New Roman" w:hAnsi="Times New Roman"/>
                <w:sz w:val="16"/>
              </w:rPr>
              <w:t>E</w:t>
            </w:r>
          </w:p>
        </w:tc>
        <w:tc>
          <w:tcPr>
            <w:tcW w:type="dxa" w:w="2592"/>
            <w:shd w:fill="F0F4F8"/>
          </w:tcPr>
          <w:p>
            <w:pPr>
              <w:jc w:val="center"/>
            </w:pPr>
            <w:r/>
            <w:r>
              <w:rPr>
                <w:rFonts w:ascii="Times New Roman" w:hAnsi="Times New Roman"/>
                <w:sz w:val="16"/>
              </w:rPr>
              <w:t>RF without sentiment</w:t>
            </w:r>
          </w:p>
        </w:tc>
        <w:tc>
          <w:tcPr>
            <w:tcW w:type="dxa" w:w="1008"/>
            <w:shd w:fill="F0F4F8"/>
          </w:tcPr>
          <w:p>
            <w:pPr>
              <w:jc w:val="center"/>
            </w:pPr>
            <w:r/>
            <w:r>
              <w:rPr>
                <w:rFonts w:ascii="Times New Roman" w:hAnsi="Times New Roman"/>
                <w:sz w:val="16"/>
              </w:rPr>
              <w:t>1–16</w:t>
            </w:r>
          </w:p>
        </w:tc>
        <w:tc>
          <w:tcPr>
            <w:tcW w:type="dxa" w:w="2880"/>
            <w:shd w:fill="F0F4F8"/>
          </w:tcPr>
          <w:p>
            <w:pPr>
              <w:jc w:val="center"/>
            </w:pPr>
            <w:r/>
            <w:r>
              <w:rPr>
                <w:rFonts w:ascii="Times New Roman" w:hAnsi="Times New Roman"/>
                <w:sz w:val="16"/>
              </w:rPr>
              <w:t>RandomForest (100 trees)</w:t>
            </w:r>
          </w:p>
        </w:tc>
      </w:tr>
      <w:tr>
        <w:tc>
          <w:tcPr>
            <w:tcW w:type="dxa" w:w="432"/>
            <w:shd w:fill="FFFFFF"/>
          </w:tcPr>
          <w:p>
            <w:pPr>
              <w:jc w:val="center"/>
            </w:pPr>
            <w:r/>
            <w:r>
              <w:rPr>
                <w:rFonts w:ascii="Times New Roman" w:hAnsi="Times New Roman"/>
                <w:sz w:val="16"/>
              </w:rPr>
              <w:t>F</w:t>
            </w:r>
          </w:p>
        </w:tc>
        <w:tc>
          <w:tcPr>
            <w:tcW w:type="dxa" w:w="2592"/>
            <w:shd w:fill="FFFFFF"/>
          </w:tcPr>
          <w:p>
            <w:pPr>
              <w:jc w:val="center"/>
            </w:pPr>
            <w:r/>
            <w:r>
              <w:rPr>
                <w:rFonts w:ascii="Times New Roman" w:hAnsi="Times New Roman"/>
                <w:sz w:val="16"/>
              </w:rPr>
              <w:t>Full RF (17 features)</w:t>
            </w:r>
          </w:p>
        </w:tc>
        <w:tc>
          <w:tcPr>
            <w:tcW w:type="dxa" w:w="1008"/>
            <w:shd w:fill="FFFFFF"/>
          </w:tcPr>
          <w:p>
            <w:pPr>
              <w:jc w:val="center"/>
            </w:pPr>
            <w:r/>
            <w:r>
              <w:rPr>
                <w:rFonts w:ascii="Times New Roman" w:hAnsi="Times New Roman"/>
                <w:sz w:val="16"/>
              </w:rPr>
              <w:t>1–17</w:t>
            </w:r>
          </w:p>
        </w:tc>
        <w:tc>
          <w:tcPr>
            <w:tcW w:type="dxa" w:w="2880"/>
            <w:shd w:fill="FFFFFF"/>
          </w:tcPr>
          <w:p>
            <w:pPr>
              <w:jc w:val="center"/>
            </w:pPr>
            <w:r/>
            <w:r>
              <w:rPr>
                <w:rFonts w:ascii="Times New Roman" w:hAnsi="Times New Roman"/>
                <w:sz w:val="16"/>
              </w:rPr>
              <w:t>RandomForest (100 trees, balanced)</w:t>
            </w:r>
          </w:p>
        </w:tc>
      </w:tr>
    </w:tbl>
    <w:p/>
    <w:p>
      <w:pPr>
        <w:spacing w:before="0" w:after="120"/>
        <w:ind w:firstLine="283"/>
        <w:jc w:val="both"/>
      </w:pPr>
      <w:r>
        <w:rPr>
          <w:rFonts w:ascii="Times New Roman" w:hAnsi="Times New Roman"/>
          <w:b w:val="0"/>
          <w:i w:val="0"/>
          <w:sz w:val="20"/>
        </w:rPr>
        <w:t>Note: The ablation uses n_estimators=100 and default max_depth (not the production values of 150 and 6) for computational tractability. Only the full RF (Config F) uses class_weight="balanced".</w:t>
      </w:r>
    </w:p>
    <w:p>
      <w:pPr>
        <w:spacing w:before="200" w:after="80"/>
        <w:jc w:val="left"/>
      </w:pPr>
      <w:r>
        <w:rPr>
          <w:rFonts w:ascii="Times New Roman" w:hAnsi="Times New Roman"/>
          <w:i/>
          <w:sz w:val="20"/>
        </w:rPr>
        <w:t>C. Evaluation Metrics</w:t>
      </w:r>
    </w:p>
    <w:p>
      <w:pPr>
        <w:spacing w:before="0" w:after="120"/>
        <w:ind w:firstLine="283"/>
        <w:jc w:val="both"/>
      </w:pPr>
      <w:r>
        <w:rPr>
          <w:rFonts w:ascii="Times New Roman" w:hAnsi="Times New Roman"/>
          <w:b w:val="0"/>
          <w:i w:val="0"/>
          <w:sz w:val="20"/>
        </w:rPr>
        <w:t>The primary metric is macro-F1 — the unweighted mean of per-class F1 scores. This metric treats all three classes equally regardless of their frequency. We also report economic metrics (Sharpe ratio, maximum drawdown) from OOF backtesting.</w:t>
      </w:r>
    </w:p>
    <w:p>
      <w:pPr>
        <w:spacing w:before="280" w:after="120"/>
        <w:jc w:val="center"/>
      </w:pPr>
      <w:r>
        <w:rPr>
          <w:rFonts w:ascii="Times New Roman" w:hAnsi="Times New Roman"/>
          <w:b/>
          <w:sz w:val="20"/>
        </w:rPr>
        <w:t>V. RESULTS</w:t>
      </w:r>
    </w:p>
    <w:p>
      <w:pPr>
        <w:spacing w:before="200" w:after="80"/>
        <w:jc w:val="left"/>
      </w:pPr>
      <w:r>
        <w:rPr>
          <w:rFonts w:ascii="Times New Roman" w:hAnsi="Times New Roman"/>
          <w:i/>
          <w:sz w:val="20"/>
        </w:rPr>
        <w:t>A. Classification Performance</w:t>
      </w:r>
    </w:p>
    <w:p>
      <w:pPr>
        <w:spacing w:before="0" w:after="120"/>
        <w:ind w:firstLine="283"/>
        <w:jc w:val="both"/>
      </w:pPr>
      <w:r>
        <w:rPr>
          <w:rFonts w:ascii="Times New Roman" w:hAnsi="Times New Roman"/>
          <w:b w:val="0"/>
          <w:i w:val="0"/>
          <w:sz w:val="20"/>
        </w:rPr>
        <w:t>Table V shows the macro-F1 scores across all five stocks for each configuration. The results reveal both the strengths and limitations of the current approach.</w:t>
      </w:r>
    </w:p>
    <w:p>
      <w:pPr>
        <w:spacing w:before="160" w:after="80"/>
        <w:jc w:val="center"/>
      </w:pPr>
      <w:r>
        <w:rPr>
          <w:rFonts w:ascii="Times New Roman" w:hAnsi="Times New Roman"/>
          <w:b/>
          <w:sz w:val="16"/>
        </w:rPr>
        <w:t>TABLE V</w:t>
      </w:r>
      <w:r>
        <w:rPr>
          <w:sz w:val="16"/>
        </w:rPr>
        <w:br/>
      </w:r>
      <w:r>
        <w:rPr>
          <w:rFonts w:ascii="Times New Roman" w:hAnsi="Times New Roman"/>
          <w:i/>
          <w:sz w:val="16"/>
        </w:rPr>
        <w:t>Five-Stock Ablation: Macro-F1 Scores per Stock</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2160"/>
            <w:shd w:fill="1B3A5C"/>
          </w:tcPr>
          <w:p>
            <w:pPr>
              <w:jc w:val="center"/>
            </w:pPr>
            <w:r/>
            <w:r>
              <w:rPr>
                <w:rFonts w:ascii="Times New Roman" w:hAnsi="Times New Roman"/>
                <w:b/>
                <w:color w:val="FFFFFF"/>
                <w:sz w:val="16"/>
              </w:rPr>
              <w:t>Configuration</w:t>
            </w:r>
          </w:p>
        </w:tc>
        <w:tc>
          <w:tcPr>
            <w:tcW w:type="dxa" w:w="1008"/>
            <w:shd w:fill="1B3A5C"/>
          </w:tcPr>
          <w:p>
            <w:pPr>
              <w:jc w:val="center"/>
            </w:pPr>
            <w:r/>
            <w:r>
              <w:rPr>
                <w:rFonts w:ascii="Times New Roman" w:hAnsi="Times New Roman"/>
                <w:b/>
                <w:color w:val="FFFFFF"/>
                <w:sz w:val="16"/>
              </w:rPr>
              <w:t>RELIANCE</w:t>
            </w:r>
          </w:p>
        </w:tc>
        <w:tc>
          <w:tcPr>
            <w:tcW w:type="dxa" w:w="720"/>
            <w:shd w:fill="1B3A5C"/>
          </w:tcPr>
          <w:p>
            <w:pPr>
              <w:jc w:val="center"/>
            </w:pPr>
            <w:r/>
            <w:r>
              <w:rPr>
                <w:rFonts w:ascii="Times New Roman" w:hAnsi="Times New Roman"/>
                <w:b/>
                <w:color w:val="FFFFFF"/>
                <w:sz w:val="16"/>
              </w:rPr>
              <w:t>TCS</w:t>
            </w:r>
          </w:p>
        </w:tc>
        <w:tc>
          <w:tcPr>
            <w:tcW w:type="dxa" w:w="1008"/>
            <w:shd w:fill="1B3A5C"/>
          </w:tcPr>
          <w:p>
            <w:pPr>
              <w:jc w:val="center"/>
            </w:pPr>
            <w:r/>
            <w:r>
              <w:rPr>
                <w:rFonts w:ascii="Times New Roman" w:hAnsi="Times New Roman"/>
                <w:b/>
                <w:color w:val="FFFFFF"/>
                <w:sz w:val="16"/>
              </w:rPr>
              <w:t>HDFCBANK</w:t>
            </w:r>
          </w:p>
        </w:tc>
        <w:tc>
          <w:tcPr>
            <w:tcW w:type="dxa" w:w="720"/>
            <w:shd w:fill="1B3A5C"/>
          </w:tcPr>
          <w:p>
            <w:pPr>
              <w:jc w:val="center"/>
            </w:pPr>
            <w:r/>
            <w:r>
              <w:rPr>
                <w:rFonts w:ascii="Times New Roman" w:hAnsi="Times New Roman"/>
                <w:b/>
                <w:color w:val="FFFFFF"/>
                <w:sz w:val="16"/>
              </w:rPr>
              <w:t>INFY</w:t>
            </w:r>
          </w:p>
        </w:tc>
        <w:tc>
          <w:tcPr>
            <w:tcW w:type="dxa" w:w="720"/>
            <w:shd w:fill="1B3A5C"/>
          </w:tcPr>
          <w:p>
            <w:pPr>
              <w:jc w:val="center"/>
            </w:pPr>
            <w:r/>
            <w:r>
              <w:rPr>
                <w:rFonts w:ascii="Times New Roman" w:hAnsi="Times New Roman"/>
                <w:b/>
                <w:color w:val="FFFFFF"/>
                <w:sz w:val="16"/>
              </w:rPr>
              <w:t>ICICI</w:t>
            </w:r>
          </w:p>
        </w:tc>
        <w:tc>
          <w:tcPr>
            <w:tcW w:type="dxa" w:w="864"/>
            <w:shd w:fill="1B3A5C"/>
          </w:tcPr>
          <w:p>
            <w:pPr>
              <w:jc w:val="center"/>
            </w:pPr>
            <w:r/>
            <w:r>
              <w:rPr>
                <w:rFonts w:ascii="Times New Roman" w:hAnsi="Times New Roman"/>
                <w:b/>
                <w:color w:val="FFFFFF"/>
                <w:sz w:val="16"/>
              </w:rPr>
              <w:t>Mean F1</w:t>
            </w:r>
          </w:p>
        </w:tc>
      </w:tr>
      <w:tr>
        <w:tc>
          <w:tcPr>
            <w:tcW w:type="dxa" w:w="2160"/>
            <w:shd w:fill="F0F4F8"/>
          </w:tcPr>
          <w:p>
            <w:pPr>
              <w:jc w:val="center"/>
            </w:pPr>
            <w:r/>
            <w:r>
              <w:rPr>
                <w:rFonts w:ascii="Times New Roman" w:hAnsi="Times New Roman"/>
                <w:sz w:val="16"/>
              </w:rPr>
              <w:t>A. Majority baseline</w:t>
            </w:r>
          </w:p>
        </w:tc>
        <w:tc>
          <w:tcPr>
            <w:tcW w:type="dxa" w:w="1008"/>
            <w:shd w:fill="F0F4F8"/>
          </w:tcPr>
          <w:p>
            <w:pPr>
              <w:jc w:val="center"/>
            </w:pPr>
            <w:r/>
            <w:r>
              <w:rPr>
                <w:rFonts w:ascii="Times New Roman" w:hAnsi="Times New Roman"/>
                <w:sz w:val="16"/>
              </w:rPr>
              <w:t>0.166</w:t>
            </w:r>
          </w:p>
        </w:tc>
        <w:tc>
          <w:tcPr>
            <w:tcW w:type="dxa" w:w="720"/>
            <w:shd w:fill="F0F4F8"/>
          </w:tcPr>
          <w:p>
            <w:pPr>
              <w:jc w:val="center"/>
            </w:pPr>
            <w:r/>
            <w:r>
              <w:rPr>
                <w:rFonts w:ascii="Times New Roman" w:hAnsi="Times New Roman"/>
                <w:sz w:val="16"/>
              </w:rPr>
              <w:t>0.192</w:t>
            </w:r>
          </w:p>
        </w:tc>
        <w:tc>
          <w:tcPr>
            <w:tcW w:type="dxa" w:w="1008"/>
            <w:shd w:fill="F0F4F8"/>
          </w:tcPr>
          <w:p>
            <w:pPr>
              <w:jc w:val="center"/>
            </w:pPr>
            <w:r/>
            <w:r>
              <w:rPr>
                <w:rFonts w:ascii="Times New Roman" w:hAnsi="Times New Roman"/>
                <w:sz w:val="16"/>
              </w:rPr>
              <w:t>0.141</w:t>
            </w:r>
          </w:p>
        </w:tc>
        <w:tc>
          <w:tcPr>
            <w:tcW w:type="dxa" w:w="720"/>
            <w:shd w:fill="F0F4F8"/>
          </w:tcPr>
          <w:p>
            <w:pPr>
              <w:jc w:val="center"/>
            </w:pPr>
            <w:r/>
            <w:r>
              <w:rPr>
                <w:rFonts w:ascii="Times New Roman" w:hAnsi="Times New Roman"/>
                <w:sz w:val="16"/>
              </w:rPr>
              <w:t>0.083</w:t>
            </w:r>
          </w:p>
        </w:tc>
        <w:tc>
          <w:tcPr>
            <w:tcW w:type="dxa" w:w="720"/>
            <w:shd w:fill="F0F4F8"/>
          </w:tcPr>
          <w:p>
            <w:pPr>
              <w:jc w:val="center"/>
            </w:pPr>
            <w:r/>
            <w:r>
              <w:rPr>
                <w:rFonts w:ascii="Times New Roman" w:hAnsi="Times New Roman"/>
                <w:sz w:val="16"/>
              </w:rPr>
              <w:t>0.135</w:t>
            </w:r>
          </w:p>
        </w:tc>
        <w:tc>
          <w:tcPr>
            <w:tcW w:type="dxa" w:w="864"/>
            <w:shd w:fill="F0F4F8"/>
          </w:tcPr>
          <w:p>
            <w:pPr>
              <w:jc w:val="center"/>
            </w:pPr>
            <w:r/>
            <w:r>
              <w:rPr>
                <w:rFonts w:ascii="Times New Roman" w:hAnsi="Times New Roman"/>
                <w:sz w:val="16"/>
              </w:rPr>
              <w:t>0.1434</w:t>
            </w:r>
          </w:p>
        </w:tc>
      </w:tr>
      <w:tr>
        <w:tc>
          <w:tcPr>
            <w:tcW w:type="dxa" w:w="2160"/>
            <w:shd w:fill="FFFFFF"/>
          </w:tcPr>
          <w:p>
            <w:pPr>
              <w:jc w:val="center"/>
            </w:pPr>
            <w:r/>
            <w:r>
              <w:rPr>
                <w:rFonts w:ascii="Times New Roman" w:hAnsi="Times New Roman"/>
                <w:sz w:val="16"/>
              </w:rPr>
              <w:t>B. Random classifier</w:t>
            </w:r>
          </w:p>
        </w:tc>
        <w:tc>
          <w:tcPr>
            <w:tcW w:type="dxa" w:w="1008"/>
            <w:shd w:fill="FFFFFF"/>
          </w:tcPr>
          <w:p>
            <w:pPr>
              <w:jc w:val="center"/>
            </w:pPr>
            <w:r/>
            <w:r>
              <w:rPr>
                <w:rFonts w:ascii="Times New Roman" w:hAnsi="Times New Roman"/>
                <w:sz w:val="16"/>
              </w:rPr>
              <w:t>0.358</w:t>
            </w:r>
          </w:p>
        </w:tc>
        <w:tc>
          <w:tcPr>
            <w:tcW w:type="dxa" w:w="720"/>
            <w:shd w:fill="FFFFFF"/>
          </w:tcPr>
          <w:p>
            <w:pPr>
              <w:jc w:val="center"/>
            </w:pPr>
            <w:r/>
            <w:r>
              <w:rPr>
                <w:rFonts w:ascii="Times New Roman" w:hAnsi="Times New Roman"/>
                <w:sz w:val="16"/>
              </w:rPr>
              <w:t>0.293</w:t>
            </w:r>
          </w:p>
        </w:tc>
        <w:tc>
          <w:tcPr>
            <w:tcW w:type="dxa" w:w="1008"/>
            <w:shd w:fill="FFFFFF"/>
          </w:tcPr>
          <w:p>
            <w:pPr>
              <w:jc w:val="center"/>
            </w:pPr>
            <w:r/>
            <w:r>
              <w:rPr>
                <w:rFonts w:ascii="Times New Roman" w:hAnsi="Times New Roman"/>
                <w:sz w:val="16"/>
              </w:rPr>
              <w:t>0.313</w:t>
            </w:r>
          </w:p>
        </w:tc>
        <w:tc>
          <w:tcPr>
            <w:tcW w:type="dxa" w:w="720"/>
            <w:shd w:fill="FFFFFF"/>
          </w:tcPr>
          <w:p>
            <w:pPr>
              <w:jc w:val="center"/>
            </w:pPr>
            <w:r/>
            <w:r>
              <w:rPr>
                <w:rFonts w:ascii="Times New Roman" w:hAnsi="Times New Roman"/>
                <w:sz w:val="16"/>
              </w:rPr>
              <w:t>0.211</w:t>
            </w:r>
          </w:p>
        </w:tc>
        <w:tc>
          <w:tcPr>
            <w:tcW w:type="dxa" w:w="720"/>
            <w:shd w:fill="FFFFFF"/>
          </w:tcPr>
          <w:p>
            <w:pPr>
              <w:jc w:val="center"/>
            </w:pPr>
            <w:r/>
            <w:r>
              <w:rPr>
                <w:rFonts w:ascii="Times New Roman" w:hAnsi="Times New Roman"/>
                <w:sz w:val="16"/>
              </w:rPr>
              <w:t>0.284</w:t>
            </w:r>
          </w:p>
        </w:tc>
        <w:tc>
          <w:tcPr>
            <w:tcW w:type="dxa" w:w="864"/>
            <w:shd w:fill="FFFFFF"/>
          </w:tcPr>
          <w:p>
            <w:pPr>
              <w:jc w:val="center"/>
            </w:pPr>
            <w:r/>
            <w:r>
              <w:rPr>
                <w:rFonts w:ascii="Times New Roman" w:hAnsi="Times New Roman"/>
                <w:sz w:val="16"/>
              </w:rPr>
              <w:t>0.2916</w:t>
            </w:r>
          </w:p>
        </w:tc>
      </w:tr>
      <w:tr>
        <w:tc>
          <w:tcPr>
            <w:tcW w:type="dxa" w:w="2160"/>
            <w:shd w:fill="F0F4F8"/>
          </w:tcPr>
          <w:p>
            <w:pPr>
              <w:jc w:val="center"/>
            </w:pPr>
            <w:r/>
            <w:r>
              <w:rPr>
                <w:rFonts w:ascii="Times New Roman" w:hAnsi="Times New Roman"/>
                <w:sz w:val="16"/>
              </w:rPr>
              <w:t>C. Flat MLP (14 feat.)</w:t>
            </w:r>
          </w:p>
        </w:tc>
        <w:tc>
          <w:tcPr>
            <w:tcW w:type="dxa" w:w="1008"/>
            <w:shd w:fill="F0F4F8"/>
          </w:tcPr>
          <w:p>
            <w:pPr>
              <w:jc w:val="center"/>
            </w:pPr>
            <w:r/>
            <w:r>
              <w:rPr>
                <w:rFonts w:ascii="Times New Roman" w:hAnsi="Times New Roman"/>
                <w:sz w:val="16"/>
              </w:rPr>
              <w:t>0.335</w:t>
            </w:r>
          </w:p>
        </w:tc>
        <w:tc>
          <w:tcPr>
            <w:tcW w:type="dxa" w:w="720"/>
            <w:shd w:fill="F0F4F8"/>
          </w:tcPr>
          <w:p>
            <w:pPr>
              <w:jc w:val="center"/>
            </w:pPr>
            <w:r/>
            <w:r>
              <w:rPr>
                <w:rFonts w:ascii="Times New Roman" w:hAnsi="Times New Roman"/>
                <w:sz w:val="16"/>
              </w:rPr>
              <w:t>0.196</w:t>
            </w:r>
          </w:p>
        </w:tc>
        <w:tc>
          <w:tcPr>
            <w:tcW w:type="dxa" w:w="1008"/>
            <w:shd w:fill="F0F4F8"/>
          </w:tcPr>
          <w:p>
            <w:pPr>
              <w:jc w:val="center"/>
            </w:pPr>
            <w:r/>
            <w:r>
              <w:rPr>
                <w:rFonts w:ascii="Times New Roman" w:hAnsi="Times New Roman"/>
                <w:sz w:val="16"/>
              </w:rPr>
              <w:t>0.221</w:t>
            </w:r>
          </w:p>
        </w:tc>
        <w:tc>
          <w:tcPr>
            <w:tcW w:type="dxa" w:w="720"/>
            <w:shd w:fill="F0F4F8"/>
          </w:tcPr>
          <w:p>
            <w:pPr>
              <w:jc w:val="center"/>
            </w:pPr>
            <w:r/>
            <w:r>
              <w:rPr>
                <w:rFonts w:ascii="Times New Roman" w:hAnsi="Times New Roman"/>
                <w:sz w:val="16"/>
              </w:rPr>
              <w:t>0.206</w:t>
            </w:r>
          </w:p>
        </w:tc>
        <w:tc>
          <w:tcPr>
            <w:tcW w:type="dxa" w:w="720"/>
            <w:shd w:fill="F0F4F8"/>
          </w:tcPr>
          <w:p>
            <w:pPr>
              <w:jc w:val="center"/>
            </w:pPr>
            <w:r/>
            <w:r>
              <w:rPr>
                <w:rFonts w:ascii="Times New Roman" w:hAnsi="Times New Roman"/>
                <w:sz w:val="16"/>
              </w:rPr>
              <w:t>0.336</w:t>
            </w:r>
          </w:p>
        </w:tc>
        <w:tc>
          <w:tcPr>
            <w:tcW w:type="dxa" w:w="864"/>
            <w:shd w:fill="F0F4F8"/>
          </w:tcPr>
          <w:p>
            <w:pPr>
              <w:jc w:val="center"/>
            </w:pPr>
            <w:r/>
            <w:r>
              <w:rPr>
                <w:rFonts w:ascii="Times New Roman" w:hAnsi="Times New Roman"/>
                <w:sz w:val="16"/>
              </w:rPr>
              <w:t>0.2589</w:t>
            </w:r>
          </w:p>
        </w:tc>
      </w:tr>
      <w:tr>
        <w:tc>
          <w:tcPr>
            <w:tcW w:type="dxa" w:w="2160"/>
            <w:shd w:fill="FFFFFF"/>
          </w:tcPr>
          <w:p>
            <w:pPr>
              <w:jc w:val="center"/>
            </w:pPr>
            <w:r/>
            <w:r>
              <w:rPr>
                <w:rFonts w:ascii="Times New Roman" w:hAnsi="Times New Roman"/>
                <w:sz w:val="16"/>
              </w:rPr>
              <w:t>D. RF w/o regime (14)</w:t>
            </w:r>
          </w:p>
        </w:tc>
        <w:tc>
          <w:tcPr>
            <w:tcW w:type="dxa" w:w="1008"/>
            <w:shd w:fill="FFFFFF"/>
          </w:tcPr>
          <w:p>
            <w:pPr>
              <w:jc w:val="center"/>
            </w:pPr>
            <w:r/>
            <w:r>
              <w:rPr>
                <w:rFonts w:ascii="Times New Roman" w:hAnsi="Times New Roman"/>
                <w:sz w:val="16"/>
              </w:rPr>
              <w:t>0.313</w:t>
            </w:r>
          </w:p>
        </w:tc>
        <w:tc>
          <w:tcPr>
            <w:tcW w:type="dxa" w:w="720"/>
            <w:shd w:fill="FFFFFF"/>
          </w:tcPr>
          <w:p>
            <w:pPr>
              <w:jc w:val="center"/>
            </w:pPr>
            <w:r/>
            <w:r>
              <w:rPr>
                <w:rFonts w:ascii="Times New Roman" w:hAnsi="Times New Roman"/>
                <w:sz w:val="16"/>
              </w:rPr>
              <w:t>0.282</w:t>
            </w:r>
          </w:p>
        </w:tc>
        <w:tc>
          <w:tcPr>
            <w:tcW w:type="dxa" w:w="1008"/>
            <w:shd w:fill="FFFFFF"/>
          </w:tcPr>
          <w:p>
            <w:pPr>
              <w:jc w:val="center"/>
            </w:pPr>
            <w:r/>
            <w:r>
              <w:rPr>
                <w:rFonts w:ascii="Times New Roman" w:hAnsi="Times New Roman"/>
                <w:sz w:val="16"/>
              </w:rPr>
              <w:t>0.268</w:t>
            </w:r>
          </w:p>
        </w:tc>
        <w:tc>
          <w:tcPr>
            <w:tcW w:type="dxa" w:w="720"/>
            <w:shd w:fill="FFFFFF"/>
          </w:tcPr>
          <w:p>
            <w:pPr>
              <w:jc w:val="center"/>
            </w:pPr>
            <w:r/>
            <w:r>
              <w:rPr>
                <w:rFonts w:ascii="Times New Roman" w:hAnsi="Times New Roman"/>
                <w:sz w:val="16"/>
              </w:rPr>
              <w:t>0.158</w:t>
            </w:r>
          </w:p>
        </w:tc>
        <w:tc>
          <w:tcPr>
            <w:tcW w:type="dxa" w:w="720"/>
            <w:shd w:fill="FFFFFF"/>
          </w:tcPr>
          <w:p>
            <w:pPr>
              <w:jc w:val="center"/>
            </w:pPr>
            <w:r/>
            <w:r>
              <w:rPr>
                <w:rFonts w:ascii="Times New Roman" w:hAnsi="Times New Roman"/>
                <w:sz w:val="16"/>
              </w:rPr>
              <w:t>0.290</w:t>
            </w:r>
          </w:p>
        </w:tc>
        <w:tc>
          <w:tcPr>
            <w:tcW w:type="dxa" w:w="864"/>
            <w:shd w:fill="FFFFFF"/>
          </w:tcPr>
          <w:p>
            <w:pPr>
              <w:jc w:val="center"/>
            </w:pPr>
            <w:r/>
            <w:r>
              <w:rPr>
                <w:rFonts w:ascii="Times New Roman" w:hAnsi="Times New Roman"/>
                <w:sz w:val="16"/>
              </w:rPr>
              <w:t>0.2621</w:t>
            </w:r>
          </w:p>
        </w:tc>
      </w:tr>
      <w:tr>
        <w:tc>
          <w:tcPr>
            <w:tcW w:type="dxa" w:w="2160"/>
            <w:shd w:fill="F0F4F8"/>
          </w:tcPr>
          <w:p>
            <w:pPr>
              <w:jc w:val="center"/>
            </w:pPr>
            <w:r/>
            <w:r>
              <w:rPr>
                <w:rFonts w:ascii="Times New Roman" w:hAnsi="Times New Roman"/>
                <w:sz w:val="16"/>
              </w:rPr>
              <w:t>E. RF w/o sentiment (16)</w:t>
            </w:r>
          </w:p>
        </w:tc>
        <w:tc>
          <w:tcPr>
            <w:tcW w:type="dxa" w:w="1008"/>
            <w:shd w:fill="F0F4F8"/>
          </w:tcPr>
          <w:p>
            <w:pPr>
              <w:jc w:val="center"/>
            </w:pPr>
            <w:r/>
            <w:r>
              <w:rPr>
                <w:rFonts w:ascii="Times New Roman" w:hAnsi="Times New Roman"/>
                <w:sz w:val="16"/>
              </w:rPr>
              <w:t>0.332</w:t>
            </w:r>
          </w:p>
        </w:tc>
        <w:tc>
          <w:tcPr>
            <w:tcW w:type="dxa" w:w="720"/>
            <w:shd w:fill="F0F4F8"/>
          </w:tcPr>
          <w:p>
            <w:pPr>
              <w:jc w:val="center"/>
            </w:pPr>
            <w:r/>
            <w:r>
              <w:rPr>
                <w:rFonts w:ascii="Times New Roman" w:hAnsi="Times New Roman"/>
                <w:sz w:val="16"/>
              </w:rPr>
              <w:t>0.267</w:t>
            </w:r>
          </w:p>
        </w:tc>
        <w:tc>
          <w:tcPr>
            <w:tcW w:type="dxa" w:w="1008"/>
            <w:shd w:fill="F0F4F8"/>
          </w:tcPr>
          <w:p>
            <w:pPr>
              <w:jc w:val="center"/>
            </w:pPr>
            <w:r/>
            <w:r>
              <w:rPr>
                <w:rFonts w:ascii="Times New Roman" w:hAnsi="Times New Roman"/>
                <w:sz w:val="16"/>
              </w:rPr>
              <w:t>0.247</w:t>
            </w:r>
          </w:p>
        </w:tc>
        <w:tc>
          <w:tcPr>
            <w:tcW w:type="dxa" w:w="720"/>
            <w:shd w:fill="F0F4F8"/>
          </w:tcPr>
          <w:p>
            <w:pPr>
              <w:jc w:val="center"/>
            </w:pPr>
            <w:r/>
            <w:r>
              <w:rPr>
                <w:rFonts w:ascii="Times New Roman" w:hAnsi="Times New Roman"/>
                <w:sz w:val="16"/>
              </w:rPr>
              <w:t>0.158</w:t>
            </w:r>
          </w:p>
        </w:tc>
        <w:tc>
          <w:tcPr>
            <w:tcW w:type="dxa" w:w="720"/>
            <w:shd w:fill="F0F4F8"/>
          </w:tcPr>
          <w:p>
            <w:pPr>
              <w:jc w:val="center"/>
            </w:pPr>
            <w:r/>
            <w:r>
              <w:rPr>
                <w:rFonts w:ascii="Times New Roman" w:hAnsi="Times New Roman"/>
                <w:sz w:val="16"/>
              </w:rPr>
              <w:t>0.297</w:t>
            </w:r>
          </w:p>
        </w:tc>
        <w:tc>
          <w:tcPr>
            <w:tcW w:type="dxa" w:w="864"/>
            <w:shd w:fill="F0F4F8"/>
          </w:tcPr>
          <w:p>
            <w:pPr>
              <w:jc w:val="center"/>
            </w:pPr>
            <w:r/>
            <w:r>
              <w:rPr>
                <w:rFonts w:ascii="Times New Roman" w:hAnsi="Times New Roman"/>
                <w:sz w:val="16"/>
              </w:rPr>
              <w:t>0.2602</w:t>
            </w:r>
          </w:p>
        </w:tc>
      </w:tr>
      <w:tr>
        <w:tc>
          <w:tcPr>
            <w:tcW w:type="dxa" w:w="2160"/>
            <w:shd w:fill="FFFFFF"/>
          </w:tcPr>
          <w:p>
            <w:pPr>
              <w:jc w:val="center"/>
            </w:pPr>
            <w:r/>
            <w:r>
              <w:rPr>
                <w:rFonts w:ascii="Times New Roman" w:hAnsi="Times New Roman"/>
                <w:sz w:val="16"/>
              </w:rPr>
              <w:t>F. Full RF (17 feat.)</w:t>
            </w:r>
          </w:p>
        </w:tc>
        <w:tc>
          <w:tcPr>
            <w:tcW w:type="dxa" w:w="1008"/>
            <w:shd w:fill="FFFFFF"/>
          </w:tcPr>
          <w:p>
            <w:pPr>
              <w:jc w:val="center"/>
            </w:pPr>
            <w:r/>
            <w:r>
              <w:rPr>
                <w:rFonts w:ascii="Times New Roman" w:hAnsi="Times New Roman"/>
                <w:sz w:val="16"/>
              </w:rPr>
              <w:t>0.295</w:t>
            </w:r>
          </w:p>
        </w:tc>
        <w:tc>
          <w:tcPr>
            <w:tcW w:type="dxa" w:w="720"/>
            <w:shd w:fill="FFFFFF"/>
          </w:tcPr>
          <w:p>
            <w:pPr>
              <w:jc w:val="center"/>
            </w:pPr>
            <w:r/>
            <w:r>
              <w:rPr>
                <w:rFonts w:ascii="Times New Roman" w:hAnsi="Times New Roman"/>
                <w:sz w:val="16"/>
              </w:rPr>
              <w:t>0.259</w:t>
            </w:r>
          </w:p>
        </w:tc>
        <w:tc>
          <w:tcPr>
            <w:tcW w:type="dxa" w:w="1008"/>
            <w:shd w:fill="FFFFFF"/>
          </w:tcPr>
          <w:p>
            <w:pPr>
              <w:jc w:val="center"/>
            </w:pPr>
            <w:r/>
            <w:r>
              <w:rPr>
                <w:rFonts w:ascii="Times New Roman" w:hAnsi="Times New Roman"/>
                <w:sz w:val="16"/>
              </w:rPr>
              <w:t>0.237</w:t>
            </w:r>
          </w:p>
        </w:tc>
        <w:tc>
          <w:tcPr>
            <w:tcW w:type="dxa" w:w="720"/>
            <w:shd w:fill="FFFFFF"/>
          </w:tcPr>
          <w:p>
            <w:pPr>
              <w:jc w:val="center"/>
            </w:pPr>
            <w:r/>
            <w:r>
              <w:rPr>
                <w:rFonts w:ascii="Times New Roman" w:hAnsi="Times New Roman"/>
                <w:sz w:val="16"/>
              </w:rPr>
              <w:t>0.154</w:t>
            </w:r>
          </w:p>
        </w:tc>
        <w:tc>
          <w:tcPr>
            <w:tcW w:type="dxa" w:w="720"/>
            <w:shd w:fill="FFFFFF"/>
          </w:tcPr>
          <w:p>
            <w:pPr>
              <w:jc w:val="center"/>
            </w:pPr>
            <w:r/>
            <w:r>
              <w:rPr>
                <w:rFonts w:ascii="Times New Roman" w:hAnsi="Times New Roman"/>
                <w:sz w:val="16"/>
              </w:rPr>
              <w:t>0.313</w:t>
            </w:r>
          </w:p>
        </w:tc>
        <w:tc>
          <w:tcPr>
            <w:tcW w:type="dxa" w:w="864"/>
            <w:shd w:fill="FFFFFF"/>
          </w:tcPr>
          <w:p>
            <w:pPr>
              <w:jc w:val="center"/>
            </w:pPr>
            <w:r/>
            <w:r>
              <w:rPr>
                <w:rFonts w:ascii="Times New Roman" w:hAnsi="Times New Roman"/>
                <w:sz w:val="16"/>
              </w:rPr>
              <w:t>0.2515</w:t>
            </w:r>
          </w:p>
        </w:tc>
      </w:tr>
    </w:tbl>
    <w:p/>
    <w:p>
      <w:pPr>
        <w:spacing w:before="0" w:after="120"/>
        <w:ind w:firstLine="283"/>
        <w:jc w:val="both"/>
      </w:pPr>
      <w:r>
        <w:rPr>
          <w:rFonts w:ascii="Times New Roman" w:hAnsi="Times New Roman"/>
          <w:b w:val="0"/>
          <w:i w:val="0"/>
          <w:sz w:val="20"/>
        </w:rPr>
        <w:t>The full RF achieves a 75.4% relative improvement over the majority baseline (0.2515 vs. 0.1434). However, the random classifier achieves the highest macro-F1 at 0.2916, exceeding all trained models.</w:t>
      </w:r>
    </w:p>
    <w:p>
      <w:pPr>
        <w:spacing w:before="200" w:after="80"/>
        <w:jc w:val="left"/>
      </w:pPr>
      <w:r>
        <w:rPr>
          <w:rFonts w:ascii="Times New Roman" w:hAnsi="Times New Roman"/>
          <w:i/>
          <w:sz w:val="20"/>
        </w:rPr>
        <w:t>B. Why the Random Classifier Wins on Macro-F1</w:t>
      </w:r>
    </w:p>
    <w:p>
      <w:pPr>
        <w:spacing w:before="0" w:after="120"/>
        <w:ind w:firstLine="283"/>
        <w:jc w:val="both"/>
      </w:pPr>
      <w:r>
        <w:rPr>
          <w:rFonts w:ascii="Times New Roman" w:hAnsi="Times New Roman"/>
          <w:b w:val="0"/>
          <w:i w:val="0"/>
          <w:sz w:val="20"/>
        </w:rPr>
        <w:t>This counterintuitive result is not a bug — it is a known property of macro-averaged metrics under class imbalance. Three mechanisms explain it:</w:t>
      </w:r>
    </w:p>
    <w:p>
      <w:pPr>
        <w:spacing w:before="0" w:after="120"/>
        <w:ind w:firstLine="283"/>
        <w:jc w:val="both"/>
      </w:pPr>
      <w:r>
        <w:rPr>
          <w:rFonts w:ascii="Times New Roman" w:hAnsi="Times New Roman"/>
          <w:b w:val="0"/>
          <w:i w:val="0"/>
          <w:sz w:val="20"/>
        </w:rPr>
        <w:t>First, macro-F1 equally weights all three classes. With the FLAT class at approximately 48% of observations, the majority baseline achieves near-perfect FLAT recall but zero recall on UP and DOWN, producing very low macro-F1 (averaging in two classes with F1 = 0).</w:t>
      </w:r>
    </w:p>
    <w:p>
      <w:pPr>
        <w:spacing w:before="0" w:after="120"/>
        <w:ind w:firstLine="283"/>
        <w:jc w:val="both"/>
      </w:pPr>
      <w:r>
        <w:rPr>
          <w:rFonts w:ascii="Times New Roman" w:hAnsi="Times New Roman"/>
          <w:b w:val="0"/>
          <w:i w:val="0"/>
          <w:sz w:val="20"/>
        </w:rPr>
        <w:t>Second, the random classifier distributes predictions uniformly (~33% per class), achieving non-trivial recall on all classes including minority UP and DOWN. Even though its precision is low, the balanced recall inflates its macro-F1.</w:t>
      </w:r>
    </w:p>
    <w:p>
      <w:pPr>
        <w:spacing w:before="0" w:after="120"/>
        <w:ind w:firstLine="283"/>
        <w:jc w:val="both"/>
      </w:pPr>
      <w:r>
        <w:rPr>
          <w:rFonts w:ascii="Times New Roman" w:hAnsi="Times New Roman"/>
          <w:b w:val="0"/>
          <w:i w:val="0"/>
          <w:sz w:val="20"/>
        </w:rPr>
        <w:t>Third, the trained RF concentrates predictions on higher-confidence classes. It achieves higher precision on directional predictions (when it predicts UP, it is more likely correct than a random guess), but its conservative recall on minority classes produces lower macro-F1.</w:t>
      </w:r>
    </w:p>
    <w:p>
      <w:pPr>
        <w:spacing w:before="0" w:after="120"/>
        <w:ind w:firstLine="283"/>
        <w:jc w:val="both"/>
      </w:pPr>
      <w:r>
        <w:rPr>
          <w:rFonts w:ascii="Times New Roman" w:hAnsi="Times New Roman"/>
          <w:b w:val="0"/>
          <w:i w:val="0"/>
          <w:sz w:val="20"/>
        </w:rPr>
        <w:t>In short, macro-F1 rewards prediction coverage over prediction accuracy in imbalanced settings. For practical trading, precision on directional classes matters more — a false UP prediction costs money, while missing a genuine UP is merely a missed opportunity. The trained models are likely more useful for actual trading despite their lower macro-F1.</w:t>
      </w:r>
    </w:p>
    <w:p>
      <w:pPr>
        <w:spacing w:before="200" w:after="80"/>
        <w:jc w:val="left"/>
      </w:pPr>
      <w:r>
        <w:rPr>
          <w:rFonts w:ascii="Times New Roman" w:hAnsi="Times New Roman"/>
          <w:i/>
          <w:sz w:val="20"/>
        </w:rPr>
        <w:t>C. Feature Contribution Analysis</w:t>
      </w:r>
    </w:p>
    <w:p>
      <w:pPr>
        <w:spacing w:before="160" w:after="80"/>
        <w:jc w:val="center"/>
      </w:pPr>
      <w:r>
        <w:rPr>
          <w:rFonts w:ascii="Times New Roman" w:hAnsi="Times New Roman"/>
          <w:b/>
          <w:sz w:val="16"/>
        </w:rPr>
        <w:t>TABLE VI</w:t>
      </w:r>
      <w:r>
        <w:rPr>
          <w:sz w:val="16"/>
        </w:rPr>
        <w:br/>
      </w:r>
      <w:r>
        <w:rPr>
          <w:rFonts w:ascii="Times New Roman" w:hAnsi="Times New Roman"/>
          <w:i/>
          <w:sz w:val="16"/>
        </w:rPr>
        <w:t>Marginal Feature Contribution</w:t>
      </w:r>
    </w:p>
    <w:tbl>
      <w:tblPr>
        <w:tblStyle w:val="TableGrid"/>
        <w:tblW w:type="auto" w:w="0"/>
        <w:jc w:val="center"/>
        <w:tblLook w:firstColumn="1" w:firstRow="1" w:lastColumn="0" w:lastRow="0" w:noHBand="0" w:noVBand="1" w:val="04A0"/>
      </w:tblPr>
      <w:tblGrid>
        <w:gridCol w:w="3407"/>
        <w:gridCol w:w="3407"/>
        <w:gridCol w:w="3407"/>
      </w:tblGrid>
      <w:tr>
        <w:tc>
          <w:tcPr>
            <w:tcW w:type="dxa" w:w="3168"/>
            <w:shd w:fill="1B3A5C"/>
          </w:tcPr>
          <w:p>
            <w:pPr>
              <w:jc w:val="center"/>
            </w:pPr>
            <w:r/>
            <w:r>
              <w:rPr>
                <w:rFonts w:ascii="Times New Roman" w:hAnsi="Times New Roman"/>
                <w:b/>
                <w:color w:val="FFFFFF"/>
                <w:sz w:val="16"/>
              </w:rPr>
              <w:t>Comparison</w:t>
            </w:r>
          </w:p>
        </w:tc>
        <w:tc>
          <w:tcPr>
            <w:tcW w:type="dxa" w:w="1008"/>
            <w:shd w:fill="1B3A5C"/>
          </w:tcPr>
          <w:p>
            <w:pPr>
              <w:jc w:val="center"/>
            </w:pPr>
            <w:r/>
            <w:r>
              <w:rPr>
                <w:rFonts w:ascii="Times New Roman" w:hAnsi="Times New Roman"/>
                <w:b/>
                <w:color w:val="FFFFFF"/>
                <w:sz w:val="16"/>
              </w:rPr>
              <w:t>ΔF1 (pp)</w:t>
            </w:r>
          </w:p>
        </w:tc>
        <w:tc>
          <w:tcPr>
            <w:tcW w:type="dxa" w:w="3456"/>
            <w:shd w:fill="1B3A5C"/>
          </w:tcPr>
          <w:p>
            <w:pPr>
              <w:jc w:val="center"/>
            </w:pPr>
            <w:r/>
            <w:r>
              <w:rPr>
                <w:rFonts w:ascii="Times New Roman" w:hAnsi="Times New Roman"/>
                <w:b/>
                <w:color w:val="FFFFFF"/>
                <w:sz w:val="16"/>
              </w:rPr>
              <w:t>Interpretation</w:t>
            </w:r>
          </w:p>
        </w:tc>
      </w:tr>
      <w:tr>
        <w:tc>
          <w:tcPr>
            <w:tcW w:type="dxa" w:w="3168"/>
            <w:shd w:fill="F0F4F8"/>
          </w:tcPr>
          <w:p>
            <w:pPr>
              <w:jc w:val="center"/>
            </w:pPr>
            <w:r/>
            <w:r>
              <w:rPr>
                <w:rFonts w:ascii="Times New Roman" w:hAnsi="Times New Roman"/>
                <w:sz w:val="16"/>
              </w:rPr>
              <w:t>Adding HMM regime (D → F)</w:t>
            </w:r>
          </w:p>
        </w:tc>
        <w:tc>
          <w:tcPr>
            <w:tcW w:type="dxa" w:w="1008"/>
            <w:shd w:fill="F0F4F8"/>
          </w:tcPr>
          <w:p>
            <w:pPr>
              <w:jc w:val="center"/>
            </w:pPr>
            <w:r/>
            <w:r>
              <w:rPr>
                <w:rFonts w:ascii="Times New Roman" w:hAnsi="Times New Roman"/>
                <w:sz w:val="16"/>
              </w:rPr>
              <w:t>−1.06</w:t>
            </w:r>
          </w:p>
        </w:tc>
        <w:tc>
          <w:tcPr>
            <w:tcW w:type="dxa" w:w="3456"/>
            <w:shd w:fill="F0F4F8"/>
          </w:tcPr>
          <w:p>
            <w:pPr>
              <w:jc w:val="center"/>
            </w:pPr>
            <w:r/>
            <w:r>
              <w:rPr>
                <w:rFonts w:ascii="Times New Roman" w:hAnsi="Times New Roman"/>
                <w:sz w:val="16"/>
              </w:rPr>
              <w:t>Negative marginal effect at N=5</w:t>
            </w:r>
          </w:p>
        </w:tc>
      </w:tr>
      <w:tr>
        <w:tc>
          <w:tcPr>
            <w:tcW w:type="dxa" w:w="3168"/>
            <w:shd w:fill="FFFFFF"/>
          </w:tcPr>
          <w:p>
            <w:pPr>
              <w:jc w:val="center"/>
            </w:pPr>
            <w:r/>
            <w:r>
              <w:rPr>
                <w:rFonts w:ascii="Times New Roman" w:hAnsi="Times New Roman"/>
                <w:sz w:val="16"/>
              </w:rPr>
              <w:t>Adding VADER sentiment (E → F)</w:t>
            </w:r>
          </w:p>
        </w:tc>
        <w:tc>
          <w:tcPr>
            <w:tcW w:type="dxa" w:w="1008"/>
            <w:shd w:fill="FFFFFF"/>
          </w:tcPr>
          <w:p>
            <w:pPr>
              <w:jc w:val="center"/>
            </w:pPr>
            <w:r/>
            <w:r>
              <w:rPr>
                <w:rFonts w:ascii="Times New Roman" w:hAnsi="Times New Roman"/>
                <w:sz w:val="16"/>
              </w:rPr>
              <w:t>−0.87</w:t>
            </w:r>
          </w:p>
        </w:tc>
        <w:tc>
          <w:tcPr>
            <w:tcW w:type="dxa" w:w="3456"/>
            <w:shd w:fill="FFFFFF"/>
          </w:tcPr>
          <w:p>
            <w:pPr>
              <w:jc w:val="center"/>
            </w:pPr>
            <w:r/>
            <w:r>
              <w:rPr>
                <w:rFonts w:ascii="Times New Roman" w:hAnsi="Times New Roman"/>
                <w:sz w:val="16"/>
              </w:rPr>
              <w:t>Negative marginal effect at N=5</w:t>
            </w:r>
          </w:p>
        </w:tc>
      </w:tr>
      <w:tr>
        <w:tc>
          <w:tcPr>
            <w:tcW w:type="dxa" w:w="3168"/>
            <w:shd w:fill="F0F4F8"/>
          </w:tcPr>
          <w:p>
            <w:pPr>
              <w:jc w:val="center"/>
            </w:pPr>
            <w:r/>
            <w:r>
              <w:rPr>
                <w:rFonts w:ascii="Times New Roman" w:hAnsi="Times New Roman"/>
                <w:sz w:val="16"/>
              </w:rPr>
              <w:t>All trained vs baseline (F vs A)</w:t>
            </w:r>
          </w:p>
        </w:tc>
        <w:tc>
          <w:tcPr>
            <w:tcW w:type="dxa" w:w="1008"/>
            <w:shd w:fill="F0F4F8"/>
          </w:tcPr>
          <w:p>
            <w:pPr>
              <w:jc w:val="center"/>
            </w:pPr>
            <w:r/>
            <w:r>
              <w:rPr>
                <w:rFonts w:ascii="Times New Roman" w:hAnsi="Times New Roman"/>
                <w:sz w:val="16"/>
              </w:rPr>
              <w:t>+10.81</w:t>
            </w:r>
          </w:p>
        </w:tc>
        <w:tc>
          <w:tcPr>
            <w:tcW w:type="dxa" w:w="3456"/>
            <w:shd w:fill="F0F4F8"/>
          </w:tcPr>
          <w:p>
            <w:pPr>
              <w:jc w:val="center"/>
            </w:pPr>
            <w:r/>
            <w:r>
              <w:rPr>
                <w:rFonts w:ascii="Times New Roman" w:hAnsi="Times New Roman"/>
                <w:sz w:val="16"/>
              </w:rPr>
              <w:t>Substantial improvement over majority</w:t>
            </w:r>
          </w:p>
        </w:tc>
      </w:tr>
    </w:tbl>
    <w:p/>
    <w:p>
      <w:pPr>
        <w:spacing w:before="0" w:after="120"/>
        <w:ind w:firstLine="283"/>
        <w:jc w:val="both"/>
      </w:pPr>
      <w:r>
        <w:rPr>
          <w:rFonts w:ascii="Times New Roman" w:hAnsi="Times New Roman"/>
          <w:b w:val="0"/>
          <w:i w:val="0"/>
          <w:sz w:val="20"/>
        </w:rPr>
        <w:t>Both novel feature categories show small negative marginal effects at N=5. This is consistent with Gu et al. [1], who demonstrated that alternative features require hundreds of stocks across multi-year panels to achieve statistical significance. At five stocks, additional features can add noise faster than the model can learn the underlying interactions.</w:t>
      </w:r>
    </w:p>
    <w:p>
      <w:pPr>
        <w:spacing w:before="0" w:after="120"/>
        <w:ind w:firstLine="283"/>
        <w:jc w:val="both"/>
      </w:pPr>
      <w:r>
        <w:rPr>
          <w:rFonts w:ascii="Times New Roman" w:hAnsi="Times New Roman"/>
          <w:b w:val="0"/>
          <w:i w:val="0"/>
          <w:sz w:val="20"/>
        </w:rPr>
        <w:t>Critically, the negative marginal effects do not prove these features are uninformative in general. The current experiment simply lacks sufficient statistical power (5 stocks × 5 folds × 30 test days = 750 evaluation points) to detect features whose true marginal contribution may be 0.5–1.0 percentage points.</w:t>
      </w:r>
    </w:p>
    <w:p>
      <w:pPr>
        <w:spacing w:before="200" w:after="80"/>
        <w:jc w:val="left"/>
      </w:pPr>
      <w:r>
        <w:rPr>
          <w:rFonts w:ascii="Times New Roman" w:hAnsi="Times New Roman"/>
          <w:i/>
          <w:sz w:val="20"/>
        </w:rPr>
        <w:t>D. Parallel Training Performance</w:t>
      </w:r>
    </w:p>
    <w:p>
      <w:pPr>
        <w:spacing w:before="160" w:after="80"/>
        <w:jc w:val="center"/>
      </w:pPr>
      <w:r>
        <w:rPr>
          <w:rFonts w:ascii="Times New Roman" w:hAnsi="Times New Roman"/>
          <w:b/>
          <w:sz w:val="16"/>
        </w:rPr>
        <w:t>TABLE VII</w:t>
      </w:r>
      <w:r>
        <w:rPr>
          <w:sz w:val="16"/>
        </w:rPr>
        <w:br/>
      </w:r>
      <w:r>
        <w:rPr>
          <w:rFonts w:ascii="Times New Roman" w:hAnsi="Times New Roman"/>
          <w:i/>
          <w:sz w:val="16"/>
        </w:rPr>
        <w:t>Parallel vs Serial Walk-Forward Training</w:t>
      </w:r>
    </w:p>
    <w:tbl>
      <w:tblPr>
        <w:tblStyle w:val="TableGrid"/>
        <w:tblW w:type="auto" w:w="0"/>
        <w:jc w:val="center"/>
        <w:tblLook w:firstColumn="1" w:firstRow="1" w:lastColumn="0" w:lastRow="0" w:noHBand="0" w:noVBand="1" w:val="04A0"/>
      </w:tblPr>
      <w:tblGrid>
        <w:gridCol w:w="3407"/>
        <w:gridCol w:w="3407"/>
        <w:gridCol w:w="3407"/>
      </w:tblGrid>
      <w:tr>
        <w:tc>
          <w:tcPr>
            <w:tcW w:type="dxa" w:w="3168"/>
            <w:shd w:fill="1B3A5C"/>
          </w:tcPr>
          <w:p>
            <w:pPr>
              <w:jc w:val="center"/>
            </w:pPr>
            <w:r/>
            <w:r>
              <w:rPr>
                <w:rFonts w:ascii="Times New Roman" w:hAnsi="Times New Roman"/>
                <w:b/>
                <w:color w:val="FFFFFF"/>
                <w:sz w:val="16"/>
              </w:rPr>
              <w:t>Execution Mode</w:t>
            </w:r>
          </w:p>
        </w:tc>
        <w:tc>
          <w:tcPr>
            <w:tcW w:type="dxa" w:w="2160"/>
            <w:shd w:fill="1B3A5C"/>
          </w:tcPr>
          <w:p>
            <w:pPr>
              <w:jc w:val="center"/>
            </w:pPr>
            <w:r/>
            <w:r>
              <w:rPr>
                <w:rFonts w:ascii="Times New Roman" w:hAnsi="Times New Roman"/>
                <w:b/>
                <w:color w:val="FFFFFF"/>
                <w:sz w:val="16"/>
              </w:rPr>
              <w:t>Wall Time (5 folds)</w:t>
            </w:r>
          </w:p>
        </w:tc>
        <w:tc>
          <w:tcPr>
            <w:tcW w:type="dxa" w:w="1152"/>
            <w:shd w:fill="1B3A5C"/>
          </w:tcPr>
          <w:p>
            <w:pPr>
              <w:jc w:val="center"/>
            </w:pPr>
            <w:r/>
            <w:r>
              <w:rPr>
                <w:rFonts w:ascii="Times New Roman" w:hAnsi="Times New Roman"/>
                <w:b/>
                <w:color w:val="FFFFFF"/>
                <w:sz w:val="16"/>
              </w:rPr>
              <w:t>Speedup</w:t>
            </w:r>
          </w:p>
        </w:tc>
      </w:tr>
      <w:tr>
        <w:tc>
          <w:tcPr>
            <w:tcW w:type="dxa" w:w="3168"/>
            <w:shd w:fill="F0F4F8"/>
          </w:tcPr>
          <w:p>
            <w:pPr>
              <w:jc w:val="center"/>
            </w:pPr>
            <w:r/>
            <w:r>
              <w:rPr>
                <w:rFonts w:ascii="Times New Roman" w:hAnsi="Times New Roman"/>
                <w:sz w:val="16"/>
              </w:rPr>
              <w:t>Serial (sequential)</w:t>
            </w:r>
          </w:p>
        </w:tc>
        <w:tc>
          <w:tcPr>
            <w:tcW w:type="dxa" w:w="2160"/>
            <w:shd w:fill="F0F4F8"/>
          </w:tcPr>
          <w:p>
            <w:pPr>
              <w:jc w:val="center"/>
            </w:pPr>
            <w:r/>
            <w:r>
              <w:rPr>
                <w:rFonts w:ascii="Times New Roman" w:hAnsi="Times New Roman"/>
                <w:sz w:val="16"/>
              </w:rPr>
              <w:t>3.37 s</w:t>
            </w:r>
          </w:p>
        </w:tc>
        <w:tc>
          <w:tcPr>
            <w:tcW w:type="dxa" w:w="1152"/>
            <w:shd w:fill="F0F4F8"/>
          </w:tcPr>
          <w:p>
            <w:pPr>
              <w:jc w:val="center"/>
            </w:pPr>
            <w:r/>
            <w:r>
              <w:rPr>
                <w:rFonts w:ascii="Times New Roman" w:hAnsi="Times New Roman"/>
                <w:sz w:val="16"/>
              </w:rPr>
              <w:t>1.00×</w:t>
            </w:r>
          </w:p>
        </w:tc>
      </w:tr>
      <w:tr>
        <w:tc>
          <w:tcPr>
            <w:tcW w:type="dxa" w:w="3168"/>
            <w:shd w:fill="FFFFFF"/>
          </w:tcPr>
          <w:p>
            <w:pPr>
              <w:jc w:val="center"/>
            </w:pPr>
            <w:r/>
            <w:r>
              <w:rPr>
                <w:rFonts w:ascii="Times New Roman" w:hAnsi="Times New Roman"/>
                <w:sz w:val="16"/>
              </w:rPr>
              <w:t>Parallel (5 ThreadPool workers)</w:t>
            </w:r>
          </w:p>
        </w:tc>
        <w:tc>
          <w:tcPr>
            <w:tcW w:type="dxa" w:w="2160"/>
            <w:shd w:fill="FFFFFF"/>
          </w:tcPr>
          <w:p>
            <w:pPr>
              <w:jc w:val="center"/>
            </w:pPr>
            <w:r/>
            <w:r>
              <w:rPr>
                <w:rFonts w:ascii="Times New Roman" w:hAnsi="Times New Roman"/>
                <w:sz w:val="16"/>
              </w:rPr>
              <w:t>1.00 s</w:t>
            </w:r>
          </w:p>
        </w:tc>
        <w:tc>
          <w:tcPr>
            <w:tcW w:type="dxa" w:w="1152"/>
            <w:shd w:fill="FFFFFF"/>
          </w:tcPr>
          <w:p>
            <w:pPr>
              <w:jc w:val="center"/>
            </w:pPr>
            <w:r/>
            <w:r>
              <w:rPr>
                <w:rFonts w:ascii="Times New Roman" w:hAnsi="Times New Roman"/>
                <w:sz w:val="16"/>
              </w:rPr>
              <w:t>3.37×</w:t>
            </w:r>
          </w:p>
        </w:tc>
      </w:tr>
    </w:tbl>
    <w:p/>
    <w:p>
      <w:pPr>
        <w:spacing w:before="0" w:after="120"/>
        <w:ind w:firstLine="283"/>
        <w:jc w:val="both"/>
      </w:pPr>
      <w:r>
        <w:rPr>
          <w:rFonts w:ascii="Times New Roman" w:hAnsi="Times New Roman"/>
          <w:b w:val="0"/>
          <w:i w:val="0"/>
          <w:sz w:val="20"/>
        </w:rPr>
        <w:t>The near-linear speedup occurs because scikit-learn's RandomForest releases the Python GIL during fit(), enabling true CPU parallelism from ThreadPoolExecutor. This makes nightly retraining of the full 347-stock universe feasible within a reasonable time window.</w:t>
      </w:r>
    </w:p>
    <w:p>
      <w:pPr>
        <w:spacing w:before="200" w:after="80"/>
        <w:jc w:val="left"/>
      </w:pPr>
      <w:r>
        <w:rPr>
          <w:rFonts w:ascii="Times New Roman" w:hAnsi="Times New Roman"/>
          <w:i/>
          <w:sz w:val="20"/>
        </w:rPr>
        <w:t>E. Transaction-Cost Impact</w:t>
      </w:r>
    </w:p>
    <w:p>
      <w:pPr>
        <w:spacing w:before="0" w:after="120"/>
        <w:ind w:firstLine="283"/>
        <w:jc w:val="both"/>
      </w:pPr>
      <w:r>
        <w:rPr>
          <w:rFonts w:ascii="Times New Roman" w:hAnsi="Times New Roman"/>
          <w:b w:val="0"/>
          <w:i w:val="0"/>
          <w:sz w:val="20"/>
        </w:rPr>
        <w:t>OOF backtesting with the full NSE cost model (Table II) and Almgren–Chriss slippage reduces reported Sharpe ratios by approximately 0.3–0.5 compared with cost-naive evaluation. For a stock with average daily volume of ₹50 crore and trade size at 2% of daily volume, the total round-trip cost (including slippage) is approximately 0.25–0.40% per trade — a significant drag on strategy performance.</w:t>
      </w:r>
    </w:p>
    <w:p>
      <w:pPr>
        <w:spacing w:before="280" w:after="120"/>
        <w:jc w:val="center"/>
      </w:pPr>
      <w:r>
        <w:rPr>
          <w:rFonts w:ascii="Times New Roman" w:hAnsi="Times New Roman"/>
          <w:b/>
          <w:sz w:val="20"/>
        </w:rPr>
        <w:t>VI. DISCUSSION</w:t>
      </w:r>
    </w:p>
    <w:p>
      <w:pPr>
        <w:spacing w:before="200" w:after="80"/>
        <w:jc w:val="left"/>
      </w:pPr>
      <w:r>
        <w:rPr>
          <w:rFonts w:ascii="Times New Roman" w:hAnsi="Times New Roman"/>
          <w:i/>
          <w:sz w:val="20"/>
        </w:rPr>
        <w:t>A. On Evaluation Metrics</w:t>
      </w:r>
    </w:p>
    <w:p>
      <w:pPr>
        <w:spacing w:before="0" w:after="120"/>
        <w:ind w:firstLine="283"/>
        <w:jc w:val="both"/>
      </w:pPr>
      <w:r>
        <w:rPr>
          <w:rFonts w:ascii="Times New Roman" w:hAnsi="Times New Roman"/>
          <w:b w:val="0"/>
          <w:i w:val="0"/>
          <w:sz w:val="20"/>
        </w:rPr>
        <w:t>The random classifier result highlights a fundamental challenge in evaluating imbalanced classification: no single metric tells the whole story. We recommend future work supplement macro-F1 with: (1) weighted-F1 (accounts for class support), (2) per-class precision and recall (especially precision on directional predictions), and (3) economic metrics like net Sharpe ratio and Calmar ratio as the primary evaluation criteria for trading applications.</w:t>
      </w:r>
    </w:p>
    <w:p>
      <w:pPr>
        <w:spacing w:before="200" w:after="80"/>
        <w:jc w:val="left"/>
      </w:pPr>
      <w:r>
        <w:rPr>
          <w:rFonts w:ascii="Times New Roman" w:hAnsi="Times New Roman"/>
          <w:i/>
          <w:sz w:val="20"/>
        </w:rPr>
        <w:t>B. On Regime and Sentiment Features</w:t>
      </w:r>
    </w:p>
    <w:p>
      <w:pPr>
        <w:spacing w:before="0" w:after="120"/>
        <w:ind w:firstLine="283"/>
        <w:jc w:val="both"/>
      </w:pPr>
      <w:r>
        <w:rPr>
          <w:rFonts w:ascii="Times New Roman" w:hAnsi="Times New Roman"/>
          <w:b w:val="0"/>
          <w:i w:val="0"/>
          <w:sz w:val="20"/>
        </w:rPr>
        <w:t>Three factors explain the negative marginal contribution at N=5. First, sample size — five stocks provide insufficient statistical power to detect small feature effects. Second, the curse of dimensionality — adding 3 features to a 14-feature matrix increases dimensionality by 21%, and with limited training data per stock (120–240 days per fold), the RF may not have enough samples to learn the interactions these features encode. Third, regime non-stationarity — the 2022–2024 period was dominated by a predominantly bullish regime in Indian large-cap markets, limiting the HMM's ability to demonstrate discriminative value. The full 327-stock ablation is required before drawing conclusions about feature effectiveness.</w:t>
      </w:r>
    </w:p>
    <w:p>
      <w:pPr>
        <w:spacing w:before="200" w:after="80"/>
        <w:jc w:val="left"/>
      </w:pPr>
      <w:r>
        <w:rPr>
          <w:rFonts w:ascii="Times New Roman" w:hAnsi="Times New Roman"/>
          <w:i/>
          <w:sz w:val="20"/>
        </w:rPr>
        <w:t>C. On Validation Methodology</w:t>
      </w:r>
    </w:p>
    <w:p>
      <w:pPr>
        <w:spacing w:before="0" w:after="120"/>
        <w:ind w:firstLine="283"/>
        <w:jc w:val="both"/>
      </w:pPr>
      <w:r>
        <w:rPr>
          <w:rFonts w:ascii="Times New Roman" w:hAnsi="Times New Roman"/>
          <w:b w:val="0"/>
          <w:i w:val="0"/>
          <w:sz w:val="20"/>
        </w:rPr>
        <w:t>The three-day embargo directly addresses the specific leakage vector created by the three-day forward-return target. Without the embargo, the last three training observations contain return information that overlaps with the test set, inflating apparent performance. The dual assertion — both index-level and timestamp-level — provides a runtime guarantee that this invariant holds, catching any inadvertent leakage during code refactoring.</w:t>
      </w:r>
    </w:p>
    <w:p>
      <w:pPr>
        <w:spacing w:before="200" w:after="80"/>
        <w:jc w:val="left"/>
      </w:pPr>
      <w:r>
        <w:rPr>
          <w:rFonts w:ascii="Times New Roman" w:hAnsi="Times New Roman"/>
          <w:i/>
          <w:sz w:val="20"/>
        </w:rPr>
        <w:t>D. On Transaction Costs</w:t>
      </w:r>
    </w:p>
    <w:p>
      <w:pPr>
        <w:spacing w:before="0" w:after="120"/>
        <w:ind w:firstLine="283"/>
        <w:jc w:val="both"/>
      </w:pPr>
      <w:r>
        <w:rPr>
          <w:rFonts w:ascii="Times New Roman" w:hAnsi="Times New Roman"/>
          <w:b w:val="0"/>
          <w:i w:val="0"/>
          <w:sz w:val="20"/>
        </w:rPr>
        <w:t>The 0.3–0.5 Sharpe reduction from including NSE costs demonstrates that cost-naive evaluation materially misrepresents strategy performance. The STT alone (0.1% on sell) is a significant drag that many academic studies on Indian markets ignore. The Almgren–Chriss component captures the additional price impact that affects larger trade sizes, which is particularly relevant for mid-cap NSE stocks with lower liquidity.</w:t>
      </w:r>
    </w:p>
    <w:p>
      <w:pPr>
        <w:spacing w:before="200" w:after="80"/>
        <w:jc w:val="left"/>
      </w:pPr>
      <w:r>
        <w:rPr>
          <w:rFonts w:ascii="Times New Roman" w:hAnsi="Times New Roman"/>
          <w:i/>
          <w:sz w:val="20"/>
        </w:rPr>
        <w:t>E. Limitations</w:t>
      </w:r>
    </w:p>
    <w:p>
      <w:pPr>
        <w:spacing w:before="0" w:after="120"/>
        <w:jc w:val="both"/>
      </w:pPr>
      <w:r>
        <w:rPr>
          <w:rFonts w:ascii="Times New Roman" w:hAnsi="Times New Roman"/>
          <w:b w:val="0"/>
          <w:i w:val="0"/>
          <w:sz w:val="20"/>
        </w:rPr>
        <w:t>We acknowledge the following limitations:</w:t>
      </w:r>
    </w:p>
    <w:p>
      <w:pPr>
        <w:spacing w:before="20" w:after="20"/>
        <w:ind w:left="567" w:hanging="227"/>
        <w:jc w:val="both"/>
      </w:pPr>
      <w:r>
        <w:rPr>
          <w:rFonts w:ascii="Times New Roman" w:hAnsi="Times New Roman"/>
          <w:sz w:val="18"/>
        </w:rPr>
        <w:t>• Survivorship bias: Only currently listed stocks are included; delisted stocks are excluded.</w:t>
      </w:r>
    </w:p>
    <w:p>
      <w:pPr>
        <w:spacing w:before="20" w:after="20"/>
        <w:ind w:left="567" w:hanging="227"/>
        <w:jc w:val="both"/>
      </w:pPr>
      <w:r>
        <w:rPr>
          <w:rFonts w:ascii="Times New Roman" w:hAnsi="Times New Roman"/>
          <w:sz w:val="18"/>
        </w:rPr>
        <w:t>• Five-stock scope: The ablation provides insufficient power to establish feature contributions. The 327-stock experiment is the minimum viable evaluation.</w:t>
      </w:r>
    </w:p>
    <w:p>
      <w:pPr>
        <w:spacing w:before="20" w:after="20"/>
        <w:ind w:left="567" w:hanging="227"/>
        <w:jc w:val="both"/>
      </w:pPr>
      <w:r>
        <w:rPr>
          <w:rFonts w:ascii="Times New Roman" w:hAnsi="Times New Roman"/>
          <w:sz w:val="18"/>
        </w:rPr>
        <w:t>• Daily resolution: Intraday effects, overnight gaps from global markets, and opening-auction dynamics are not modeled.</w:t>
      </w:r>
    </w:p>
    <w:p>
      <w:pPr>
        <w:spacing w:before="20" w:after="20"/>
        <w:ind w:left="567" w:hanging="227"/>
        <w:jc w:val="both"/>
      </w:pPr>
      <w:r>
        <w:rPr>
          <w:rFonts w:ascii="Times New Roman" w:hAnsi="Times New Roman"/>
          <w:sz w:val="18"/>
        </w:rPr>
        <w:t>• Simplified market impact: The Almgren–Chriss implementation uses a fixed η=0.1; real impact is nonlinear and stock-specific.</w:t>
      </w:r>
    </w:p>
    <w:p>
      <w:pPr>
        <w:spacing w:before="20" w:after="20"/>
        <w:ind w:left="567" w:hanging="227"/>
        <w:jc w:val="both"/>
      </w:pPr>
      <w:r>
        <w:rPr>
          <w:rFonts w:ascii="Times New Roman" w:hAnsi="Times New Roman"/>
          <w:sz w:val="18"/>
        </w:rPr>
        <w:t>• No published baseline comparison: We do not compare against existing NSE prediction results in the literature.</w:t>
      </w:r>
    </w:p>
    <w:p>
      <w:pPr>
        <w:spacing w:before="20" w:after="20"/>
        <w:ind w:left="567" w:hanging="227"/>
        <w:jc w:val="both"/>
      </w:pPr>
      <w:r>
        <w:rPr>
          <w:rFonts w:ascii="Times New Roman" w:hAnsi="Times New Roman"/>
          <w:sz w:val="18"/>
        </w:rPr>
        <w:t>• VADER limitations: VADER is a general-purpose tool; domain-specific models like FinBERT [11] would likely perform better on financial text.</w:t>
      </w:r>
    </w:p>
    <w:p>
      <w:pPr>
        <w:spacing w:before="20" w:after="20"/>
        <w:ind w:left="567" w:hanging="227"/>
        <w:jc w:val="both"/>
      </w:pPr>
      <w:r>
        <w:rPr>
          <w:rFonts w:ascii="Times New Roman" w:hAnsi="Times New Roman"/>
          <w:sz w:val="18"/>
        </w:rPr>
        <w:t>• Threshold sensitivity: The ±0.8% threshold has not been systematically evaluated against alternatives.</w:t>
      </w:r>
    </w:p>
    <w:p>
      <w:pPr>
        <w:spacing w:before="280" w:after="120"/>
        <w:jc w:val="center"/>
      </w:pPr>
      <w:r>
        <w:rPr>
          <w:rFonts w:ascii="Times New Roman" w:hAnsi="Times New Roman"/>
          <w:b/>
          <w:sz w:val="20"/>
        </w:rPr>
        <w:t>VII. CONCLUSION AND FUTURE WORK</w:t>
      </w:r>
    </w:p>
    <w:p>
      <w:pPr>
        <w:spacing w:before="0" w:after="120"/>
        <w:ind w:firstLine="283"/>
        <w:jc w:val="both"/>
      </w:pPr>
      <w:r>
        <w:rPr>
          <w:rFonts w:ascii="Times New Roman" w:hAnsi="Times New Roman"/>
          <w:b w:val="0"/>
          <w:i w:val="0"/>
          <w:sz w:val="20"/>
        </w:rPr>
        <w:t>We presented Clearward, a multi-model framework for three-class stock direction prediction in Indian equity markets. The framework integrates Random Forest and Temporal Convolutional Network models with HMM regime posteriors (from a from-scratch Gaussian HMM) and VADER sentiment features, validated using embargoed walk-forward cross-validation and evaluated using out-of-fold predictions with NSE-calibrated transaction costs.</w:t>
      </w:r>
    </w:p>
    <w:p>
      <w:pPr>
        <w:spacing w:before="0" w:after="120"/>
        <w:ind w:firstLine="283"/>
        <w:jc w:val="both"/>
      </w:pPr>
      <w:r>
        <w:rPr>
          <w:rFonts w:ascii="Times New Roman" w:hAnsi="Times New Roman"/>
          <w:b w:val="0"/>
          <w:i w:val="0"/>
          <w:sz w:val="20"/>
        </w:rPr>
        <w:t>The five-stock ablation shows the full RF outperforms the majority baseline by 75.4% on macro-F1 (0.2515 vs. 0.1434), but a random classifier achieves 0.2916 — exposing macro-F1's limitations under class imbalance. HMM and VADER features do not show positive marginal effects at N=5, consistent with Gu et al. [1]'s finding that alternative features require large cross-sections.</w:t>
      </w:r>
    </w:p>
    <w:p>
      <w:pPr>
        <w:spacing w:before="0" w:after="120"/>
        <w:ind w:firstLine="283"/>
        <w:jc w:val="both"/>
      </w:pPr>
      <w:r>
        <w:rPr>
          <w:rFonts w:ascii="Times New Roman" w:hAnsi="Times New Roman"/>
          <w:b w:val="0"/>
          <w:i w:val="0"/>
          <w:sz w:val="20"/>
        </w:rPr>
        <w:t>The framework's primary contributions are methodological: the three-day embargo with runtime assertions, OOF-only backtesting with NSE-calibrated costs, continuous HMM posteriors as features, parallelized walk-forward training, and SHA-256 feature-schema versioning. These components establish a replicable evaluation template for Indian equity ML research.</w:t>
      </w:r>
    </w:p>
    <w:p>
      <w:pPr>
        <w:spacing w:before="0" w:after="120"/>
        <w:jc w:val="both"/>
      </w:pPr>
      <w:r>
        <w:rPr>
          <w:rFonts w:ascii="Times New Roman" w:hAnsi="Times New Roman"/>
          <w:b w:val="0"/>
          <w:i w:val="0"/>
          <w:sz w:val="20"/>
        </w:rPr>
        <w:t>Future directions include:</w:t>
      </w:r>
    </w:p>
    <w:p>
      <w:pPr>
        <w:spacing w:before="20" w:after="20"/>
        <w:ind w:left="567" w:hanging="227"/>
        <w:jc w:val="both"/>
      </w:pPr>
      <w:r>
        <w:rPr>
          <w:rFonts w:ascii="Times New Roman" w:hAnsi="Times New Roman"/>
          <w:sz w:val="18"/>
        </w:rPr>
        <w:t>• 327-stock ablation to evaluate regime and sentiment features at scale.</w:t>
      </w:r>
    </w:p>
    <w:p>
      <w:pPr>
        <w:spacing w:before="20" w:after="20"/>
        <w:ind w:left="567" w:hanging="227"/>
        <w:jc w:val="both"/>
      </w:pPr>
      <w:r>
        <w:rPr>
          <w:rFonts w:ascii="Times New Roman" w:hAnsi="Times New Roman"/>
          <w:sz w:val="18"/>
        </w:rPr>
        <w:t>• Multi-metric evaluation: weighted-F1, per-class metrics, confusion matrices, and economic metrics (Sharpe, Calmar) alongside macro-F1.</w:t>
      </w:r>
    </w:p>
    <w:p>
      <w:pPr>
        <w:spacing w:before="20" w:after="20"/>
        <w:ind w:left="567" w:hanging="227"/>
        <w:jc w:val="both"/>
      </w:pPr>
      <w:r>
        <w:rPr>
          <w:rFonts w:ascii="Times New Roman" w:hAnsi="Times New Roman"/>
          <w:sz w:val="18"/>
        </w:rPr>
        <w:t>• FinBERT sentiment replacement for domain-specific language understanding.</w:t>
      </w:r>
    </w:p>
    <w:p>
      <w:pPr>
        <w:spacing w:before="20" w:after="20"/>
        <w:ind w:left="567" w:hanging="227"/>
        <w:jc w:val="both"/>
      </w:pPr>
      <w:r>
        <w:rPr>
          <w:rFonts w:ascii="Times New Roman" w:hAnsi="Times New Roman"/>
          <w:sz w:val="18"/>
        </w:rPr>
        <w:t>• Threshold sensitivity analysis across ±0.5%, ±0.8%, ±1.0%, ±1.5%.</w:t>
      </w:r>
    </w:p>
    <w:p>
      <w:pPr>
        <w:spacing w:before="20" w:after="20"/>
        <w:ind w:left="567" w:hanging="227"/>
        <w:jc w:val="both"/>
      </w:pPr>
      <w:r>
        <w:rPr>
          <w:rFonts w:ascii="Times New Roman" w:hAnsi="Times New Roman"/>
          <w:sz w:val="18"/>
        </w:rPr>
        <w:t>• T+1 settlement calibration following SEBI's 2023 settlement cycle change.</w:t>
      </w:r>
    </w:p>
    <w:p>
      <w:pPr>
        <w:spacing w:before="20" w:after="20"/>
        <w:ind w:left="567" w:hanging="227"/>
        <w:jc w:val="both"/>
      </w:pPr>
      <w:r>
        <w:rPr>
          <w:rFonts w:ascii="Times New Roman" w:hAnsi="Times New Roman"/>
          <w:sz w:val="18"/>
        </w:rPr>
        <w:t>• Options data integration: put/call ratio, implied volatility skew.</w:t>
      </w:r>
    </w:p>
    <w:p>
      <w:pPr>
        <w:spacing w:before="20" w:after="20"/>
        <w:ind w:left="567" w:hanging="227"/>
        <w:jc w:val="both"/>
      </w:pPr>
      <w:r>
        <w:rPr>
          <w:rFonts w:ascii="Times New Roman" w:hAnsi="Times New Roman"/>
          <w:sz w:val="18"/>
        </w:rPr>
        <w:t>• Graph neural networks for modeling inter-stock sector contagion.</w:t>
      </w:r>
    </w:p>
    <w:p>
      <w:pPr>
        <w:spacing w:before="280" w:after="120"/>
        <w:jc w:val="center"/>
      </w:pPr>
      <w:r>
        <w:rPr>
          <w:rFonts w:ascii="Times New Roman" w:hAnsi="Times New Roman"/>
          <w:b/>
          <w:sz w:val="20"/>
        </w:rPr>
        <w:t>. REFERENCES</w:t>
      </w:r>
    </w:p>
    <w:p>
      <w:pPr>
        <w:spacing w:before="20" w:after="20"/>
        <w:ind w:left="340" w:hanging="340"/>
        <w:jc w:val="both"/>
      </w:pPr>
      <w:r>
        <w:rPr>
          <w:rFonts w:ascii="Times New Roman" w:hAnsi="Times New Roman"/>
          <w:b/>
          <w:sz w:val="16"/>
        </w:rPr>
        <w:t xml:space="preserve">[1] </w:t>
      </w:r>
      <w:r>
        <w:rPr>
          <w:rFonts w:ascii="Times New Roman" w:hAnsi="Times New Roman"/>
          <w:sz w:val="16"/>
        </w:rPr>
        <w:t>S. Gu, B. Kelly, and D. Xiu, "Empirical asset pricing via machine learning," Rev. Financial Studies, vol. 33, no. 5, pp. 2223–2273, 2020.</w:t>
      </w:r>
    </w:p>
    <w:p>
      <w:pPr>
        <w:spacing w:before="20" w:after="20"/>
        <w:ind w:left="340" w:hanging="340"/>
        <w:jc w:val="both"/>
      </w:pPr>
      <w:r>
        <w:rPr>
          <w:rFonts w:ascii="Times New Roman" w:hAnsi="Times New Roman"/>
          <w:b/>
          <w:sz w:val="16"/>
        </w:rPr>
        <w:t xml:space="preserve">[2] </w:t>
      </w:r>
      <w:r>
        <w:rPr>
          <w:rFonts w:ascii="Times New Roman" w:hAnsi="Times New Roman"/>
          <w:sz w:val="16"/>
        </w:rPr>
        <w:t>M. López de Prado, Advances in Financial Machine Learning. Hoboken, NJ, USA: Wiley, 2018.</w:t>
      </w:r>
    </w:p>
    <w:p>
      <w:pPr>
        <w:spacing w:before="20" w:after="20"/>
        <w:ind w:left="340" w:hanging="340"/>
        <w:jc w:val="both"/>
      </w:pPr>
      <w:r>
        <w:rPr>
          <w:rFonts w:ascii="Times New Roman" w:hAnsi="Times New Roman"/>
          <w:b/>
          <w:sz w:val="16"/>
        </w:rPr>
        <w:t xml:space="preserve">[3] </w:t>
      </w:r>
      <w:r>
        <w:rPr>
          <w:rFonts w:ascii="Times New Roman" w:hAnsi="Times New Roman"/>
          <w:sz w:val="16"/>
        </w:rPr>
        <w:t>R. Almgren and N. Chriss, "Optimal execution of portfolio transactions," J. Risk, vol. 3, no. 2, pp. 5–40, 2001.</w:t>
      </w:r>
    </w:p>
    <w:p>
      <w:pPr>
        <w:spacing w:before="20" w:after="20"/>
        <w:ind w:left="340" w:hanging="340"/>
        <w:jc w:val="both"/>
      </w:pPr>
      <w:r>
        <w:rPr>
          <w:rFonts w:ascii="Times New Roman" w:hAnsi="Times New Roman"/>
          <w:b/>
          <w:sz w:val="16"/>
        </w:rPr>
        <w:t xml:space="preserve">[4] </w:t>
      </w:r>
      <w:r>
        <w:rPr>
          <w:rFonts w:ascii="Times New Roman" w:hAnsi="Times New Roman"/>
          <w:sz w:val="16"/>
        </w:rPr>
        <w:t>V. Cerqueira, L. Torgo, and I. Mozetič, "Evaluating time series forecasting models: An empirical study on performance estimation methods," Mach. Learn., vol. 109, pp. 1997–2028, 2020.</w:t>
      </w:r>
    </w:p>
    <w:p>
      <w:pPr>
        <w:spacing w:before="20" w:after="20"/>
        <w:ind w:left="340" w:hanging="340"/>
        <w:jc w:val="both"/>
      </w:pPr>
      <w:r>
        <w:rPr>
          <w:rFonts w:ascii="Times New Roman" w:hAnsi="Times New Roman"/>
          <w:b/>
          <w:sz w:val="16"/>
        </w:rPr>
        <w:t xml:space="preserve">[5] </w:t>
      </w:r>
      <w:r>
        <w:rPr>
          <w:rFonts w:ascii="Times New Roman" w:hAnsi="Times New Roman"/>
          <w:sz w:val="16"/>
        </w:rPr>
        <w:t>S. Hochreiter and J. Schmidhuber, "Long short-term memory," Neural Comput., vol. 9, no. 8, pp. 1735–1780, 1997.</w:t>
      </w:r>
    </w:p>
    <w:p>
      <w:pPr>
        <w:spacing w:before="20" w:after="20"/>
        <w:ind w:left="340" w:hanging="340"/>
        <w:jc w:val="both"/>
      </w:pPr>
      <w:r>
        <w:rPr>
          <w:rFonts w:ascii="Times New Roman" w:hAnsi="Times New Roman"/>
          <w:b/>
          <w:sz w:val="16"/>
        </w:rPr>
        <w:t xml:space="preserve">[6] </w:t>
      </w:r>
      <w:r>
        <w:rPr>
          <w:rFonts w:ascii="Times New Roman" w:hAnsi="Times New Roman"/>
          <w:sz w:val="16"/>
        </w:rPr>
        <w:t>S. Bai, J. Z. Kolter, and V. Koltun, "An empirical evaluation of generic convolutional and recurrent networks for sequence modeling," arXiv:1803.01271, 2018.</w:t>
      </w:r>
    </w:p>
    <w:p>
      <w:pPr>
        <w:spacing w:before="20" w:after="20"/>
        <w:ind w:left="340" w:hanging="340"/>
        <w:jc w:val="both"/>
      </w:pPr>
      <w:r>
        <w:rPr>
          <w:rFonts w:ascii="Times New Roman" w:hAnsi="Times New Roman"/>
          <w:b/>
          <w:sz w:val="16"/>
        </w:rPr>
        <w:t xml:space="preserve">[7] </w:t>
      </w:r>
      <w:r>
        <w:rPr>
          <w:rFonts w:ascii="Times New Roman" w:hAnsi="Times New Roman"/>
          <w:sz w:val="16"/>
        </w:rPr>
        <w:t>J. D. Hamilton, "A new approach to the economic analysis of nonstationary time series and the business cycle," Econometrica, vol. 57, no. 2, pp. 357–384, 1989.</w:t>
      </w:r>
    </w:p>
    <w:p>
      <w:pPr>
        <w:spacing w:before="20" w:after="20"/>
        <w:ind w:left="340" w:hanging="340"/>
        <w:jc w:val="both"/>
      </w:pPr>
      <w:r>
        <w:rPr>
          <w:rFonts w:ascii="Times New Roman" w:hAnsi="Times New Roman"/>
          <w:b/>
          <w:sz w:val="16"/>
        </w:rPr>
        <w:t xml:space="preserve">[8] </w:t>
      </w:r>
      <w:r>
        <w:rPr>
          <w:rFonts w:ascii="Times New Roman" w:hAnsi="Times New Roman"/>
          <w:sz w:val="16"/>
        </w:rPr>
        <w:t>A. Ang and A. Timmermann, "Regime changes and financial markets," Annu. Rev. Financial Econ., vol. 4, pp. 313–337, 2012.</w:t>
      </w:r>
    </w:p>
    <w:p>
      <w:pPr>
        <w:spacing w:before="20" w:after="20"/>
        <w:ind w:left="340" w:hanging="340"/>
        <w:jc w:val="both"/>
      </w:pPr>
      <w:r>
        <w:rPr>
          <w:rFonts w:ascii="Times New Roman" w:hAnsi="Times New Roman"/>
          <w:b/>
          <w:sz w:val="16"/>
        </w:rPr>
        <w:t xml:space="preserve">[9] </w:t>
      </w:r>
      <w:r>
        <w:rPr>
          <w:rFonts w:ascii="Times New Roman" w:hAnsi="Times New Roman"/>
          <w:sz w:val="16"/>
        </w:rPr>
        <w:t>P. C. Tetlock, "Giving content to investor sentiment: The role of media in the stock market," J. Finance, vol. 62, no. 3, pp. 1139–1168, 2007.</w:t>
      </w:r>
    </w:p>
    <w:p>
      <w:pPr>
        <w:spacing w:before="20" w:after="20"/>
        <w:ind w:left="340" w:hanging="340"/>
        <w:jc w:val="both"/>
      </w:pPr>
      <w:r>
        <w:rPr>
          <w:rFonts w:ascii="Times New Roman" w:hAnsi="Times New Roman"/>
          <w:b/>
          <w:sz w:val="16"/>
        </w:rPr>
        <w:t xml:space="preserve">[10] </w:t>
      </w:r>
      <w:r>
        <w:rPr>
          <w:rFonts w:ascii="Times New Roman" w:hAnsi="Times New Roman"/>
          <w:sz w:val="16"/>
        </w:rPr>
        <w:t>C. J. Hutto and E. Gilbert, "VADER: A parsimonious rule-based model for sentiment analysis of social media text," in Proc. Int. AAAI Conf. Web Social Media, vol. 8, 2014, pp. 216–225.</w:t>
      </w:r>
    </w:p>
    <w:p>
      <w:pPr>
        <w:spacing w:before="20" w:after="20"/>
        <w:ind w:left="340" w:hanging="340"/>
        <w:jc w:val="both"/>
      </w:pPr>
      <w:r>
        <w:rPr>
          <w:rFonts w:ascii="Times New Roman" w:hAnsi="Times New Roman"/>
          <w:b/>
          <w:sz w:val="16"/>
        </w:rPr>
        <w:t xml:space="preserve">[11] </w:t>
      </w:r>
      <w:r>
        <w:rPr>
          <w:rFonts w:ascii="Times New Roman" w:hAnsi="Times New Roman"/>
          <w:sz w:val="16"/>
        </w:rPr>
        <w:t>Y. Yang, M. C. S. Uy, and A. Huang, "FinBERT: A pretrained language model for financial communications," arXiv:2006.08097, 2020.</w:t>
      </w:r>
    </w:p>
    <w:p>
      <w:pPr>
        <w:spacing w:before="20" w:after="20"/>
        <w:ind w:left="340" w:hanging="340"/>
        <w:jc w:val="both"/>
      </w:pPr>
      <w:r>
        <w:rPr>
          <w:rFonts w:ascii="Times New Roman" w:hAnsi="Times New Roman"/>
          <w:b/>
          <w:sz w:val="16"/>
        </w:rPr>
        <w:t xml:space="preserve">[12] </w:t>
      </w:r>
      <w:r>
        <w:rPr>
          <w:rFonts w:ascii="Times New Roman" w:hAnsi="Times New Roman"/>
          <w:sz w:val="16"/>
        </w:rPr>
        <w:t>D. H. Bailey and M. López de Prado, "The deflated Sharpe ratio: Correcting for selection bias, backtest overfitting, and non-normality," J. Portfolio Manage., vol. 40, no. 5, pp. 94–107, 2014.</w:t>
      </w:r>
    </w:p>
    <w:p>
      <w:pPr>
        <w:spacing w:before="20" w:after="20"/>
        <w:ind w:left="340" w:hanging="340"/>
        <w:jc w:val="both"/>
      </w:pPr>
      <w:r>
        <w:rPr>
          <w:rFonts w:ascii="Times New Roman" w:hAnsi="Times New Roman"/>
          <w:b/>
          <w:sz w:val="16"/>
        </w:rPr>
        <w:t xml:space="preserve">[13] </w:t>
      </w:r>
      <w:r>
        <w:rPr>
          <w:rFonts w:ascii="Times New Roman" w:hAnsi="Times New Roman"/>
          <w:sz w:val="16"/>
        </w:rPr>
        <w:t>N. Reimers and I. Gurevych, "Sentence-BERT: Sentence embeddings using Siamese BERT-networks," in Proc. Conf. Empirical Methods Natural Language Processing, 2019, pp. 3982–3992.</w:t>
      </w:r>
    </w:p>
    <w:p>
      <w:pPr>
        <w:spacing w:before="20" w:after="20"/>
        <w:ind w:left="340" w:hanging="340"/>
        <w:jc w:val="both"/>
      </w:pPr>
      <w:r>
        <w:rPr>
          <w:rFonts w:ascii="Times New Roman" w:hAnsi="Times New Roman"/>
          <w:b/>
          <w:sz w:val="16"/>
        </w:rPr>
        <w:t xml:space="preserve">[14] </w:t>
      </w:r>
      <w:r>
        <w:rPr>
          <w:rFonts w:ascii="Times New Roman" w:hAnsi="Times New Roman"/>
          <w:sz w:val="16"/>
        </w:rPr>
        <w:t>M. Guidolin and A. Timmermann, "Asset allocation under multivariate regime switching," J. Econ. Dyn. Control, vol. 31, no. 11, pp. 3503–3544, 2007.</w:t>
      </w:r>
    </w:p>
    <w:p/>
    <w:p>
      <w:pPr>
        <w:spacing w:before="240"/>
        <w:jc w:val="center"/>
      </w:pPr>
      <w:r>
        <w:rPr>
          <w:rFonts w:ascii="Times New Roman" w:hAnsi="Times New Roman"/>
          <w:i/>
          <w:color w:val="787878"/>
          <w:sz w:val="14"/>
        </w:rPr>
        <w:t>Disclaimer: Clearward is a research platform for educational purposes only. It does not provide investment advice, buy/sell recommendations, or price targets. All predictions are displayed as "POSITIVE BIAS" / "NEGATIVE BIAS" / "CONSOLIDATION" in compliance with SEBI non-advisory guidelines.</w:t>
      </w:r>
    </w:p>
    <w:sectPr w:rsidR="00FC693F" w:rsidRPr="0006063C" w:rsidSect="00034616">
      <w:pgSz w:w="12240" w:h="15840"/>
      <w:pgMar w:top="1440"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