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B757" w14:textId="1141CFCD" w:rsidR="004F16DB" w:rsidRDefault="004F16DB" w:rsidP="004F16DB">
      <w:r>
        <w:t>the sample/template for</w:t>
      </w:r>
      <w:r>
        <w:t xml:space="preserve"> 3 Key Stories of Accomplishments</w:t>
      </w:r>
    </w:p>
    <w:p w14:paraId="15598A72" w14:textId="77777777" w:rsidR="004F16DB" w:rsidRDefault="004F16DB" w:rsidP="004F16DB"/>
    <w:p w14:paraId="2720F934" w14:textId="77777777" w:rsidR="004F16DB" w:rsidRDefault="004F16DB" w:rsidP="004F16DB">
      <w:r>
        <w:t>My 3C-Suite Story</w:t>
      </w:r>
    </w:p>
    <w:p w14:paraId="370505CD" w14:textId="77777777" w:rsidR="004F16DB" w:rsidRDefault="004F16DB" w:rsidP="004F16DB">
      <w:r>
        <w:t>Story 1: Turning Litigation Risk into a Landmark Victory</w:t>
      </w:r>
    </w:p>
    <w:p w14:paraId="56BC4F01" w14:textId="77777777" w:rsidR="004F16DB" w:rsidRDefault="004F16DB" w:rsidP="004F16DB">
      <w:r>
        <w:t>In a high-stakes SIAC arbitration that threatened financial stability, I led final negotiations with precision, empathy, and commercial foresight.</w:t>
      </w:r>
    </w:p>
    <w:p w14:paraId="112FC8C9" w14:textId="77777777" w:rsidR="004F16DB" w:rsidRDefault="004F16DB" w:rsidP="004F16DB">
      <w:r>
        <w:t>By closing the matter strategically, I saved the company USD 40 million, transforming a potential liability into a powerful demonstration of legal and business leadership.</w:t>
      </w:r>
    </w:p>
    <w:p w14:paraId="71367E50" w14:textId="77777777" w:rsidR="004F16DB" w:rsidRDefault="004F16DB" w:rsidP="004F16DB"/>
    <w:p w14:paraId="5298C536" w14:textId="77777777" w:rsidR="004F16DB" w:rsidRDefault="004F16DB" w:rsidP="004F16DB">
      <w:r>
        <w:t>Story 2: Breathing Life into Written-Off Assets</w:t>
      </w:r>
    </w:p>
    <w:p w14:paraId="49D29616" w14:textId="77777777" w:rsidR="004F16DB" w:rsidRDefault="004F16DB" w:rsidP="004F16DB">
      <w:r>
        <w:t>When the company had accepted AED 15 million as unrecoverable, I challenged that assumption by driving proactive enforcement actions with persistence and vision.</w:t>
      </w:r>
    </w:p>
    <w:p w14:paraId="2ED4B24B" w14:textId="77777777" w:rsidR="004F16DB" w:rsidRDefault="004F16DB" w:rsidP="004F16DB">
      <w:r>
        <w:t>The result was a full recovery of funds—AED 15 million restored to the balance sheet, turning a loss into a remarkable business win and reinforcing trust in legal strategy.</w:t>
      </w:r>
    </w:p>
    <w:p w14:paraId="30C8BB18" w14:textId="77777777" w:rsidR="004F16DB" w:rsidRDefault="004F16DB" w:rsidP="004F16DB"/>
    <w:p w14:paraId="1FBE4503" w14:textId="77777777" w:rsidR="004F16DB" w:rsidRDefault="004F16DB" w:rsidP="004F16DB">
      <w:r>
        <w:t>Story 3: Redefining Contract Governance Across Borders</w:t>
      </w:r>
    </w:p>
    <w:p w14:paraId="616A4DE4" w14:textId="77777777" w:rsidR="004F16DB" w:rsidRDefault="004F16DB" w:rsidP="004F16DB">
      <w:r>
        <w:t>Faced with the renewal of over 9,000 international contracts, I meticulously reviewed and enhanced each with a balance of risk management and commercial value.</w:t>
      </w:r>
    </w:p>
    <w:p w14:paraId="5994BA1F" w14:textId="463B20CF" w:rsidR="004F16DB" w:rsidRDefault="004F16DB" w:rsidP="004F16DB">
      <w:r>
        <w:t>Through strategic amendments and annexures, I achieved a 95% improvement in contractual risk mitigation, strengthening the company’s resilience in global markets.</w:t>
      </w:r>
    </w:p>
    <w:sectPr w:rsidR="004F1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DB"/>
    <w:rsid w:val="004F16DB"/>
    <w:rsid w:val="00B2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81795"/>
  <w15:chartTrackingRefBased/>
  <w15:docId w15:val="{9FCB3113-5D50-42E2-BACD-F13B65A3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 Das</dc:creator>
  <cp:keywords/>
  <dc:description/>
  <cp:lastModifiedBy>Baby Das</cp:lastModifiedBy>
  <cp:revision>1</cp:revision>
  <dcterms:created xsi:type="dcterms:W3CDTF">2026-05-30T12:10:00Z</dcterms:created>
  <dcterms:modified xsi:type="dcterms:W3CDTF">2026-05-30T12:11:00Z</dcterms:modified>
</cp:coreProperties>
</file>