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>La </w:t>
      </w:r>
      <w:r>
        <w:rPr>
          <w:rFonts w:cs="Calibri" w:ascii="Calibri" w:hAnsi="Calibri"/>
          <w:b/>
          <w:bCs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> , considerando la salvaguardia dell’ambiente essenziale per la qualità della vita e per uno sviluppo sostenibile, con il presente documento di Politica Ambientale intende: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esprimere la propria volontà di contemperare le esigenze di sviluppo economico e di creazione di valore con il rispetto e la salvaguardia ambientale;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esplicitare le linee guida aziendali per la tutela ambientale;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condividere con le parti interessate (dipendenti, collaboratori, appaltatori, associazioni sindacali, istituzioni, cittadini, ecc.) i relativi principi gestionali;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favorire la partecipazione e la collaborazione di tutte le parti interessate, nella consapevolezza che, per il raggiungimento degli obiettivi legati alla tutela ambientale, sia determinante il loro contributo attivo;</w:t>
      </w:r>
    </w:p>
    <w:p>
      <w:pPr>
        <w:pStyle w:val="Normal"/>
        <w:numPr>
          <w:ilvl w:val="0"/>
          <w:numId w:val="3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attuare, documentare e mantenere attivo un Sistema di gestione ambientale conforme a quanto previsto dalla norma ISO 14001:2015 e ottenere la sua certificazione da parte di un Organismo accreditato.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>La </w:t>
      </w:r>
      <w:r>
        <w:rPr>
          <w:rFonts w:cs="Calibri" w:ascii="Calibri" w:hAnsi="Calibri"/>
          <w:b/>
          <w:bCs/>
          <w:sz w:val="24"/>
          <w:szCs w:val="24"/>
        </w:rPr>
        <w:t xml:space="preserve">Politica ambientale </w:t>
      </w:r>
      <w:r>
        <w:rPr>
          <w:rFonts w:cs="Calibri" w:ascii="Calibri" w:hAnsi="Calibri"/>
          <w:sz w:val="24"/>
          <w:szCs w:val="24"/>
        </w:rPr>
        <w:t>si concretizza nei seguenti principi gestionali: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rispetto integrale della legislazione vigente (inclusa ogni altra prescrizione ambientale sottoscritta dall’azienda), della normativa di riferimento e delle procedure aziendali in materia di protezione ambientale;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impiego di processi e tecnologie che prevengano e/o riducano gli impatti sull’ambiente;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gestione delle attività produttive in modo da ridurre gli impatti ambientali ad essa direttamente connessi, con particolare attenzione alla gestione dei rifiuti prodotti e ai rischi legati all’utilizzo di sostanze inquinanti;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utilizzo di mezzi e materiali che presentino caratteristiche conformi alla legislazione ambientale vigente, bassi consumi, basso impatto ambientale, riciclabilità;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diffusione all’interno dell’azienda, mediante una costante azione di sensibilizzazione, di una cultura volta alla messa in atto delle forme di comportamento corrette sotto il profilo della tutela dell’ambiente e del territorio;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sviluppo, mediante la formazione e l’informazione, delle competenze professionali e dell’impegno ad operare nel rispetto delle procedure di prevenzione e protezione;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coinvolgimento e partecipazione del personale al processo di miglioramento continuo e alla prevenzione in materia di tutela ambientale;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incremento delle performance ambientali e dei conseguenti livelli di benessere fisico ed intellettuale dei lavoratori, tramite una organizzazione del lavoro finalizzata allo scopo e la messa a disposizione di adeguate risorse economiche, umane e tecnologiche;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sviluppo della consapevolezza generalizzata che la responsabilità della tutela ambientale è affidata a tutti i lavoratori, ai vari livelli aziendali, ciascuno secondo le proprie competenze;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coinvolgimento delle imprese appaltatrici che operano per </w:t>
      </w:r>
      <w:r>
        <w:rPr>
          <w:rFonts w:cs="Calibri" w:ascii="Calibri" w:hAnsi="Calibri"/>
          <w:b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 xml:space="preserve"> nella tutela ambientale, in particolare mediante la comunicazione della politica e degli obiettivi, nonché la cooperazione ed il coordinamento in ogni fase del rapporto contrattuale in tema di prestazioni ambientali;</w:t>
      </w:r>
    </w:p>
    <w:p>
      <w:pPr>
        <w:pStyle w:val="Normal"/>
        <w:numPr>
          <w:ilvl w:val="0"/>
          <w:numId w:val="4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 continua della gestione della tutela ambientale, attraverso l’analisi critica dei risultati conseguiti e la revisione dei principi sopra riportati e del Sistema di gestione ambientale.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 xml:space="preserve">La presente Politica è orientata alla prevenzione (in particolare di ogni tipo di inquinamento) e rappresenta la guida per il miglioramento continuo delle prestazioni ambientali e del relativo Sistema di gestione (anche attraverso la ricerca del costante aggiornamento delle tecnologie impiegate e delle migliori conoscenze a livello scientifico); costituisce inoltre il quadro di riferimento per la definizione e il riesame degli obiettivi ambientali da parte di </w:t>
      </w:r>
      <w:r>
        <w:rPr>
          <w:rFonts w:cs="Calibri" w:ascii="Calibri" w:hAnsi="Calibri"/>
          <w:b/>
          <w:sz w:val="24"/>
          <w:szCs w:val="24"/>
        </w:rPr>
        <w:t>NOME_AZIENDA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hd w:fill="FFFFFF" w:val="clear"/>
        <w:spacing w:lineRule="atLeast" w:line="288" w:before="0" w:after="264"/>
        <w:jc w:val="both"/>
        <w:rPr/>
      </w:pPr>
      <w:r>
        <w:rPr>
          <w:rFonts w:cs="Calibri" w:ascii="Calibri" w:hAnsi="Calibri"/>
          <w:sz w:val="24"/>
          <w:szCs w:val="24"/>
        </w:rPr>
        <w:t xml:space="preserve">Tali obiettivi tengono conto degli aspetti ambientali propri di </w:t>
      </w:r>
      <w:r>
        <w:rPr>
          <w:rFonts w:cs="Calibri" w:ascii="Calibri" w:hAnsi="Calibri"/>
          <w:b/>
          <w:sz w:val="24"/>
          <w:szCs w:val="24"/>
        </w:rPr>
        <w:t xml:space="preserve">NOME_AZIENDA </w:t>
      </w:r>
      <w:r>
        <w:rPr>
          <w:rFonts w:cs="Calibri" w:ascii="Calibri" w:hAnsi="Calibri"/>
          <w:sz w:val="24"/>
          <w:szCs w:val="24"/>
        </w:rPr>
        <w:t>, come descritto nel Sistema di gestione ambientale.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Direzione è impegnata nell’attuazione dei principi della Politica ambientale e degli obiettivi che da essa discendono e a tale scopo mettono a disposizione la struttura e le risorse necessarie; inoltre effettua un monitoraggio periodico del raggiungimento degli obiettivi e, ove necessario, promuovono gli opportuni interventi correttivi o migliorativi.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Politica ambientale ha anche un ruolo di documento di comunicazione aziendale; per dargli la massima diffusione, all’interno della Società il suddetto documento è a disposizione degli operatori essendo esposto nelle bacheche aziendali; per tutte le altre parti interessate è disponibile sul sito internet aziendale.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È compito dei Responsabili di Funzione:</w:t>
      </w:r>
    </w:p>
    <w:p>
      <w:pPr>
        <w:pStyle w:val="Normal"/>
        <w:numPr>
          <w:ilvl w:val="0"/>
          <w:numId w:val="2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verificare che tale documento sia compreso dai propri collaboratori e, se necessario, fornire i chiarimenti richiesti;</w:t>
      </w:r>
    </w:p>
    <w:p>
      <w:pPr>
        <w:pStyle w:val="Normal"/>
        <w:numPr>
          <w:ilvl w:val="0"/>
          <w:numId w:val="2"/>
        </w:numPr>
        <w:shd w:fill="FFFFFF" w:val="clear"/>
        <w:spacing w:before="100" w:after="10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adottare gli opportuni provvedimenti, affinché i dipendenti operino in modo corretto da un punto di vista del rispetto ambientale nello svolgimento delle proprie mansioni.</w:t>
      </w:r>
    </w:p>
    <w:p>
      <w:pPr>
        <w:pStyle w:val="Normal"/>
        <w:shd w:fill="FFFFFF" w:val="clear"/>
        <w:spacing w:lineRule="atLeast" w:line="288" w:before="0" w:after="264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Politica è periodicamente riesaminata e revisionata di regola nell’ambito del riesame della Direzione annuale per tenere conto di nuove direttive della Direzione e/o dei cambiamenti avvenuti.</w:t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Luogo, lì </w:t>
      </w:r>
      <w:r>
        <w:rPr>
          <w:rFonts w:cs="Calibri" w:ascii="Calibri" w:hAnsi="Calibri"/>
          <w:b/>
          <w:sz w:val="24"/>
          <w:szCs w:val="24"/>
        </w:rPr>
        <w:t>[INSERIRE DATA]</w:t>
      </w:r>
      <w:r>
        <w:rPr>
          <w:rFonts w:cs="Calibri" w:ascii="Calibri" w:hAnsi="Calibri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DGE</w:t>
      </w:r>
      <w:r>
        <w:rPr>
          <w:rFonts w:cs="Calibri" w:ascii="Calibri" w:hAnsi="Calibri"/>
          <w:sz w:val="24"/>
          <w:szCs w:val="24"/>
        </w:rPr>
        <w:t xml:space="preserve"> ___________________ </w:t>
      </w:r>
    </w:p>
    <w:p>
      <w:pPr>
        <w:pStyle w:val="Normal"/>
        <w:tabs>
          <w:tab w:val="clear" w:pos="708"/>
          <w:tab w:val="left" w:pos="284" w:leader="none"/>
          <w:tab w:val="left" w:pos="567" w:leader="none"/>
          <w:tab w:val="left" w:pos="851" w:leader="none"/>
          <w:tab w:val="left" w:pos="1134" w:leader="none"/>
        </w:tabs>
        <w:spacing w:lineRule="auto" w:line="360"/>
        <w:ind w:end="-1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      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2269" w:footer="72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ms Rmn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Garamond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start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576"/>
      <w:gridCol w:w="1134"/>
    </w:tblGrid>
    <w:tr>
      <w:trPr>
        <w:trHeight w:val="261" w:hRule="atLeast"/>
      </w:trPr>
      <w:tc>
        <w:tcPr>
          <w:tcW w:w="85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Footer"/>
            <w:rPr>
              <w:rFonts w:ascii="Calibri" w:hAnsi="Calibri" w:cs="Calibri"/>
            </w:rPr>
          </w:pPr>
          <w:r>
            <w:rPr>
              <w:rFonts w:cs="Calibri" w:ascii="Calibri" w:hAnsi="Calibri"/>
              <w:b/>
            </w:rPr>
            <w:t>Allegato 1 – Politica ambientale</w:t>
          </w:r>
          <w:r>
            <w:rPr>
              <w:rFonts w:cs="Calibri" w:ascii="Calibri" w:hAnsi="Calibri"/>
            </w:rPr>
            <w:t xml:space="preserve">   </w:t>
          </w:r>
        </w:p>
      </w:tc>
      <w:tc>
        <w:tcPr>
          <w:tcW w:w="1134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Footer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3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</w:t>
          </w:r>
          <w:r>
            <w:rPr>
              <w:rStyle w:val="PageNumber"/>
              <w:rFonts w:cs="Calibri" w:ascii="Calibri" w:hAnsi="Calibri"/>
            </w:rPr>
            <w:fldChar w:fldCharType="begin"/>
          </w:r>
          <w:r>
            <w:rPr>
              <w:rStyle w:val="PageNumber"/>
              <w:rFonts w:cs="Calibri" w:ascii="Calibri" w:hAnsi="Calibri"/>
            </w:rPr>
            <w:instrText xml:space="preserve"> NUMPAGES \* ARABIC </w:instrText>
          </w:r>
          <w:r>
            <w:rPr>
              <w:rStyle w:val="PageNumber"/>
              <w:rFonts w:cs="Calibri" w:ascii="Calibri" w:hAnsi="Calibri"/>
            </w:rPr>
            <w:fldChar w:fldCharType="separate"/>
          </w:r>
          <w:r>
            <w:rPr>
              <w:rStyle w:val="PageNumber"/>
              <w:rFonts w:cs="Calibri" w:ascii="Calibri" w:hAnsi="Calibri"/>
            </w:rPr>
            <w:t>3</w:t>
          </w:r>
          <w:r>
            <w:rPr>
              <w:rStyle w:val="PageNumber"/>
              <w:rFonts w:cs="Calibri" w:ascii="Calibri" w:hAnsi="Calibri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200" w:type="pct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838"/>
      <w:gridCol w:w="5284"/>
      <w:gridCol w:w="1901"/>
    </w:tblGrid>
    <w:tr>
      <w:trPr>
        <w:trHeight w:val="1788" w:hRule="atLeast"/>
        <w:cantSplit w:val="true"/>
      </w:trPr>
      <w:tc>
        <w:tcPr>
          <w:tcW w:w="2838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4"/>
            <w:snapToGrid w:val="false"/>
            <w:spacing w:before="240" w:after="60"/>
            <w:ind w:hanging="0" w:start="0"/>
            <w:jc w:val="center"/>
            <w:rPr/>
          </w:pPr>
          <w:r>
            <w:rPr/>
          </w:r>
        </w:p>
      </w:tc>
      <w:tc>
        <w:tcPr>
          <w:tcW w:w="528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9D9D9" w:val="clear"/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sz w:val="28"/>
              <w:szCs w:val="28"/>
              <w:lang w:val="it-IT" w:eastAsia="it-IT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  <w:p>
          <w:pPr>
            <w:pStyle w:val="Header"/>
            <w:shd w:fill="D9D9D9" w:val="clea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  <w:t>Politica Ambientale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</w:tc>
      <w:tc>
        <w:tcPr>
          <w:tcW w:w="190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napToGrid w:val="false"/>
            <w:jc w:val="center"/>
            <w:rPr>
              <w:rFonts w:ascii="Calibri" w:hAnsi="Calibri" w:cs="Calibri"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sz w:val="28"/>
              <w:szCs w:val="28"/>
              <w:lang w:val="it-IT" w:eastAsia="it-IT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  <w:szCs w:val="28"/>
              <w:lang w:val="it-IT" w:eastAsia="it-IT"/>
            </w:rPr>
          </w:pPr>
          <w:r>
            <w:rPr>
              <w:rFonts w:cs="Arial" w:ascii="Arial Narrow" w:hAnsi="Arial Narrow"/>
              <w:b/>
              <w:sz w:val="22"/>
              <w:szCs w:val="28"/>
              <w:lang w:val="it-IT" w:eastAsia="it-IT"/>
            </w:rPr>
          </w:r>
        </w:p>
        <w:p>
          <w:pPr>
            <w:pStyle w:val="Normal"/>
            <w:jc w:val="center"/>
            <w:rPr>
              <w:rFonts w:ascii="Arial Narrow" w:hAnsi="Arial Narrow" w:cs="Arial"/>
              <w:b/>
              <w:sz w:val="22"/>
            </w:rPr>
          </w:pPr>
          <w:r>
            <w:rPr>
              <w:rFonts w:cs="Arial" w:ascii="Arial Narrow" w:hAnsi="Arial Narrow"/>
              <w:b/>
              <w:sz w:val="22"/>
            </w:rPr>
            <w:t>Manuale SGA</w:t>
          </w:r>
        </w:p>
        <w:p>
          <w:pPr>
            <w:pStyle w:val="Header"/>
            <w:rPr>
              <w:rFonts w:ascii="Arial Narrow" w:hAnsi="Arial Narrow" w:cs="Arial"/>
              <w:b/>
              <w:sz w:val="22"/>
              <w:lang w:val="it-IT" w:eastAsia="it-IT"/>
            </w:rPr>
          </w:pPr>
          <w:r>
            <w:rPr>
              <w:rFonts w:cs="Arial" w:ascii="Arial Narrow" w:hAnsi="Arial Narrow"/>
              <w:b/>
              <w:sz w:val="22"/>
              <w:lang w:val="it-IT" w:eastAsia="it-IT"/>
            </w:rPr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8"/>
              <w:szCs w:val="28"/>
              <w:lang w:val="it-IT" w:eastAsia="it-IT"/>
            </w:rPr>
          </w:pPr>
          <w:r>
            <w:rPr>
              <w:rFonts w:cs="Calibri" w:ascii="Calibri" w:hAnsi="Calibri"/>
              <w:b/>
              <w:sz w:val="28"/>
              <w:szCs w:val="28"/>
              <w:lang w:val="it-IT" w:eastAsia="it-IT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lowerLetter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Letter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lowerLetter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Letter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lowerLetter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Letter"/>
      <w:lvlText w:val="%9."/>
      <w:lvlJc w:val="start"/>
      <w:pPr>
        <w:tabs>
          <w:tab w:val="num" w:pos="6480"/>
        </w:tabs>
        <w:ind w:star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ms Rmn;Times New Roman" w:hAnsi="Tms Rmn;Times New Roman" w:eastAsia="Times New Roman" w:cs="Tms Rmn;Times New Roman"/>
      <w:color w:val="auto"/>
      <w:sz w:val="20"/>
      <w:szCs w:val="20"/>
      <w:lang w:val="it-IT" w:bidi="ar-SA" w:eastAsia="zh-CN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142" w:start="0" w:end="0"/>
      <w:jc w:val="both"/>
      <w:outlineLvl w:val="4"/>
    </w:pPr>
    <w:rPr>
      <w:b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284" w:leader="none"/>
        <w:tab w:val="left" w:pos="567" w:leader="none"/>
        <w:tab w:val="left" w:pos="851" w:leader="none"/>
        <w:tab w:val="left" w:pos="1134" w:leader="none"/>
      </w:tabs>
      <w:ind w:hanging="0" w:start="0" w:end="-1"/>
      <w:jc w:val="both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b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709" w:start="0" w:end="0"/>
      <w:jc w:val="both"/>
      <w:outlineLvl w:val="7"/>
    </w:pPr>
    <w:rPr>
      <w:b/>
      <w:sz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Garamond" w:hAnsi="Garamond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>
      <w:rFonts w:ascii="Garamond" w:hAnsi="Garamond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u w:val="single"/>
    </w:rPr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Garamond" w:hAnsi="Garamond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cs="Times New Roman"/>
      <w:b/>
      <w:i w:val="false"/>
      <w:sz w:val="24"/>
      <w:u w:val="none"/>
    </w:rPr>
  </w:style>
  <w:style w:type="character" w:styleId="WW8NumSt2z0">
    <w:name w:val="WW8NumSt2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Titolo4Carattere">
    <w:name w:val="Titolo 4 Carattere"/>
    <w:basedOn w:val="Carpredefinitoparagrafo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IntestazioneCarattere">
    <w:name w:val="Intestazione Carattere"/>
    <w:qFormat/>
    <w:rPr>
      <w:rFonts w:ascii="Tms Rmn;Times New Roman" w:hAnsi="Tms Rmn;Times New Roman" w:cs="Tms Rmn;Times New Roman"/>
    </w:rPr>
  </w:style>
  <w:style w:type="character" w:styleId="Strong">
    <w:name w:val="Strong"/>
    <w:basedOn w:val="Carpredefinitoparagrafo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567" w:leader="none"/>
        <w:tab w:val="left" w:pos="993" w:leader="none"/>
        <w:tab w:val="left" w:pos="1134" w:leader="none"/>
      </w:tabs>
      <w:ind w:hanging="0" w:start="0" w:end="-1"/>
    </w:pPr>
    <w:rPr>
      <w:b/>
      <w:sz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Garamond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NormaleWeb">
    <w:name w:val="Normale (Web)"/>
    <w:basedOn w:val="Normal"/>
    <w:qFormat/>
    <w:pPr>
      <w:spacing w:before="100" w:after="100"/>
    </w:pPr>
    <w:rPr>
      <w:rFonts w:ascii="Times New Roman" w:hAnsi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