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/>
        <w:rPr>
          <w:rFonts w:ascii="Arial" w:hAnsi="Arial" w:cs="Arial"/>
          <w:b/>
          <w:sz w:val="28"/>
          <w:szCs w:val="28"/>
          <w:u w:val="single"/>
        </w:rPr>
      </w:pPr>
      <w:r>
        <w:rPr>
          <w:rFonts w:cs="Arial" w:ascii="Arial" w:hAnsi="Arial"/>
          <w:b/>
          <w:sz w:val="28"/>
          <w:szCs w:val="28"/>
          <w:u w:val="single"/>
        </w:rPr>
      </w:r>
    </w:p>
    <w:p>
      <w:pPr>
        <w:pStyle w:val="Normal"/>
        <w:ind w:start="-540" w:end="0"/>
        <w:jc w:val="center"/>
        <w:rPr>
          <w:rFonts w:ascii="Arial" w:hAnsi="Arial" w:cs="Arial"/>
          <w:b/>
        </w:rPr>
      </w:pPr>
      <w:r>
        <w:rPr>
          <w:rFonts w:eastAsia="Arial" w:cs="Arial" w:ascii="Arial" w:hAnsi="Arial"/>
          <w:b/>
          <w:sz w:val="28"/>
          <w:szCs w:val="28"/>
        </w:rPr>
        <w:t xml:space="preserve">       </w:t>
      </w:r>
      <w:r>
        <w:rPr>
          <w:rFonts w:cs="Arial" w:ascii="Arial" w:hAnsi="Arial"/>
          <w:b/>
          <w:sz w:val="28"/>
          <w:szCs w:val="28"/>
        </w:rPr>
        <w:t>ISO 14001:2015 Checklist</w:t>
      </w:r>
    </w:p>
    <w:p>
      <w:pPr>
        <w:pStyle w:val="Normal"/>
        <w:ind w:start="-540" w:end="0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"/>
        <w:rPr>
          <w:rFonts w:ascii="Arial" w:hAnsi="Arial" w:cs="Arial"/>
          <w:b/>
          <w:sz w:val="16"/>
          <w:szCs w:val="16"/>
        </w:rPr>
      </w:pPr>
      <w:r>
        <w:rPr>
          <w:rFonts w:cs="Arial" w:ascii="Arial" w:hAnsi="Arial"/>
          <w:b/>
          <w:sz w:val="16"/>
          <w:szCs w:val="16"/>
        </w:rPr>
        <w:t>Instructions:</w:t>
      </w:r>
    </w:p>
    <w:p>
      <w:pPr>
        <w:pStyle w:val="Normal"/>
        <w:numPr>
          <w:ilvl w:val="0"/>
          <w:numId w:val="5"/>
        </w:numPr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Highlighted areas are to be completed by the Client Organization prior to the off-site review, or on-site Gap Analysis or Upgrade Audit, and submitted to the NSF-ISR Lead Auditor for review.</w:t>
      </w:r>
    </w:p>
    <w:p>
      <w:pPr>
        <w:pStyle w:val="Normal"/>
        <w:numPr>
          <w:ilvl w:val="0"/>
          <w:numId w:val="5"/>
        </w:numPr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 xml:space="preserve">The </w:t>
      </w:r>
      <w:r>
        <w:rPr>
          <w:rFonts w:cs="Arial" w:ascii="Arial" w:hAnsi="Arial"/>
          <w:b/>
          <w:sz w:val="16"/>
          <w:szCs w:val="16"/>
        </w:rPr>
        <w:t xml:space="preserve">Annex A - ISO 14001: 2015 vs. ISO 14001: 2004 Comparison Table </w:t>
      </w:r>
      <w:r>
        <w:rPr>
          <w:rFonts w:cs="Arial" w:ascii="Arial" w:hAnsi="Arial"/>
          <w:sz w:val="16"/>
          <w:szCs w:val="16"/>
        </w:rPr>
        <w:t>has been provided at the end of this document for information and reference purposes only.</w:t>
      </w:r>
    </w:p>
    <w:p>
      <w:pPr>
        <w:pStyle w:val="Normal"/>
        <w:numPr>
          <w:ilvl w:val="0"/>
          <w:numId w:val="5"/>
        </w:numPr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Completion by the Client Organization should include the final statement of readiness for Upgrade by the Top Management of the Client Organization.</w:t>
      </w:r>
    </w:p>
    <w:p>
      <w:pPr>
        <w:pStyle w:val="Normal"/>
        <w:numPr>
          <w:ilvl w:val="0"/>
          <w:numId w:val="5"/>
        </w:numPr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The columns for “Planned Completion Date” and Responsibility” may be used by the Client Organization to develop their plan for upgrading their EMS to the requirements of ISO 14001: 2015.</w:t>
      </w:r>
    </w:p>
    <w:p>
      <w:pPr>
        <w:pStyle w:val="Normal"/>
        <w:numPr>
          <w:ilvl w:val="0"/>
          <w:numId w:val="5"/>
        </w:numPr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All other areas of the Checklist are required to be completed by the NSF-ISR Lead Auditor to confirm the effective implementation of the Client Organization’s ISO 14001: 2015 Environmental Management System.</w:t>
      </w:r>
    </w:p>
    <w:p>
      <w:pPr>
        <w:pStyle w:val="Normal"/>
        <w:numPr>
          <w:ilvl w:val="0"/>
          <w:numId w:val="5"/>
        </w:numPr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 xml:space="preserve">The Lead Auditor shall sign the appropriate sections at the end of the Checklist to indicate: whether the Client Organization is Ready/Not Ready for Upgrade Audit (Off-site review), </w:t>
      </w:r>
      <w:r>
        <w:rPr>
          <w:rFonts w:cs="Arial" w:ascii="Arial" w:hAnsi="Arial"/>
          <w:b/>
          <w:sz w:val="16"/>
          <w:szCs w:val="16"/>
          <w:u w:val="single"/>
        </w:rPr>
        <w:t>AND</w:t>
      </w:r>
      <w:r>
        <w:rPr>
          <w:rFonts w:cs="Arial" w:ascii="Arial" w:hAnsi="Arial"/>
          <w:sz w:val="16"/>
          <w:szCs w:val="16"/>
        </w:rPr>
        <w:t xml:space="preserve"> the final approval of the EMS in meeting the requirements of ISO 14001: 2015 (during the on-site Upgrade Audit)</w:t>
      </w:r>
    </w:p>
    <w:p>
      <w:pPr>
        <w:pStyle w:val="Normal"/>
        <w:numPr>
          <w:ilvl w:val="0"/>
          <w:numId w:val="5"/>
        </w:numPr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This checklist shall be submitted by the NSF-ISR Lead Auditor as one of the records of the ISO 14001: 2015 Upgrade for the Client Organization.</w:t>
      </w:r>
    </w:p>
    <w:p>
      <w:pPr>
        <w:pStyle w:val="Normal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</w:r>
    </w:p>
    <w:tbl>
      <w:tblPr>
        <w:tblW w:w="13318" w:type="dxa"/>
        <w:jc w:val="start"/>
        <w:tblInd w:w="71" w:type="dxa"/>
        <w:tblLayout w:type="fixed"/>
        <w:tblCellMar>
          <w:top w:w="0" w:type="dxa"/>
          <w:start w:w="71" w:type="dxa"/>
          <w:bottom w:w="0" w:type="dxa"/>
          <w:end w:w="71" w:type="dxa"/>
        </w:tblCellMar>
      </w:tblPr>
      <w:tblGrid>
        <w:gridCol w:w="5051"/>
        <w:gridCol w:w="8267"/>
      </w:tblGrid>
      <w:tr>
        <w:trPr>
          <w:trHeight w:val="360" w:hRule="atLeast"/>
          <w:cantSplit w:val="true"/>
        </w:trPr>
        <w:tc>
          <w:tcPr>
            <w:tcW w:w="505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FFF99" w:val="clear"/>
            <w:vAlign w:val="center"/>
          </w:tcPr>
          <w:p>
            <w:pPr>
              <w:pStyle w:val="Normal"/>
              <w:rPr>
                <w:rFonts w:ascii="Arial" w:hAnsi="Arial" w:cs="Arial"/>
                <w:b/>
                <w:szCs w:val="20"/>
              </w:rPr>
            </w:pPr>
            <w:r>
              <w:rPr>
                <w:rFonts w:cs="Arial" w:ascii="Arial" w:hAnsi="Arial"/>
                <w:b/>
                <w:szCs w:val="20"/>
              </w:rPr>
              <w:t>Organization Name:</w:t>
            </w:r>
          </w:p>
        </w:tc>
        <w:tc>
          <w:tcPr>
            <w:tcW w:w="82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FFF99" w:val="clear"/>
            <w:vAlign w:val="center"/>
          </w:tcPr>
          <w:p>
            <w:pPr>
              <w:pStyle w:val="Normal"/>
              <w:snapToGrid w:val="false"/>
              <w:ind w:end="60"/>
              <w:rPr>
                <w:rFonts w:ascii="Arial" w:hAnsi="Arial" w:cs="Arial"/>
                <w:b/>
                <w:sz w:val="24"/>
                <w:szCs w:val="20"/>
                <w:lang w:val="fr-FR"/>
              </w:rPr>
            </w:pPr>
            <w:r>
              <w:rPr>
                <w:rFonts w:cs="Arial" w:ascii="Arial" w:hAnsi="Arial"/>
                <w:b/>
                <w:sz w:val="24"/>
                <w:szCs w:val="20"/>
                <w:lang w:val="fr-FR"/>
              </w:rPr>
            </w:r>
          </w:p>
        </w:tc>
      </w:tr>
      <w:tr>
        <w:trPr>
          <w:trHeight w:val="360" w:hRule="atLeast"/>
          <w:cantSplit w:val="true"/>
        </w:trPr>
        <w:tc>
          <w:tcPr>
            <w:tcW w:w="505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FFF99" w:val="clear"/>
            <w:vAlign w:val="center"/>
          </w:tcPr>
          <w:p>
            <w:pPr>
              <w:pStyle w:val="Normal"/>
              <w:rPr>
                <w:rFonts w:ascii="Arial" w:hAnsi="Arial" w:cs="Arial"/>
                <w:b/>
                <w:szCs w:val="20"/>
              </w:rPr>
            </w:pPr>
            <w:r>
              <w:rPr>
                <w:rFonts w:cs="Arial" w:ascii="Arial" w:hAnsi="Arial"/>
                <w:b/>
                <w:szCs w:val="20"/>
              </w:rPr>
              <w:t>Organization Address:</w:t>
            </w:r>
          </w:p>
        </w:tc>
        <w:tc>
          <w:tcPr>
            <w:tcW w:w="82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FFF99" w:val="clear"/>
            <w:vAlign w:val="center"/>
          </w:tcPr>
          <w:p>
            <w:pPr>
              <w:pStyle w:val="Normal"/>
              <w:snapToGrid w:val="false"/>
              <w:ind w:end="60"/>
              <w:rPr>
                <w:rFonts w:ascii="Arial" w:hAnsi="Arial" w:cs="Arial"/>
                <w:b/>
                <w:szCs w:val="20"/>
                <w:lang w:val="fr-FR"/>
              </w:rPr>
            </w:pPr>
            <w:r>
              <w:rPr>
                <w:rFonts w:cs="Arial" w:ascii="Arial" w:hAnsi="Arial"/>
                <w:b/>
                <w:szCs w:val="20"/>
                <w:lang w:val="fr-FR"/>
              </w:rPr>
            </w:r>
          </w:p>
        </w:tc>
      </w:tr>
      <w:tr>
        <w:trPr>
          <w:trHeight w:val="288" w:hRule="atLeast"/>
          <w:cantSplit w:val="true"/>
        </w:trPr>
        <w:tc>
          <w:tcPr>
            <w:tcW w:w="13318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-71" w:end="60"/>
              <w:rPr>
                <w:rFonts w:ascii="Arial" w:hAnsi="Arial" w:cs="Arial"/>
                <w:b/>
                <w:bCs/>
                <w:sz w:val="16"/>
                <w:szCs w:val="16"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sz w:val="16"/>
                <w:szCs w:val="16"/>
                <w:lang w:val="it-IT"/>
              </w:rPr>
              <w:t xml:space="preserve">  </w:t>
            </w:r>
            <w:r>
              <w:rPr>
                <w:rFonts w:cs="Arial" w:ascii="Arial" w:hAnsi="Arial"/>
                <w:b/>
                <w:bCs/>
                <w:sz w:val="16"/>
                <w:szCs w:val="16"/>
                <w:lang w:val="it-IT"/>
              </w:rPr>
              <w:t>Referenti: Dott.ssa Sonia D’Alessandro, Dott.ssa MariaGrazia Arosio</w:t>
            </w:r>
          </w:p>
        </w:tc>
      </w:tr>
    </w:tbl>
    <w:p>
      <w:pPr>
        <w:pStyle w:val="Normal"/>
        <w:rPr>
          <w:rFonts w:ascii="Arial" w:hAnsi="Arial" w:cs="Arial"/>
          <w:b/>
          <w:lang w:val="it-IT"/>
        </w:rPr>
      </w:pPr>
      <w:r>
        <w:rPr>
          <w:rFonts w:cs="Arial" w:ascii="Arial" w:hAnsi="Arial"/>
          <w:b/>
          <w:lang w:val="it-IT"/>
        </w:rPr>
      </w:r>
    </w:p>
    <w:p>
      <w:pPr>
        <w:pStyle w:val="Normal"/>
        <w:rPr>
          <w:rFonts w:ascii="Arial" w:hAnsi="Arial" w:cs="Arial"/>
          <w:b/>
          <w:lang w:val="it-IT"/>
        </w:rPr>
      </w:pPr>
      <w:r>
        <w:rPr>
          <w:rFonts w:cs="Arial" w:ascii="Arial" w:hAnsi="Arial"/>
          <w:b/>
          <w:lang w:val="it-IT"/>
        </w:rPr>
      </w:r>
    </w:p>
    <w:p>
      <w:pPr>
        <w:pStyle w:val="Normal"/>
        <w:rPr>
          <w:rFonts w:ascii="Arial" w:hAnsi="Arial" w:cs="Arial"/>
          <w:b/>
          <w:lang w:val="it-IT"/>
        </w:rPr>
      </w:pPr>
      <w:r>
        <w:rPr>
          <w:rFonts w:cs="Arial" w:ascii="Arial" w:hAnsi="Arial"/>
          <w:b/>
          <w:lang w:val="it-IT"/>
        </w:rPr>
      </w:r>
    </w:p>
    <w:tbl>
      <w:tblPr>
        <w:tblW w:w="14051" w:type="dxa"/>
        <w:jc w:val="start"/>
        <w:tblInd w:w="-7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150"/>
        <w:gridCol w:w="1266"/>
        <w:gridCol w:w="1328"/>
        <w:gridCol w:w="1310"/>
        <w:gridCol w:w="2317"/>
        <w:gridCol w:w="4680"/>
      </w:tblGrid>
      <w:tr>
        <w:trPr>
          <w:tblHeader w:val="true"/>
        </w:trPr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  <w:u w:val="single"/>
              </w:rPr>
            </w:pPr>
            <w:r>
              <w:rPr>
                <w:rFonts w:cs="Arial" w:ascii="Arial" w:hAnsi="Arial"/>
                <w:b/>
                <w:sz w:val="16"/>
                <w:szCs w:val="16"/>
                <w:u w:val="single"/>
              </w:rPr>
              <w:t>Question / Requirement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b/>
                <w:sz w:val="16"/>
                <w:szCs w:val="16"/>
                <w:u w:val="single"/>
              </w:rPr>
            </w:pPr>
            <w:r>
              <w:rPr>
                <w:rFonts w:cs="Arial" w:ascii="Arial" w:hAnsi="Arial"/>
                <w:b/>
                <w:sz w:val="16"/>
                <w:szCs w:val="16"/>
                <w:u w:val="single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Conforme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  <w:u w:val="single"/>
              </w:rPr>
            </w:pPr>
            <w:r>
              <w:rPr>
                <w:rFonts w:cs="Arial" w:ascii="Arial" w:hAnsi="Arial"/>
                <w:b/>
                <w:sz w:val="16"/>
                <w:szCs w:val="16"/>
                <w:u w:val="single"/>
              </w:rPr>
              <w:t>Commenti</w:t>
            </w:r>
          </w:p>
        </w:tc>
      </w:tr>
      <w:tr>
        <w:trPr/>
        <w:tc>
          <w:tcPr>
            <w:tcW w:w="14051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4.  CONTEXT OF ORGANIZATION</w:t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 xml:space="preserve">Evidence of determination of </w:t>
            </w:r>
            <w:r>
              <w:rPr>
                <w:rFonts w:cs="Arial" w:ascii="Arial" w:hAnsi="Arial"/>
                <w:b/>
                <w:sz w:val="16"/>
                <w:szCs w:val="16"/>
              </w:rPr>
              <w:t>Understanding the Organization and its CONTEXT</w:t>
            </w:r>
            <w:r>
              <w:rPr>
                <w:rFonts w:cs="Arial" w:ascii="Arial" w:hAnsi="Arial"/>
                <w:sz w:val="16"/>
                <w:szCs w:val="16"/>
              </w:rPr>
              <w:t xml:space="preserve"> </w:t>
            </w:r>
            <w:r>
              <w:rPr>
                <w:rFonts w:cs="Arial" w:ascii="Arial" w:hAnsi="Arial"/>
                <w:i/>
                <w:sz w:val="16"/>
                <w:szCs w:val="16"/>
              </w:rPr>
              <w:t>(4.1)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.</w:t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Evidence of determination of INTERESTED PARTIES</w:t>
            </w:r>
            <w:r>
              <w:rPr>
                <w:rFonts w:cs="Arial" w:ascii="Arial" w:hAnsi="Arial"/>
                <w:b/>
                <w:sz w:val="16"/>
                <w:szCs w:val="16"/>
              </w:rPr>
              <w:t xml:space="preserve"> </w:t>
            </w:r>
            <w:r>
              <w:rPr>
                <w:rFonts w:cs="Arial" w:ascii="Arial" w:hAnsi="Arial"/>
                <w:sz w:val="16"/>
                <w:szCs w:val="16"/>
              </w:rPr>
              <w:t xml:space="preserve">and their requirements </w:t>
            </w:r>
            <w:r>
              <w:rPr>
                <w:rFonts w:cs="Arial" w:ascii="Arial" w:hAnsi="Arial"/>
                <w:i/>
                <w:sz w:val="16"/>
                <w:szCs w:val="16"/>
              </w:rPr>
              <w:t>(4.2)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Did you determine the needs and expectations of your interested parties?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Did you identify those that have become compliance obligations (requirements)?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Evidence of review and verification for SCOPE of environmental management system (4.3)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Did you define and document the scope of your environmental management system (EMS)?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>
          <w:trHeight w:val="436" w:hRule="atLeast"/>
        </w:trPr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Evidence demonstrating environmental management system reflects requirements (4.4)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14051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16"/>
                <w:szCs w:val="16"/>
              </w:rPr>
              <w:t xml:space="preserve">5. </w:t>
            </w:r>
            <w:r>
              <w:rPr>
                <w:rFonts w:cs="Arial" w:ascii="Arial" w:hAnsi="Arial"/>
                <w:b/>
                <w:szCs w:val="20"/>
              </w:rPr>
              <w:t>LEADERSHIP</w:t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Evidence of Leadership and Commitment of TOP MANAGEMENT (5.1)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Evidence Environmental POLICY has been reviewed and is consistent with intent of ISO14001:2015 (5.2)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Evidence that organizational ROLES, RESPONSIBILITIES &amp; AUTHORITIES have been appropriately assigned, resourced and communicated. (5.3)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14051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szCs w:val="16"/>
              </w:rPr>
              <w:t>6. PLANNING</w:t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6.1 ACTIONS TO ADDRESS RISK &amp; OPPORTUNITIES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/>
            </w:pPr>
            <w:r>
              <w:rPr>
                <w:rFonts w:cs="Arial" w:ascii="Arial" w:hAnsi="Arial"/>
                <w:sz w:val="16"/>
                <w:szCs w:val="16"/>
              </w:rPr>
              <w:t>Evidence that RISKS AND OPPPORTUNITIES related to environmental aspects, compliance obligations and other issues have been identified and addressed. (6.1.1)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  <w:lang w:val="it-IT"/>
              </w:rPr>
            </w:pPr>
            <w:r>
              <w:rPr>
                <w:rFonts w:cs="Arial" w:ascii="Arial" w:hAnsi="Arial"/>
                <w:lang w:val="it-IT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/>
            </w:pPr>
            <w:r>
              <w:rPr>
                <w:rFonts w:cs="Arial" w:ascii="Arial" w:hAnsi="Arial"/>
                <w:sz w:val="16"/>
                <w:szCs w:val="16"/>
              </w:rPr>
              <w:t>Evidence that ENVIRONMENTAL ASPECTS of organizations activities, products and services that it has control over and it can influence along with environmental impacts have been determined  (6.1.2)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  <w:lang w:val="it-IT"/>
              </w:rPr>
            </w:pPr>
            <w:r>
              <w:rPr>
                <w:rFonts w:cs="Arial" w:ascii="Arial" w:hAnsi="Arial"/>
                <w:lang w:val="it-IT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/>
            </w:pPr>
            <w:r>
              <w:rPr>
                <w:rFonts w:cs="Arial" w:ascii="Arial" w:hAnsi="Arial"/>
                <w:sz w:val="16"/>
                <w:szCs w:val="16"/>
              </w:rPr>
              <w:t>A LIFE CYCLE perspective of the environmental aspects has been considered (6.1.2)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/>
            </w:pPr>
            <w:r>
              <w:rPr>
                <w:rFonts w:cs="Arial" w:ascii="Arial" w:hAnsi="Arial"/>
                <w:sz w:val="16"/>
                <w:szCs w:val="16"/>
              </w:rPr>
              <w:t>Established CRITERIA is documented and utilized to determine significant environmental aspects (6.1.2)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/>
            </w:pPr>
            <w:r>
              <w:rPr>
                <w:rFonts w:cs="Arial" w:ascii="Arial" w:hAnsi="Arial"/>
                <w:sz w:val="16"/>
                <w:szCs w:val="16"/>
              </w:rPr>
              <w:t>SIGNIFICANT environmental aspects have been COMMUNICATED among the various levels and functions of the organization (6.1.2)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/>
            </w:pPr>
            <w:r>
              <w:rPr>
                <w:rFonts w:cs="Arial" w:ascii="Arial" w:hAnsi="Arial"/>
                <w:sz w:val="16"/>
                <w:szCs w:val="16"/>
              </w:rPr>
              <w:t>Evidence that COMPLIANCE OBLIGATIONS relating to environmental aspects meet requirements of ISO 14001:2015 (6.1.3)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Evidence that the organizations planning takes into consideration actions to address:  significant environmental aspects; compliance obligations; risks and opportunities (6.1.4.a)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Evidence that the organization’s planning process has the EMS integrated and implemented with other business processes (6.1.4.b)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/>
            </w:pPr>
            <w:r>
              <w:rPr>
                <w:rFonts w:cs="Arial" w:ascii="Arial" w:hAnsi="Arial"/>
                <w:sz w:val="16"/>
                <w:szCs w:val="16"/>
              </w:rPr>
              <w:t>Evidence that ENVIRONMENTAL OBJECTIVES have been established that are consistent with the environmental policy, are MEASURABLE, MONITORED, COMMUNICATED &amp; UPDATED as appropriate (6.2.1)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  <w:lang w:val="it-IT"/>
              </w:rPr>
            </w:pPr>
            <w:r>
              <w:rPr>
                <w:rFonts w:cs="Arial" w:ascii="Arial" w:hAnsi="Arial"/>
                <w:lang w:val="it-IT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/>
            </w:pPr>
            <w:r>
              <w:rPr>
                <w:rFonts w:cs="Arial" w:ascii="Arial" w:hAnsi="Arial"/>
                <w:sz w:val="16"/>
                <w:szCs w:val="16"/>
              </w:rPr>
              <w:t>Evidence of planning actions to achieve ENVIRONMENTAL OBJECTIVES, including:  WHAT will be done; what RESOURCES will be required; WHO will be responsible; WHEN it will be completed; HOW results will be evaluated, including indicators for monitoring progress (6.2.2)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  <w:lang w:val="it-IT"/>
              </w:rPr>
            </w:pPr>
            <w:r>
              <w:rPr>
                <w:rFonts w:cs="Arial" w:ascii="Arial" w:hAnsi="Arial"/>
                <w:lang w:val="it-IT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/>
            </w:pPr>
            <w:r>
              <w:rPr>
                <w:rFonts w:cs="Arial" w:ascii="Arial" w:hAnsi="Arial"/>
                <w:sz w:val="16"/>
                <w:szCs w:val="16"/>
              </w:rPr>
              <w:t>Evidence that the organization has INTEGRATED its environmental objective into the organizations business processes. (6.2.2)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14051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szCs w:val="16"/>
              </w:rPr>
              <w:t>7  SUPPORT</w:t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Evidence that the organization has determined and provided RESOURCES needed for the establishment, implementation, maintenance and continual improvement of EMS (7.1)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/>
            </w:pPr>
            <w:r>
              <w:rPr>
                <w:rFonts w:cs="Arial" w:ascii="Arial" w:hAnsi="Arial"/>
                <w:sz w:val="16"/>
                <w:szCs w:val="16"/>
              </w:rPr>
              <w:t>Evidence organization has a process in place to determine necessary COMPETENCE, necessary training and documented information to support competence supporting requirements of ISO 14001:2015. (7.2)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/>
            </w:pPr>
            <w:r>
              <w:rPr>
                <w:rFonts w:cs="Arial" w:ascii="Arial" w:hAnsi="Arial"/>
                <w:sz w:val="16"/>
                <w:szCs w:val="16"/>
              </w:rPr>
              <w:t>Documented information supporting AWARENESS of persons working under the organizations control of environmental policy; significant environmental aspects; their contribution toward an effective EMS; understanding the benefits of enhanced environmental performance and implications of not conforming with EMS and fulfilling compliance obligations (7.3)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firstLine="720" w:end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Evidence that process for INTERNAL &amp; EXETERNAL COMMUNICATIONS has been established consistent with ISO 14001:2015 (7.4)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  <w:lang w:val="it-IT"/>
              </w:rPr>
            </w:pPr>
            <w:r>
              <w:rPr>
                <w:rFonts w:cs="Arial" w:ascii="Arial" w:hAnsi="Arial"/>
                <w:lang w:val="it-IT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Evidence that DOCUMENTED INFORMATION is consistent with ISO 14001:2015 (7.5)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14051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szCs w:val="16"/>
              </w:rPr>
              <w:t>8 OPERATION</w:t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/>
            </w:pPr>
            <w:r>
              <w:rPr>
                <w:rFonts w:cs="Arial" w:ascii="Arial" w:hAnsi="Arial"/>
                <w:sz w:val="16"/>
                <w:szCs w:val="16"/>
              </w:rPr>
              <w:t>Evidence that organization has established processes needed to meet EMS in operating process criteria and control of operating processes (8.1)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Evidence organization has environmental requirements and impacts associated with established operational control for planned changes and outsources processes considering each life cycle stage of products, services and activities (8.1)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Controls have been established to ensure Environmental requirements established for design, development processes for products, service, procurement of products and services (8.1. a &amp; b)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Communicated to external providers and contractors relevant environmental requirements? (8.1.c)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Considered need to provide information about potential significant environmental impacts associated with transportation, delivery, use, end of life treatment and final disposal of it products and services (8.1.d)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Evidence organization has emergency preparedness and response plans in place per ISO 14001:2015, (8.2)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  <w:lang w:val="it-IT"/>
              </w:rPr>
            </w:pPr>
            <w:r>
              <w:rPr>
                <w:rFonts w:cs="Arial" w:ascii="Arial" w:hAnsi="Arial"/>
                <w:lang w:val="it-IT"/>
              </w:rPr>
            </w:r>
          </w:p>
        </w:tc>
      </w:tr>
      <w:tr>
        <w:trPr/>
        <w:tc>
          <w:tcPr>
            <w:tcW w:w="14051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szCs w:val="16"/>
              </w:rPr>
              <w:t>9 PERFOMANCE EVALUATION</w:t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cs="Arial" w:ascii="Arial" w:hAnsi="Arial"/>
                <w:sz w:val="16"/>
                <w:szCs w:val="16"/>
              </w:rPr>
              <w:t>Evidence that organization is MONITORING, MEASURING, ANALYZING AND EVALUATING environmental performance (9.1)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  <w:lang w:val="it-IT"/>
              </w:rPr>
            </w:pPr>
            <w:r>
              <w:rPr>
                <w:rFonts w:cs="Arial" w:ascii="Arial" w:hAnsi="Arial"/>
                <w:lang w:val="it-IT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16"/>
                <w:szCs w:val="16"/>
                <w:highlight w:val="cyan"/>
              </w:rPr>
            </w:pPr>
            <w:r>
              <w:rPr>
                <w:rFonts w:cs="Arial" w:ascii="Arial" w:hAnsi="Arial"/>
                <w:sz w:val="16"/>
                <w:szCs w:val="16"/>
              </w:rPr>
              <w:t>Evidence that organization has an effective process for evaluation of compliance obligations fulfillment (9.1.2)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  <w:highlight w:val="cyan"/>
              </w:rPr>
            </w:pPr>
            <w:r>
              <w:rPr>
                <w:rFonts w:cs="Arial" w:ascii="Arial" w:hAnsi="Arial"/>
                <w:sz w:val="16"/>
                <w:szCs w:val="16"/>
                <w:highlight w:val="cyan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/>
            </w:pPr>
            <w:r>
              <w:rPr>
                <w:rFonts w:cs="Arial" w:ascii="Arial" w:hAnsi="Arial"/>
                <w:b/>
                <w:sz w:val="16"/>
                <w:szCs w:val="16"/>
              </w:rPr>
              <w:t xml:space="preserve">Internal Audit Results </w:t>
            </w:r>
            <w:r>
              <w:rPr>
                <w:rFonts w:cs="Arial" w:ascii="Arial" w:hAnsi="Arial"/>
                <w:i/>
                <w:sz w:val="16"/>
                <w:szCs w:val="16"/>
              </w:rPr>
              <w:t>(9.2)</w:t>
            </w:r>
          </w:p>
          <w:p>
            <w:pPr>
              <w:pStyle w:val="Normal"/>
              <w:ind w:end="-108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(using process-approach)</w:t>
            </w:r>
          </w:p>
          <w:p>
            <w:pPr>
              <w:pStyle w:val="Normal"/>
              <w:ind w:end="-108"/>
              <w:rPr/>
            </w:pPr>
            <w:r>
              <w:rPr>
                <w:rFonts w:cs="Arial" w:ascii="Arial" w:hAnsi="Arial"/>
                <w:b/>
                <w:sz w:val="16"/>
                <w:szCs w:val="16"/>
              </w:rPr>
              <w:t>- Full internal Audit to ISO 14001: 2015</w:t>
            </w:r>
          </w:p>
          <w:p>
            <w:pPr>
              <w:pStyle w:val="Normal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-inputs, outputs, performance to targets, process linkages / interactions.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  <w:lang w:val="it-IT"/>
              </w:rPr>
            </w:pPr>
            <w:r>
              <w:rPr>
                <w:rFonts w:cs="Arial" w:ascii="Arial" w:hAnsi="Arial"/>
                <w:lang w:val="it-IT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 xml:space="preserve">Records of </w:t>
            </w:r>
            <w:r>
              <w:rPr>
                <w:rFonts w:cs="Arial" w:ascii="Arial" w:hAnsi="Arial"/>
                <w:b/>
                <w:sz w:val="16"/>
                <w:szCs w:val="16"/>
              </w:rPr>
              <w:t>Management Review</w:t>
            </w:r>
            <w:r>
              <w:rPr>
                <w:rFonts w:cs="Arial" w:ascii="Arial" w:hAnsi="Arial"/>
                <w:sz w:val="16"/>
                <w:szCs w:val="16"/>
              </w:rPr>
              <w:t xml:space="preserve"> </w:t>
            </w:r>
            <w:r>
              <w:rPr>
                <w:rFonts w:cs="Arial" w:ascii="Arial" w:hAnsi="Arial"/>
                <w:i/>
                <w:sz w:val="16"/>
                <w:szCs w:val="16"/>
              </w:rPr>
              <w:t>(9.3)</w:t>
            </w:r>
            <w:r>
              <w:rPr>
                <w:rFonts w:cs="Arial" w:ascii="Arial" w:hAnsi="Arial"/>
                <w:sz w:val="16"/>
                <w:szCs w:val="16"/>
              </w:rPr>
              <w:t xml:space="preserve"> Completed to ISO 14001: 2015 requirements after completion of the Internal Audit.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  <w:lang w:val="it-IT"/>
              </w:rPr>
            </w:pPr>
            <w:r>
              <w:rPr>
                <w:rFonts w:cs="Arial" w:ascii="Arial" w:hAnsi="Arial"/>
                <w:lang w:val="it-IT"/>
              </w:rPr>
            </w:r>
          </w:p>
        </w:tc>
      </w:tr>
      <w:tr>
        <w:trPr/>
        <w:tc>
          <w:tcPr>
            <w:tcW w:w="14051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szCs w:val="16"/>
              </w:rPr>
              <w:t>10 IMPROVEMENT</w:t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/>
            </w:pPr>
            <w:r>
              <w:rPr>
                <w:rFonts w:cs="Arial" w:ascii="Arial" w:hAnsi="Arial"/>
                <w:sz w:val="16"/>
                <w:szCs w:val="16"/>
              </w:rPr>
              <w:t>Evidence of an effective process for taking action to correct nonconformity and the consequences of adverse environmental impacts (10.2)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08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Evidence of effective continuous improvement of EMS to enhance environmental performance (10.2)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cs="Arial" w:ascii="Arial" w:hAnsi="Arial"/>
                <w:b/>
                <w:sz w:val="16"/>
                <w:szCs w:val="16"/>
              </w:rPr>
              <w:t xml:space="preserve">Internal Audit Corrective Actions </w:t>
            </w:r>
            <w:r>
              <w:rPr>
                <w:rFonts w:cs="Arial" w:ascii="Arial" w:hAnsi="Arial"/>
                <w:i/>
                <w:sz w:val="16"/>
                <w:szCs w:val="16"/>
              </w:rPr>
              <w:t xml:space="preserve">(10.2 d) completed. </w:t>
            </w:r>
            <w:r>
              <w:rPr>
                <w:rFonts w:cs="Arial" w:ascii="Arial" w:hAnsi="Arial"/>
                <w:sz w:val="16"/>
                <w:szCs w:val="16"/>
              </w:rPr>
              <w:t>(including evidence of closure)</w:t>
            </w:r>
          </w:p>
        </w:tc>
        <w:tc>
          <w:tcPr>
            <w:tcW w:w="12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3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3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99" w:val="clear"/>
          </w:tcPr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si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  <w:lang w:val="it-IT"/>
              </w:rPr>
            </w:pPr>
            <w:r>
              <w:rPr>
                <w:rFonts w:cs="Arial" w:ascii="Arial" w:hAnsi="Arial"/>
                <w:lang w:val="it-IT"/>
              </w:rPr>
            </w:r>
          </w:p>
        </w:tc>
      </w:tr>
    </w:tbl>
    <w:p>
      <w:pPr>
        <w:pStyle w:val="Normal"/>
        <w:rPr>
          <w:rFonts w:ascii="Arial" w:hAnsi="Arial" w:cs="Arial"/>
          <w:lang w:val="it-IT"/>
        </w:rPr>
      </w:pPr>
      <w:r>
        <w:rPr>
          <w:rFonts w:cs="Arial" w:ascii="Arial" w:hAnsi="Arial"/>
          <w:lang w:val="it-IT"/>
        </w:rPr>
      </w:r>
      <w:r>
        <w:br w:type="page"/>
      </w:r>
    </w:p>
    <w:p>
      <w:pPr>
        <w:pStyle w:val="Normal"/>
        <w:rPr>
          <w:rFonts w:ascii="Arial" w:hAnsi="Arial" w:cs="Arial"/>
          <w:lang w:val="it-IT"/>
        </w:rPr>
      </w:pPr>
      <w:r>
        <w:rPr>
          <w:rFonts w:cs="Arial" w:ascii="Arial" w:hAnsi="Arial"/>
          <w:lang w:val="it-IT"/>
        </w:rPr>
      </w:r>
    </w:p>
    <w:tbl>
      <w:tblPr>
        <w:tblW w:w="13986" w:type="dxa"/>
        <w:jc w:val="start"/>
        <w:tblInd w:w="-7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474"/>
        <w:gridCol w:w="4824"/>
        <w:gridCol w:w="3690"/>
        <w:gridCol w:w="1998"/>
      </w:tblGrid>
      <w:tr>
        <w:trPr/>
        <w:tc>
          <w:tcPr>
            <w:tcW w:w="34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</w:rPr>
            </w:pPr>
            <w:r>
              <w:rPr>
                <w:rFonts w:cs="Arial" w:ascii="Arial" w:hAnsi="Arial"/>
                <w:b/>
              </w:rPr>
              <w:t>Auditors</w:t>
            </w:r>
          </w:p>
        </w:tc>
        <w:tc>
          <w:tcPr>
            <w:tcW w:w="48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</w:rPr>
            </w:pPr>
            <w:r>
              <w:rPr>
                <w:rFonts w:cs="Arial" w:ascii="Arial" w:hAnsi="Arial"/>
                <w:b/>
              </w:rPr>
              <w:t>Nome</w:t>
            </w:r>
          </w:p>
        </w:tc>
        <w:tc>
          <w:tcPr>
            <w:tcW w:w="36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</w:rPr>
            </w:pPr>
            <w:r>
              <w:rPr>
                <w:rFonts w:cs="Arial" w:ascii="Arial" w:hAnsi="Arial"/>
                <w:b/>
              </w:rPr>
              <w:t>Firma</w:t>
            </w:r>
          </w:p>
        </w:tc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</w:rPr>
            </w:pPr>
            <w:r>
              <w:rPr>
                <w:rFonts w:cs="Arial" w:ascii="Arial" w:hAnsi="Arial"/>
                <w:b/>
              </w:rPr>
              <w:t>Data</w:t>
            </w:r>
          </w:p>
        </w:tc>
      </w:tr>
      <w:tr>
        <w:trPr/>
        <w:tc>
          <w:tcPr>
            <w:tcW w:w="34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b/>
                <w:szCs w:val="20"/>
              </w:rPr>
            </w:pPr>
            <w:r>
              <w:rPr>
                <w:rFonts w:cs="Arial" w:ascii="Arial" w:hAnsi="Arial"/>
                <w:b/>
                <w:szCs w:val="20"/>
              </w:rPr>
            </w:r>
          </w:p>
        </w:tc>
        <w:tc>
          <w:tcPr>
            <w:tcW w:w="48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  <w:szCs w:val="20"/>
              </w:rPr>
            </w:pPr>
            <w:r>
              <w:rPr>
                <w:rFonts w:cs="Arial" w:ascii="Arial" w:hAnsi="Arial"/>
                <w:szCs w:val="20"/>
              </w:rPr>
            </w:r>
          </w:p>
        </w:tc>
        <w:tc>
          <w:tcPr>
            <w:tcW w:w="36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34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  <w:p>
            <w:pPr>
              <w:pStyle w:val="Normal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  <w:p>
            <w:pPr>
              <w:pStyle w:val="Normal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48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36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</w:tbl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sectPr>
          <w:headerReference w:type="default" r:id="rId2"/>
          <w:footerReference w:type="default" r:id="rId3"/>
          <w:type w:val="nextPage"/>
          <w:pgSz w:orient="landscape" w:w="15840" w:h="12240"/>
          <w:pgMar w:left="1080" w:right="1080" w:gutter="0" w:header="720" w:top="1507" w:footer="432" w:bottom="1080"/>
          <w:pgNumType w:fmt="decimal"/>
          <w:formProt w:val="false"/>
          <w:textDirection w:val="lrTb"/>
          <w:docGrid w:type="default" w:linePitch="360" w:charSpace="0"/>
        </w:sect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tbl>
      <w:tblPr>
        <w:tblpPr w:vertAnchor="page" w:horzAnchor="margin" w:rightFromText="180" w:tblpX="5" w:tblpY="1741"/>
        <w:tblW w:w="9869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840"/>
        <w:gridCol w:w="1095"/>
        <w:gridCol w:w="1095"/>
        <w:gridCol w:w="3839"/>
      </w:tblGrid>
      <w:tr>
        <w:trPr>
          <w:trHeight w:val="288" w:hRule="atLeast"/>
        </w:trPr>
        <w:tc>
          <w:tcPr>
            <w:tcW w:w="493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b/>
                <w:bCs/>
                <w:color w:val="000000"/>
                <w:szCs w:val="18"/>
              </w:rPr>
              <w:t>New or Different in ISO 14001:2015 to ISO 14001:2004</w:t>
            </w:r>
          </w:p>
        </w:tc>
        <w:tc>
          <w:tcPr>
            <w:tcW w:w="493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bCs/>
                <w:color w:val="000000"/>
                <w:szCs w:val="18"/>
              </w:rPr>
            </w:pPr>
            <w:r>
              <w:rPr>
                <w:rFonts w:cs="Calibri" w:ascii="Calibri" w:hAnsi="Calibri"/>
                <w:b/>
                <w:bCs/>
                <w:color w:val="000000"/>
                <w:szCs w:val="18"/>
              </w:rPr>
              <w:t>Covered in ISO 14001:2004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FFFFFF"/>
                <w:szCs w:val="18"/>
                <w:u w:val="single"/>
              </w:rPr>
            </w:pPr>
            <w:r>
              <w:rPr>
                <w:rFonts w:cs="Calibri" w:ascii="Calibri" w:hAnsi="Calibri"/>
                <w:color w:val="FFFFFF"/>
                <w:szCs w:val="18"/>
                <w:u w:val="single"/>
              </w:rPr>
              <w:t> </w:t>
            </w:r>
          </w:p>
        </w:tc>
        <w:tc>
          <w:tcPr>
            <w:tcW w:w="1095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FFFFFF"/>
                <w:szCs w:val="18"/>
                <w:u w:val="single"/>
              </w:rPr>
            </w:pPr>
            <w:r>
              <w:rPr>
                <w:rFonts w:cs="Calibri" w:ascii="Calibri" w:hAnsi="Calibri"/>
                <w:color w:val="FFFFFF"/>
                <w:szCs w:val="18"/>
                <w:u w:val="single"/>
              </w:rPr>
              <w:t> </w:t>
            </w:r>
          </w:p>
        </w:tc>
        <w:tc>
          <w:tcPr>
            <w:tcW w:w="1095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FFFFFF"/>
                <w:szCs w:val="18"/>
                <w:u w:val="single"/>
              </w:rPr>
            </w:pPr>
            <w:r>
              <w:rPr>
                <w:rFonts w:cs="Calibri" w:ascii="Calibri" w:hAnsi="Calibri"/>
                <w:color w:val="FFFFFF"/>
                <w:szCs w:val="18"/>
                <w:u w:val="single"/>
              </w:rPr>
              <w:t> </w:t>
            </w:r>
          </w:p>
        </w:tc>
        <w:tc>
          <w:tcPr>
            <w:tcW w:w="3839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FFFFFF"/>
                <w:szCs w:val="18"/>
                <w:u w:val="single"/>
              </w:rPr>
            </w:pPr>
            <w:r>
              <w:rPr>
                <w:rFonts w:cs="Calibri" w:ascii="Calibri" w:hAnsi="Calibri"/>
                <w:color w:val="FFFFFF"/>
                <w:szCs w:val="18"/>
                <w:u w:val="single"/>
              </w:rPr>
              <w:t> 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Cs w:val="18"/>
                <w:u w:val="single"/>
              </w:rPr>
            </w:pPr>
            <w:r>
              <w:rPr>
                <w:rFonts w:cs="Calibri" w:ascii="Calibri" w:hAnsi="Calibri"/>
                <w:szCs w:val="18"/>
                <w:u w:val="single"/>
              </w:rPr>
              <w:t>ISO 14001:2015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Cs w:val="18"/>
                <w:u w:val="single"/>
              </w:rPr>
            </w:pPr>
            <w:r>
              <w:rPr>
                <w:rFonts w:cs="Calibri" w:ascii="Calibri" w:hAnsi="Calibri"/>
                <w:szCs w:val="18"/>
                <w:u w:val="single"/>
              </w:rPr>
              <w:t>New Section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Cs w:val="18"/>
                <w:u w:val="single"/>
              </w:rPr>
            </w:pPr>
            <w:r>
              <w:rPr>
                <w:rFonts w:cs="Calibri" w:ascii="Calibri" w:hAnsi="Calibri"/>
                <w:szCs w:val="18"/>
                <w:u w:val="single"/>
              </w:rPr>
              <w:t>Old Section</w:t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Cs w:val="18"/>
                <w:u w:val="single"/>
              </w:rPr>
            </w:pPr>
            <w:r>
              <w:rPr>
                <w:rFonts w:cs="Calibri" w:ascii="Calibri" w:hAnsi="Calibri"/>
                <w:szCs w:val="18"/>
                <w:u w:val="single"/>
              </w:rPr>
              <w:t>ISO 14001:2004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Introduction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0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snapToGrid w:val="false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 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Background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0.1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snapToGrid w:val="false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 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Aim of Environmental Management systems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0.2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snapToGrid w:val="false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 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Success Factors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0.3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snapToGrid w:val="false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 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Plan-do-Check-Act Model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0.4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snapToGrid w:val="false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 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Contents of this International Standard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0.5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snapToGrid w:val="false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 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Scope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1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1</w:t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Scope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Normative References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2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2</w:t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Normative References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Terms &amp; Definitions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3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3</w:t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 xml:space="preserve">Terms &amp; Definitions 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Term Related to Organization &amp; Leadership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3.1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snapToGrid w:val="false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 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Terms Related to Planning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3.2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snapToGrid w:val="false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 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Terms Related to Support &amp; Operation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3.3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snapToGrid w:val="false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 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Terms Related to Performance Evaluation &amp; Improvement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3.4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snapToGrid w:val="false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 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Context of the Organization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snapToGrid w:val="false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 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Understanding the organization &amp; its Context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4.1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snapToGrid w:val="false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 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Understanding the needs &amp; Expectation of Interested parties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4.2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snapToGrid w:val="false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 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Determining the scope of the environmental management system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4.3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 xml:space="preserve">4.3    </w:t>
              <w:br/>
              <w:t>A.1</w:t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 xml:space="preserve">Planning                                                                            General Requirements                                                      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Environmental Management System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4.4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4.1</w:t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 xml:space="preserve">General Requirements                       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Leadership (Title only)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5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snapToGrid w:val="false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 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Leadership &amp; Commitment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5.1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snapToGrid w:val="false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 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Environmental Policy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5.2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4.2</w:t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Environmental Policy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Organizational roles, responsibilities &amp; authorities</w:t>
            </w:r>
          </w:p>
        </w:tc>
        <w:tc>
          <w:tcPr>
            <w:tcW w:w="1095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5.3</w:t>
            </w:r>
          </w:p>
        </w:tc>
        <w:tc>
          <w:tcPr>
            <w:tcW w:w="1095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hanging="10" w:start="2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4.4.1</w:t>
            </w:r>
          </w:p>
        </w:tc>
        <w:tc>
          <w:tcPr>
            <w:tcW w:w="3839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Resources, Roles, responsibility &amp; authority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Planning (title only)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6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4.3</w:t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Planning (title only)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5B3D7" w:val="clear"/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Actions to address risks &amp; opportunities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95B3D7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6.1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95B3D7" w:val="clear"/>
            <w:vAlign w:val="center"/>
          </w:tcPr>
          <w:p>
            <w:pPr>
              <w:pStyle w:val="Normal"/>
              <w:snapToGrid w:val="false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shd w:fill="95B3D7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 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5B3D7" w:val="clear"/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General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95B3D7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6.1.1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95B3D7" w:val="clear"/>
            <w:vAlign w:val="center"/>
          </w:tcPr>
          <w:p>
            <w:pPr>
              <w:pStyle w:val="Normal"/>
              <w:snapToGrid w:val="false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shd w:fill="95B3D7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 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Significant environmental aspects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6.1.2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4.3.1</w:t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Environmental Aspects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Compliance Obligations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6.1.3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4.3.2</w:t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Legal &amp; Other Requirements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5B3D7" w:val="clear"/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Actions to address Risks associated with threats &amp;  Opportunities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95B3D7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6.1.4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95B3D7" w:val="clear"/>
            <w:vAlign w:val="center"/>
          </w:tcPr>
          <w:p>
            <w:pPr>
              <w:pStyle w:val="Normal"/>
              <w:snapToGrid w:val="false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shd w:fill="95B3D7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 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5B3D7" w:val="clear"/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Planning to take Action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95B3D7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6.1.5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95B3D7" w:val="clear"/>
            <w:vAlign w:val="center"/>
          </w:tcPr>
          <w:p>
            <w:pPr>
              <w:pStyle w:val="Normal"/>
              <w:snapToGrid w:val="false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shd w:fill="95B3D7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 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Environmental Objectives &amp; Planning to achieve them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6.2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4.3.3</w:t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Objectives, targets &amp; programme(s)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Environmental Objectives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6.2.1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4.3.3</w:t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Objectives, targets &amp; programme(s)</w:t>
            </w:r>
          </w:p>
        </w:tc>
      </w:tr>
      <w:tr>
        <w:trPr>
          <w:trHeight w:val="288" w:hRule="atLeast"/>
        </w:trPr>
        <w:tc>
          <w:tcPr>
            <w:tcW w:w="38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5B3D7" w:val="clear"/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Planning Actions to achieve environmental objectives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95B3D7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6.2.2</w:t>
            </w:r>
          </w:p>
        </w:tc>
        <w:tc>
          <w:tcPr>
            <w:tcW w:w="1095" w:type="dxa"/>
            <w:tcBorders>
              <w:bottom w:val="single" w:sz="4" w:space="0" w:color="000000"/>
              <w:end w:val="single" w:sz="4" w:space="0" w:color="000000"/>
            </w:tcBorders>
            <w:shd w:fill="95B3D7" w:val="clear"/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4.3.3</w:t>
            </w:r>
          </w:p>
        </w:tc>
        <w:tc>
          <w:tcPr>
            <w:tcW w:w="3839" w:type="dxa"/>
            <w:tcBorders>
              <w:bottom w:val="single" w:sz="4" w:space="0" w:color="000000"/>
              <w:end w:val="single" w:sz="4" w:space="0" w:color="000000"/>
            </w:tcBorders>
            <w:shd w:fill="95B3D7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Objectives, targets &amp; programme(s)</w:t>
            </w:r>
          </w:p>
        </w:tc>
      </w:tr>
    </w:tbl>
    <w:p>
      <w:pPr>
        <w:pStyle w:val="Normal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"/>
        <w:ind w:start="-540" w:end="0"/>
        <w:jc w:val="center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"/>
        <w:ind w:start="-540" w:end="0"/>
        <w:jc w:val="center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tbl>
      <w:tblPr>
        <w:tblW w:w="1013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845"/>
        <w:gridCol w:w="1268"/>
        <w:gridCol w:w="1177"/>
        <w:gridCol w:w="3845"/>
      </w:tblGrid>
      <w:tr>
        <w:trPr>
          <w:trHeight w:val="259" w:hRule="atLeast"/>
        </w:trPr>
        <w:tc>
          <w:tcPr>
            <w:tcW w:w="511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bCs/>
                <w:color w:val="000000"/>
                <w:szCs w:val="18"/>
              </w:rPr>
            </w:pPr>
            <w:r>
              <w:rPr>
                <w:rFonts w:cs="Calibri" w:ascii="Calibri" w:hAnsi="Calibri"/>
                <w:b/>
                <w:bCs/>
                <w:color w:val="000000"/>
                <w:szCs w:val="18"/>
              </w:rPr>
              <w:t>New or Different in                                                                     ISO 14001:2015 to ISO 14001:2004</w:t>
            </w:r>
          </w:p>
        </w:tc>
        <w:tc>
          <w:tcPr>
            <w:tcW w:w="502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bCs/>
                <w:color w:val="000000"/>
                <w:szCs w:val="18"/>
              </w:rPr>
            </w:pPr>
            <w:r>
              <w:rPr>
                <w:rFonts w:cs="Calibri" w:ascii="Calibri" w:hAnsi="Calibri"/>
                <w:b/>
                <w:bCs/>
                <w:color w:val="000000"/>
                <w:szCs w:val="18"/>
              </w:rPr>
              <w:t>Covered in ISO 14001:2004</w:t>
            </w:r>
          </w:p>
        </w:tc>
      </w:tr>
      <w:tr>
        <w:trPr>
          <w:trHeight w:val="144" w:hRule="atLeast"/>
        </w:trPr>
        <w:tc>
          <w:tcPr>
            <w:tcW w:w="10135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bCs/>
                <w:color w:val="000000"/>
                <w:szCs w:val="18"/>
                <w:u w:val="single"/>
              </w:rPr>
            </w:pPr>
            <w:r>
              <w:rPr>
                <w:rFonts w:cs="Calibri" w:ascii="Calibri" w:hAnsi="Calibri"/>
                <w:b/>
                <w:bCs/>
                <w:color w:val="000000"/>
                <w:szCs w:val="18"/>
                <w:u w:val="single"/>
              </w:rPr>
            </w:r>
          </w:p>
        </w:tc>
      </w:tr>
      <w:tr>
        <w:trPr>
          <w:trHeight w:val="350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Cs w:val="18"/>
                <w:u w:val="single"/>
              </w:rPr>
            </w:pPr>
            <w:r>
              <w:rPr>
                <w:rFonts w:cs="Calibri" w:ascii="Calibri" w:hAnsi="Calibri"/>
                <w:szCs w:val="18"/>
                <w:u w:val="single"/>
              </w:rPr>
              <w:t>ISO 14001:2015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Cs w:val="18"/>
                <w:u w:val="single"/>
              </w:rPr>
            </w:pPr>
            <w:r>
              <w:rPr>
                <w:rFonts w:cs="Calibri" w:ascii="Calibri" w:hAnsi="Calibri"/>
                <w:szCs w:val="18"/>
                <w:u w:val="single"/>
              </w:rPr>
              <w:t>New Section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Cs w:val="18"/>
                <w:u w:val="single"/>
              </w:rPr>
            </w:pPr>
            <w:r>
              <w:rPr>
                <w:rFonts w:cs="Calibri" w:ascii="Calibri" w:hAnsi="Calibri"/>
                <w:szCs w:val="18"/>
                <w:u w:val="single"/>
              </w:rPr>
              <w:t>Old Section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Cs w:val="18"/>
                <w:u w:val="single"/>
              </w:rPr>
            </w:pPr>
            <w:r>
              <w:rPr>
                <w:rFonts w:cs="Calibri" w:ascii="Calibri" w:hAnsi="Calibri"/>
                <w:szCs w:val="18"/>
                <w:u w:val="single"/>
              </w:rPr>
              <w:t>ISO 14001:2004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Support (title only)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7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4.4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Implementation &amp; Operation (title only)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Resources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7.1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4.4.1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Resources, Roles, responsibility &amp; authority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Competence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7.2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4.4.2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Competence, training &amp; awareness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Awareness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7.3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4.4.2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Competence, training &amp; awareness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Communications (title only)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7.4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4.4.3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Communication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General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7.4.1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4.4.3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Communication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Internal Communication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7.4.2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4.4.3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Communication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External Communication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7.4.3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4.4.3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Communication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Documented Information (Title Only)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7.5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4.4.4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Documentation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General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7.5.1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4.4.4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Documentation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Creating &amp; Updating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7.5.2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4.4.4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Control of Documentation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 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4.5.4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Control of Records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Control of documented Information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7.5.3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4.4.5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Control of Documentation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 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4.5.4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Control of Records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Operation (Title Only)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8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4.4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Implementation &amp; Operation (title only)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Operational Planning &amp; Control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8.1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4.4.6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Operational Control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Emergency Preparedness &amp; Response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8.2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4.4.7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Emergency Preparedness &amp; Response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Performance Evaluation (Title only)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9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4.5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Checking (Title Only)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Monitoring, Measurement, analysis &amp;  evaluation (title only)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9.1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4.5.1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Monitoring &amp; Measurement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General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9.1.1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4.5.1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Monitoring &amp; Measurement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Evaluation of Compliance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9.1.2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4.5.2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Evaluation of Compliance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Internal Audit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9.2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4.5.5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Internal Audit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Management Review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9.3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4.6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Management Review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Improvement (Title only)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10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snapToGrid w:val="false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 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Nonconformity &amp; Corrective action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10.1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4.5.3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Non conformity, corrective action &amp; preventive action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  <w:vAlign w:val="bottom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Continual Improvement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10.2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snapToGrid w:val="false"/>
              <w:ind w:firstLine="200" w:end="0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 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Annex A:  Guidance on the use of this International Standard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A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A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Annex A:  Guidance on the use of this International Standard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Annex B: Correspondence between ISO 14001:2015 and ISO 14001:2004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B</w:t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B</w:t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Correspondence between ISO 14001:2004 &amp; ISO 9001:2000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Bibliography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Bibliography</w:t>
            </w:r>
          </w:p>
        </w:tc>
      </w:tr>
      <w:tr>
        <w:trPr>
          <w:trHeight w:val="259" w:hRule="atLeast"/>
        </w:trPr>
        <w:tc>
          <w:tcPr>
            <w:tcW w:w="38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8DB3E2" w:val="clea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Alphabetical Index of Terms</w:t>
            </w:r>
          </w:p>
        </w:tc>
        <w:tc>
          <w:tcPr>
            <w:tcW w:w="1268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1177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</w:r>
          </w:p>
        </w:tc>
        <w:tc>
          <w:tcPr>
            <w:tcW w:w="3845" w:type="dxa"/>
            <w:tcBorders>
              <w:bottom w:val="single" w:sz="4" w:space="0" w:color="000000"/>
              <w:end w:val="single" w:sz="4" w:space="0" w:color="000000"/>
            </w:tcBorders>
            <w:shd w:fill="8DB3E2" w:val="clear"/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Cs w:val="18"/>
              </w:rPr>
            </w:pPr>
            <w:r>
              <w:rPr>
                <w:rFonts w:cs="Calibri" w:ascii="Calibri" w:hAnsi="Calibri"/>
                <w:color w:val="000000"/>
                <w:szCs w:val="18"/>
              </w:rPr>
              <w:t> </w:t>
            </w:r>
          </w:p>
        </w:tc>
      </w:tr>
    </w:tbl>
    <w:p>
      <w:pPr>
        <w:pStyle w:val="Normal"/>
        <w:ind w:start="-540" w:end="0"/>
        <w:jc w:val="center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"/>
        <w:ind w:start="-540" w:end="0"/>
        <w:jc w:val="center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sectPr>
      <w:headerReference w:type="default" r:id="rId4"/>
      <w:headerReference w:type="first" r:id="rId5"/>
      <w:footerReference w:type="default" r:id="rId6"/>
      <w:footerReference w:type="first" r:id="rId7"/>
      <w:type w:val="nextPage"/>
      <w:pgSz w:w="12240" w:h="15840"/>
      <w:pgMar w:left="1080" w:right="1507" w:gutter="0" w:header="720" w:top="1080" w:footer="432" w:bottom="10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windows-1252"/>
    <w:family w:val="roman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Gotham-Light">
    <w:charset w:val="00" w:characterSet="windows-125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iso-8859-1"/>
    <w:family w:val="swiss"/>
    <w:pitch w:val="variable"/>
  </w:font>
  <w:font w:name="CG Times (WN)"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>
        <w:sz w:val="16"/>
      </w:rPr>
    </w:pPr>
    <w:r>
      <w:rPr>
        <w:sz w:val="16"/>
      </w:rPr>
    </w:r>
  </w:p>
  <w:p>
    <w:r>
      <w:t>MasterComplianceHSQE by Maurizio Gustinicchi Consulting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>
        <w:sz w:val="16"/>
      </w:rPr>
    </w:pPr>
    <w:r>
      <w:rPr>
        <w:sz w:val="16"/>
      </w:rPr>
    </w:r>
  </w:p>
  <w:p>
    <w:r>
      <w:t>MasterComplianceHSQE by Maurizio Gustinicchi Consulting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lang w:val="en-US" w:eastAsia="en-US"/>
      </w:rPr>
    </w:pPr>
    <w:r>
      <w:rPr>
        <w:lang w:val="en-US" w:eastAsia="en-US"/>
      </w:rPr>
      <w:drawing>
        <wp:inline distT="0" distB="0" distL="0" distR="0">
          <wp:extent cx="1493520" cy="670560"/>
          <wp:effectExtent l="0" t="0" r="0" b="0"/>
          <wp:docPr id="1" name="Image1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10837" t="24321" r="8825" b="28989"/>
                  <a:stretch>
                    <a:fillRect/>
                  </a:stretch>
                </pic:blipFill>
                <pic:spPr bwMode="auto">
                  <a:xfrm>
                    <a:off x="0" y="0"/>
                    <a:ext cx="1493520" cy="6705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lang w:val="en-US" w:eastAsia="en-US"/>
      </w:rPr>
    </w:pPr>
    <w:r>
      <w:rPr>
        <w:lang w:val="en-US" w:eastAsia="en-US"/>
      </w:rPr>
      <w:drawing>
        <wp:inline distT="0" distB="0" distL="0" distR="0">
          <wp:extent cx="1493520" cy="670560"/>
          <wp:effectExtent l="0" t="0" r="0" b="0"/>
          <wp:docPr id="2" name="Image2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2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10837" t="24321" r="8825" b="28989"/>
                  <a:stretch>
                    <a:fillRect/>
                  </a:stretch>
                </pic:blipFill>
                <pic:spPr bwMode="auto">
                  <a:xfrm>
                    <a:off x="0" y="0"/>
                    <a:ext cx="1493520" cy="6705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numFmt w:val="bullet"/>
      <w:lvlText w:val=""/>
      <w:lvlJc w:val="start"/>
      <w:pPr>
        <w:tabs>
          <w:tab w:val="num" w:pos="1440"/>
        </w:tabs>
        <w:ind w:start="1440" w:hanging="360"/>
      </w:pPr>
      <w:rPr>
        <w:rFonts w:ascii="Wingdings" w:hAnsi="Wingdings" w:cs="Wingdings" w:hint="default"/>
        <w:sz w:val="22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>
        <w:i w:val="false"/>
        <w:b w:val="false"/>
      </w:rPr>
    </w:lvl>
    <w:lvl w:ilvl="1">
      <w:start w:val="1"/>
      <w:numFmt w:val="decimal"/>
      <w:lvlText w:val="%1.%2"/>
      <w:lvlJc w:val="start"/>
      <w:pPr>
        <w:tabs>
          <w:tab w:val="num" w:pos="900"/>
        </w:tabs>
        <w:ind w:start="900" w:hanging="540"/>
      </w:pPr>
    </w:lvl>
    <w:lvl w:ilvl="2">
      <w:start w:val="1"/>
      <w:numFmt w:val="decimal"/>
      <w:lvlText w:val="%1.%2.%3"/>
      <w:lvlJc w:val="start"/>
      <w:pPr>
        <w:tabs>
          <w:tab w:val="num" w:pos="1440"/>
        </w:tabs>
        <w:ind w:start="1440" w:hanging="540"/>
      </w:pPr>
    </w:lvl>
    <w:lvl w:ilvl="3">
      <w:start w:val="1"/>
      <w:numFmt w:val="decimal"/>
      <w:lvlText w:val="%1.%2.%3.%4"/>
      <w:lvlJc w:val="start"/>
      <w:pPr>
        <w:tabs>
          <w:tab w:val="num" w:pos="2160"/>
        </w:tabs>
        <w:ind w:start="2160" w:hanging="720"/>
      </w:pPr>
    </w:lvl>
    <w:lvl w:ilvl="4">
      <w:start w:val="1"/>
      <w:numFmt w:val="decimal"/>
      <w:lvlText w:val="%1.%2.%3.%4.%5"/>
      <w:lvlJc w:val="start"/>
      <w:pPr>
        <w:tabs>
          <w:tab w:val="num" w:pos="3240"/>
        </w:tabs>
        <w:ind w:start="3240" w:hanging="1080"/>
      </w:pPr>
    </w:lvl>
    <w:lvl w:ilvl="5">
      <w:start w:val="1"/>
      <w:numFmt w:val="decimal"/>
      <w:lvlText w:val="%1.%2.%3.%4.%5.%6"/>
      <w:lvlJc w:val="start"/>
      <w:pPr>
        <w:tabs>
          <w:tab w:val="num" w:pos="4320"/>
        </w:tabs>
        <w:ind w:start="4320" w:hanging="1080"/>
      </w:pPr>
    </w:lvl>
    <w:lvl w:ilvl="6">
      <w:start w:val="1"/>
      <w:numFmt w:val="decimal"/>
      <w:lvlText w:val="%1.%2.%3.%4.%5.%6.%7"/>
      <w:lvlJc w:val="start"/>
      <w:pPr>
        <w:tabs>
          <w:tab w:val="num" w:pos="5400"/>
        </w:tabs>
        <w:ind w:start="5227" w:hanging="907"/>
      </w:pPr>
    </w:lvl>
    <w:lvl w:ilvl="7">
      <w:start w:val="1"/>
      <w:numFmt w:val="decimal"/>
      <w:lvlText w:val="%1.%2.%3.%4.%5.%6.%7.%8"/>
      <w:lvlJc w:val="start"/>
      <w:pPr>
        <w:tabs>
          <w:tab w:val="num" w:pos="6667"/>
        </w:tabs>
        <w:ind w:start="6120" w:hanging="893"/>
      </w:pPr>
    </w:lvl>
    <w:lvl w:ilvl="8">
      <w:start w:val="1"/>
      <w:numFmt w:val="decimal"/>
      <w:lvlText w:val="%1.%2.%3.%4.%5.%6.%7.%8.%9"/>
      <w:lvlJc w:val="start"/>
      <w:pPr>
        <w:tabs>
          <w:tab w:val="num" w:pos="7560"/>
        </w:tabs>
        <w:ind w:start="7200" w:hanging="1080"/>
      </w:pPr>
    </w:lvl>
  </w:abstractNum>
  <w:abstractNum w:abstractNumId="4">
    <w:lvl w:ilvl="0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Liberation Serif" w:hAnsi="Liberation Serif" w:cs="Liberation Serif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4"/>
      <w:lang w:val="en-US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outlineLvl w:val="1"/>
    </w:pPr>
    <w:rPr>
      <w:b/>
      <w:bCs/>
      <w:u w:val="single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before="40" w:after="0"/>
      <w:outlineLvl w:val="2"/>
    </w:pPr>
    <w:rPr>
      <w:rFonts w:ascii="Cambria" w:hAnsi="Cambria" w:eastAsia="MS Gothic;ＭＳ ゴシック" w:cs="Cambria"/>
      <w:color w:val="243F60"/>
      <w:sz w:val="24"/>
      <w:lang w:val="en-US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WW8Num2z0">
    <w:name w:val="WW8Num2z0"/>
    <w:qFormat/>
    <w:rPr>
      <w:rFonts w:ascii="Arial" w:hAnsi="Arial" w:cs="Arial"/>
    </w:rPr>
  </w:style>
  <w:style w:type="character" w:styleId="WW8Num3z0">
    <w:name w:val="WW8Num3z0"/>
    <w:qFormat/>
    <w:rPr/>
  </w:style>
  <w:style w:type="character" w:styleId="WW8Num4z0">
    <w:name w:val="WW8Num4z0"/>
    <w:qFormat/>
    <w:rPr>
      <w:rFonts w:ascii="Symbol" w:hAnsi="Symbol" w:cs="Symbo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5z1">
    <w:name w:val="WW8Num5z1"/>
    <w:qFormat/>
    <w:rPr>
      <w:rFonts w:ascii="Gotham-Light" w:hAnsi="Gotham-Light" w:eastAsia="Calibri" w:cs="Times New Roman"/>
      <w:sz w:val="22"/>
      <w:szCs w:val="22"/>
    </w:rPr>
  </w:style>
  <w:style w:type="character" w:styleId="WW8Num5z2">
    <w:name w:val="WW8Num5z2"/>
    <w:qFormat/>
    <w:rPr>
      <w:rFonts w:ascii="Symbol" w:hAnsi="Symbol" w:cs="Symbol"/>
    </w:rPr>
  </w:style>
  <w:style w:type="character" w:styleId="WW8Num6z0">
    <w:name w:val="WW8Num6z0"/>
    <w:qFormat/>
    <w:rPr>
      <w:rFonts w:ascii="Wingdings" w:hAnsi="Wingdings" w:cs="Wingdings"/>
      <w:sz w:val="22"/>
    </w:rPr>
  </w:style>
  <w:style w:type="character" w:styleId="WW8Num6z1">
    <w:name w:val="WW8Num6z1"/>
    <w:qFormat/>
    <w:rPr>
      <w:rFonts w:ascii="Symbol" w:hAnsi="Symbol" w:cs="Symbol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6z4">
    <w:name w:val="WW8Num6z4"/>
    <w:qFormat/>
    <w:rPr>
      <w:rFonts w:ascii="Courier New" w:hAnsi="Courier New" w:cs="Courier New"/>
    </w:rPr>
  </w:style>
  <w:style w:type="character" w:styleId="WW8Num7z0">
    <w:name w:val="WW8Num7z0"/>
    <w:qFormat/>
    <w:rPr>
      <w:b w:val="false"/>
      <w:i w:val="false"/>
    </w:rPr>
  </w:style>
  <w:style w:type="character" w:styleId="WW8Num8z0">
    <w:name w:val="WW8Num8z0"/>
    <w:qFormat/>
    <w:rPr/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8z3">
    <w:name w:val="WW8Num8z3"/>
    <w:qFormat/>
    <w:rPr>
      <w:rFonts w:ascii="Symbol" w:hAnsi="Symbol" w:cs="Symbol"/>
    </w:rPr>
  </w:style>
  <w:style w:type="character" w:styleId="WW8Num10z0">
    <w:name w:val="WW8Num10z0"/>
    <w:qFormat/>
    <w:rPr>
      <w:rFonts w:ascii="Arial" w:hAnsi="Arial" w:cs="Arial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0z3">
    <w:name w:val="WW8Num10z3"/>
    <w:qFormat/>
    <w:rPr>
      <w:rFonts w:ascii="Symbol" w:hAnsi="Symbol" w:cs="Symbol"/>
    </w:rPr>
  </w:style>
  <w:style w:type="character" w:styleId="WW8Num11z0">
    <w:name w:val="WW8Num11z0"/>
    <w:qFormat/>
    <w:rPr>
      <w:rFonts w:ascii="Symbol" w:hAnsi="Symbol" w:cs="Symbol"/>
    </w:rPr>
  </w:style>
  <w:style w:type="character" w:styleId="WW8Num11z1">
    <w:name w:val="WW8Num11z1"/>
    <w:qFormat/>
    <w:rPr>
      <w:rFonts w:ascii="Courier New" w:hAnsi="Courier New" w:cs="Courier New"/>
    </w:rPr>
  </w:style>
  <w:style w:type="character" w:styleId="WW8Num11z2">
    <w:name w:val="WW8Num11z2"/>
    <w:qFormat/>
    <w:rPr>
      <w:rFonts w:ascii="Wingdings" w:hAnsi="Wingdings" w:cs="Wingdings"/>
    </w:rPr>
  </w:style>
  <w:style w:type="character" w:styleId="WW8Num12z0">
    <w:name w:val="WW8Num12z0"/>
    <w:qFormat/>
    <w:rPr>
      <w:rFonts w:ascii="Arial" w:hAnsi="Arial" w:cs="Arial"/>
    </w:rPr>
  </w:style>
  <w:style w:type="character" w:styleId="WW8Num12z1">
    <w:name w:val="WW8Num12z1"/>
    <w:qFormat/>
    <w:rPr>
      <w:rFonts w:ascii="Courier New" w:hAnsi="Courier New" w:cs="Courier New"/>
    </w:rPr>
  </w:style>
  <w:style w:type="character" w:styleId="WW8Num12z2">
    <w:name w:val="WW8Num12z2"/>
    <w:qFormat/>
    <w:rPr>
      <w:rFonts w:ascii="Wingdings" w:hAnsi="Wingdings" w:cs="Wingdings"/>
    </w:rPr>
  </w:style>
  <w:style w:type="character" w:styleId="WW8Num12z3">
    <w:name w:val="WW8Num12z3"/>
    <w:qFormat/>
    <w:rPr>
      <w:rFonts w:ascii="Symbol" w:hAnsi="Symbol" w:cs="Symbol"/>
    </w:rPr>
  </w:style>
  <w:style w:type="character" w:styleId="Carpredefinitoparagrafo">
    <w:name w:val="Car. predefinito paragrafo"/>
    <w:qFormat/>
    <w:rPr/>
  </w:style>
  <w:style w:type="character" w:styleId="Rimandocommento">
    <w:name w:val="Rimando commento"/>
    <w:qFormat/>
    <w:rPr>
      <w:sz w:val="16"/>
      <w:szCs w:val="16"/>
    </w:rPr>
  </w:style>
  <w:style w:type="character" w:styleId="TestofumettoCarattere">
    <w:name w:val="Testo fumetto Carattere"/>
    <w:qFormat/>
    <w:rPr>
      <w:rFonts w:ascii="Tahoma" w:hAnsi="Tahoma" w:cs="Tahoma"/>
      <w:sz w:val="16"/>
      <w:szCs w:val="16"/>
    </w:rPr>
  </w:style>
  <w:style w:type="character" w:styleId="Titolo3Carattere">
    <w:name w:val="Titolo 3 Carattere"/>
    <w:qFormat/>
    <w:rPr>
      <w:rFonts w:ascii="Cambria" w:hAnsi="Cambria" w:eastAsia="MS Gothic;ＭＳ ゴシック" w:cs="Times New Roman"/>
      <w:color w:val="243F60"/>
      <w:sz w:val="24"/>
      <w:szCs w:val="24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954F72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DOutline">
    <w:name w:val="CD Outline"/>
    <w:basedOn w:val="Normal"/>
    <w:qFormat/>
    <w:pPr>
      <w:numPr>
        <w:ilvl w:val="0"/>
        <w:numId w:val="3"/>
      </w:numPr>
      <w:spacing w:before="200" w:after="0"/>
      <w:outlineLvl w:val="0"/>
    </w:pPr>
    <w:rPr>
      <w:szCs w:val="20"/>
    </w:rPr>
  </w:style>
  <w:style w:type="paragraph" w:styleId="Index1">
    <w:name w:val="Index 1"/>
    <w:basedOn w:val="Normal"/>
    <w:next w:val="Normal"/>
    <w:pPr>
      <w:numPr>
        <w:ilvl w:val="0"/>
        <w:numId w:val="2"/>
      </w:numPr>
      <w:spacing w:before="110" w:after="0"/>
      <w:jc w:val="both"/>
    </w:pPr>
    <w:rPr>
      <w:sz w:val="22"/>
      <w:szCs w:val="20"/>
    </w:rPr>
  </w:style>
  <w:style w:type="paragraph" w:styleId="Index2">
    <w:name w:val="Index 2"/>
    <w:basedOn w:val="Normal"/>
    <w:next w:val="Normal"/>
    <w:pPr>
      <w:numPr>
        <w:ilvl w:val="0"/>
        <w:numId w:val="4"/>
      </w:numPr>
      <w:spacing w:before="110" w:after="0"/>
      <w:jc w:val="both"/>
    </w:pPr>
    <w:rPr>
      <w:bCs/>
      <w:sz w:val="22"/>
      <w:szCs w:val="20"/>
      <w:lang w:val="en-US" w:eastAsia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/>
    <w:rPr/>
  </w:style>
  <w:style w:type="paragraph" w:styleId="Footer">
    <w:name w:val="Footer"/>
    <w:basedOn w:val="Normal"/>
    <w:pPr/>
    <w:rPr/>
  </w:style>
  <w:style w:type="paragraph" w:styleId="Testocommento">
    <w:name w:val="Testo commento"/>
    <w:basedOn w:val="Normal"/>
    <w:qFormat/>
    <w:pPr/>
    <w:rPr>
      <w:szCs w:val="20"/>
    </w:rPr>
  </w:style>
  <w:style w:type="paragraph" w:styleId="Testofumetto">
    <w:name w:val="Testo fumetto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PRCBULLET">
    <w:name w:val="PRC BULLET"/>
    <w:basedOn w:val="Normal"/>
    <w:qFormat/>
    <w:pPr>
      <w:widowControl w:val="false"/>
      <w:autoSpaceDE w:val="false"/>
      <w:spacing w:before="60" w:after="72"/>
      <w:ind w:hanging="173" w:start="749" w:end="0"/>
    </w:pPr>
    <w:rPr>
      <w:rFonts w:ascii="CG Times (WN)" w:hAnsi="CG Times (WN)" w:cs="CG Times (WN)"/>
      <w:sz w:val="24"/>
    </w:rPr>
  </w:style>
  <w:style w:type="paragraph" w:styleId="Links12N0">
    <w:name w:val="Links 12 (N0)"/>
    <w:basedOn w:val="Normal"/>
    <w:qFormat/>
    <w:pPr>
      <w:overflowPunct w:val="false"/>
      <w:autoSpaceDE w:val="false"/>
      <w:textAlignment w:val="baseline"/>
    </w:pPr>
    <w:rPr>
      <w:rFonts w:ascii="Arial" w:hAnsi="Arial" w:cs="Arial"/>
      <w:sz w:val="24"/>
      <w:szCs w:val="20"/>
      <w:lang w:val="de-DE"/>
    </w:rPr>
  </w:style>
  <w:style w:type="paragraph" w:styleId="ColorfulList-Accent11">
    <w:name w:val="Colorful List - Accent 11"/>
    <w:basedOn w:val="Normal"/>
    <w:qFormat/>
    <w:pPr>
      <w:ind w:hanging="0" w:start="720" w:end="0"/>
    </w:pPr>
    <w:rPr/>
  </w:style>
  <w:style w:type="paragraph" w:styleId="Paragrafoelenco">
    <w:name w:val="Paragrafo elenco"/>
    <w:basedOn w:val="Normal"/>
    <w:qFormat/>
    <w:pPr>
      <w:spacing w:before="0" w:after="0"/>
      <w:ind w:hanging="0" w:start="720" w:end="0"/>
      <w:contextualSpacing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Maurizio Gustinicchi Consulting</cp:lastModifiedBy>
  <cp:revision>1</cp:revision>
  <dcterms:modified xsi:type="dcterms:W3CDTF">2026-07-27T07:29:59Z</dcterms:modified>
  <dc:description>MasterComplianceHSQE by Maurizio Gustinicchi Consulting</dc:description>
  <dc:creator>Maurizio Gustinicchi Consulting</dc:creator>
</cp:coreProperties>
</file>