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OC1"/>
        <w:tabs>
          <w:tab w:val="clear" w:pos="708"/>
          <w:tab w:val="left" w:pos="426" w:leader="none"/>
          <w:tab w:val="right" w:pos="9781" w:leader="underscore"/>
        </w:tabs>
        <w:spacing w:before="120" w:after="0"/>
        <w:ind w:end="-142"/>
        <w:rPr>
          <w:rStyle w:val="PageNumber"/>
          <w:rFonts w:ascii="Calibri" w:hAnsi="Calibri" w:cs="Calibri"/>
          <w:i/>
          <w:i/>
          <w:szCs w:val="24"/>
        </w:rPr>
      </w:pPr>
      <w:r>
        <w:rPr/>
      </w:r>
    </w:p>
    <w:p>
      <w:pPr>
        <w:pStyle w:val="TOC1"/>
        <w:tabs>
          <w:tab w:val="clear" w:pos="708"/>
          <w:tab w:val="right" w:pos="9072" w:leader="underscore"/>
        </w:tabs>
        <w:ind w:end="-142"/>
        <w:jc w:val="center"/>
        <w:rPr/>
      </w:pPr>
      <w:r>
        <w:rPr>
          <w:rStyle w:val="PageNumber"/>
          <w:rFonts w:cs="Calibri" w:ascii="Calibri" w:hAnsi="Calibri"/>
          <w:i/>
          <w:szCs w:val="24"/>
        </w:rPr>
        <w:t>INDICE</w:t>
      </w:r>
    </w:p>
    <w:p>
      <w:pPr>
        <w:pStyle w:val="Normal"/>
        <w:ind w:end="-142"/>
        <w:rPr>
          <w:rStyle w:val="PageNumber"/>
          <w:rFonts w:ascii="Calibri" w:hAnsi="Calibri" w:cs="Calibri"/>
          <w:i/>
          <w:i/>
          <w:szCs w:val="24"/>
        </w:rPr>
      </w:pPr>
      <w:r>
        <w:rPr/>
      </w:r>
    </w:p>
    <w:p>
      <w:pPr>
        <w:pStyle w:val="Normal"/>
        <w:ind w:end="-142"/>
        <w:rPr>
          <w:rStyle w:val="PageNumber"/>
          <w:rFonts w:ascii="Calibri" w:hAnsi="Calibri" w:cs="Calibri"/>
          <w:szCs w:val="24"/>
        </w:rPr>
      </w:pPr>
      <w:r>
        <w:rPr/>
      </w:r>
    </w:p>
    <w:p>
      <w:pPr>
        <w:pStyle w:val="Normal"/>
        <w:ind w:end="-142"/>
        <w:rPr>
          <w:rStyle w:val="PageNumber"/>
          <w:rFonts w:ascii="Calibri" w:hAnsi="Calibri" w:cs="Calibri"/>
          <w:szCs w:val="24"/>
        </w:rPr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2"/>
            <w:tabs>
              <w:tab w:val="clear" w:pos="708"/>
              <w:tab w:val="left" w:pos="720" w:leader="none"/>
              <w:tab w:val="right" w:pos="9912" w:leader="dot"/>
            </w:tabs>
            <w:rPr>
              <w:rFonts w:ascii="Calibri" w:hAnsi="Calibri" w:cs="Calibri"/>
              <w:b w:val="false"/>
              <w:sz w:val="24"/>
              <w:szCs w:val="24"/>
              <w:lang w:val="en-US" w:eastAsia="en-US"/>
            </w:rPr>
          </w:pPr>
          <w:r>
            <w:fldChar w:fldCharType="begin"/>
          </w:r>
          <w:r>
            <w:rPr>
              <w:rStyle w:val="IndexLink"/>
              <w:sz w:val="24"/>
              <w:b/>
              <w:szCs w:val="24"/>
              <w:rFonts w:cs="Calibri" w:ascii="Calibri" w:hAnsi="Calibri"/>
              <w:lang w:val="en-US" w:eastAsia="en-US"/>
            </w:rPr>
            <w:instrText xml:space="preserve"> TOC \o "1-3" \h \z \u </w:instrText>
          </w:r>
          <w:r>
            <w:rPr>
              <w:rStyle w:val="IndexLink"/>
              <w:sz w:val="24"/>
              <w:b/>
              <w:szCs w:val="24"/>
              <w:rFonts w:cs="Calibri" w:ascii="Calibri" w:hAnsi="Calibri"/>
              <w:lang w:val="en-US" w:eastAsia="en-US"/>
            </w:rPr>
            <w:fldChar w:fldCharType="separate"/>
          </w:r>
          <w:hyperlink w:anchor="__RefHeading___Toc29141683">
            <w:r>
              <w:rPr>
                <w:rStyle w:val="IndexLink"/>
                <w:rFonts w:cs="Calibri" w:ascii="Calibri" w:hAnsi="Calibri"/>
                <w:b/>
                <w:sz w:val="24"/>
                <w:szCs w:val="24"/>
                <w:lang w:val="en-US" w:eastAsia="en-US"/>
              </w:rPr>
              <w:t xml:space="preserve">1. </w:t>
            </w:r>
            <w:r>
              <w:rPr>
                <w:rStyle w:val="IndexLink"/>
                <w:rFonts w:cs="Calibri" w:ascii="Calibri" w:hAnsi="Calibri"/>
                <w:b w:val="false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cs="Calibri" w:ascii="Calibri" w:hAnsi="Calibri"/>
                <w:b/>
                <w:sz w:val="24"/>
                <w:szCs w:val="24"/>
                <w:lang w:val="en-US" w:eastAsia="en-US"/>
              </w:rPr>
              <w:t>SCOPO</w:t>
            </w:r>
            <w:r>
              <w:rPr>
                <w:rStyle w:val="IndexLink"/>
                <w:rFonts w:cs="Calibri" w:ascii="Calibri" w:hAnsi="Calibri"/>
                <w:b w:val="false"/>
                <w:sz w:val="24"/>
                <w:szCs w:val="24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708"/>
              <w:tab w:val="left" w:pos="720" w:leader="none"/>
              <w:tab w:val="right" w:pos="9912" w:leader="dot"/>
            </w:tabs>
            <w:rPr>
              <w:rFonts w:ascii="Calibri" w:hAnsi="Calibri" w:cs="Calibri"/>
              <w:b w:val="false"/>
              <w:sz w:val="24"/>
              <w:szCs w:val="24"/>
              <w:lang w:val="en-US" w:eastAsia="en-US"/>
            </w:rPr>
          </w:pPr>
          <w:hyperlink w:anchor="__RefHeading___Toc29141684">
            <w:r>
              <w:rPr>
                <w:rStyle w:val="IndexLink"/>
                <w:rFonts w:cs="Calibri" w:ascii="Calibri" w:hAnsi="Calibri"/>
                <w:b/>
                <w:sz w:val="24"/>
                <w:szCs w:val="24"/>
                <w:lang w:val="en-US" w:eastAsia="en-US"/>
              </w:rPr>
              <w:t xml:space="preserve">2. </w:t>
            </w:r>
            <w:r>
              <w:rPr>
                <w:rStyle w:val="IndexLink"/>
                <w:rFonts w:cs="Calibri" w:ascii="Calibri" w:hAnsi="Calibri"/>
                <w:b w:val="false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cs="Calibri" w:ascii="Calibri" w:hAnsi="Calibri"/>
                <w:b/>
                <w:sz w:val="24"/>
                <w:szCs w:val="24"/>
                <w:lang w:val="en-US" w:eastAsia="en-US"/>
              </w:rPr>
              <w:t>APPLICABILITA’ E RESPONSABILITA’</w:t>
            </w:r>
            <w:r>
              <w:rPr>
                <w:rStyle w:val="IndexLink"/>
                <w:rFonts w:cs="Calibri" w:ascii="Calibri" w:hAnsi="Calibri"/>
                <w:b w:val="false"/>
                <w:sz w:val="24"/>
                <w:szCs w:val="24"/>
                <w:lang w:val="en-US" w:eastAsia="en-US"/>
              </w:rPr>
              <w:tab/>
              <w:t>2</w:t>
            </w:r>
          </w:hyperlink>
        </w:p>
        <w:p>
          <w:pPr>
            <w:pStyle w:val="TOC3"/>
            <w:tabs>
              <w:tab w:val="clear" w:pos="708"/>
              <w:tab w:val="left" w:pos="1200" w:leader="none"/>
              <w:tab w:val="right" w:pos="9912" w:leader="dot"/>
            </w:tabs>
            <w:rPr>
              <w:rFonts w:ascii="Calibri" w:hAnsi="Calibri" w:cs="Calibri"/>
              <w:sz w:val="24"/>
              <w:szCs w:val="24"/>
              <w:lang w:val="en-US" w:eastAsia="en-US"/>
            </w:rPr>
          </w:pPr>
          <w:hyperlink w:anchor="__RefHeading___Toc29141685">
            <w:r>
              <w:rPr>
                <w:rStyle w:val="IndexLink"/>
                <w:rFonts w:cs="Calibri" w:ascii="Calibri" w:hAnsi="Calibri"/>
                <w:sz w:val="24"/>
                <w:szCs w:val="24"/>
                <w:lang w:val="en-US" w:eastAsia="en-US"/>
              </w:rPr>
              <w:t xml:space="preserve">2.1 </w:t>
              <w:tab/>
              <w:t>APPLICABILITÀ</w:t>
              <w:tab/>
              <w:t>2</w:t>
            </w:r>
          </w:hyperlink>
        </w:p>
        <w:p>
          <w:pPr>
            <w:pStyle w:val="TOC3"/>
            <w:tabs>
              <w:tab w:val="clear" w:pos="708"/>
              <w:tab w:val="left" w:pos="1200" w:leader="none"/>
              <w:tab w:val="right" w:pos="9912" w:leader="dot"/>
            </w:tabs>
            <w:rPr>
              <w:rFonts w:ascii="Calibri" w:hAnsi="Calibri" w:cs="Calibri"/>
              <w:sz w:val="24"/>
              <w:szCs w:val="24"/>
              <w:lang w:val="en-US" w:eastAsia="en-US"/>
            </w:rPr>
          </w:pPr>
          <w:hyperlink w:anchor="__RefHeading___Toc29141686">
            <w:r>
              <w:rPr>
                <w:rStyle w:val="IndexLink"/>
                <w:rFonts w:cs="Calibri" w:ascii="Calibri" w:hAnsi="Calibri"/>
                <w:sz w:val="24"/>
                <w:szCs w:val="24"/>
                <w:lang w:val="en-US" w:eastAsia="en-US"/>
              </w:rPr>
              <w:t xml:space="preserve">2.2 </w:t>
              <w:tab/>
              <w:t>FUNZIONI COINVOLTE E RESPONSABILITÀ</w:t>
              <w:tab/>
              <w:t>2</w:t>
            </w:r>
          </w:hyperlink>
        </w:p>
        <w:p>
          <w:pPr>
            <w:pStyle w:val="TOC2"/>
            <w:tabs>
              <w:tab w:val="clear" w:pos="708"/>
              <w:tab w:val="left" w:pos="720" w:leader="none"/>
              <w:tab w:val="right" w:pos="9912" w:leader="dot"/>
            </w:tabs>
            <w:rPr>
              <w:rFonts w:ascii="Calibri" w:hAnsi="Calibri" w:cs="Calibri"/>
              <w:b w:val="false"/>
              <w:sz w:val="24"/>
              <w:szCs w:val="24"/>
              <w:lang w:val="en-US" w:eastAsia="en-US"/>
            </w:rPr>
          </w:pPr>
          <w:hyperlink w:anchor="__RefHeading___Toc29141687">
            <w:r>
              <w:rPr>
                <w:rStyle w:val="IndexLink"/>
                <w:rFonts w:cs="Calibri" w:ascii="Calibri" w:hAnsi="Calibri"/>
                <w:b/>
                <w:sz w:val="24"/>
                <w:szCs w:val="24"/>
                <w:lang w:val="en-US" w:eastAsia="en-US"/>
              </w:rPr>
              <w:t xml:space="preserve">3. </w:t>
            </w:r>
            <w:r>
              <w:rPr>
                <w:rStyle w:val="IndexLink"/>
                <w:rFonts w:cs="Calibri" w:ascii="Calibri" w:hAnsi="Calibri"/>
                <w:b w:val="false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cs="Calibri" w:ascii="Calibri" w:hAnsi="Calibri"/>
                <w:b/>
                <w:sz w:val="24"/>
                <w:szCs w:val="24"/>
                <w:lang w:val="en-US" w:eastAsia="en-US"/>
              </w:rPr>
              <w:t>DESCRIZIONE DELLE ATTIVITA’</w:t>
            </w:r>
            <w:r>
              <w:rPr>
                <w:rStyle w:val="IndexLink"/>
                <w:rFonts w:cs="Calibri" w:ascii="Calibri" w:hAnsi="Calibri"/>
                <w:b w:val="false"/>
                <w:sz w:val="24"/>
                <w:szCs w:val="24"/>
                <w:lang w:val="en-US" w:eastAsia="en-US"/>
              </w:rPr>
              <w:tab/>
              <w:t>2</w:t>
            </w:r>
          </w:hyperlink>
        </w:p>
        <w:p>
          <w:pPr>
            <w:pStyle w:val="TOC3"/>
            <w:tabs>
              <w:tab w:val="clear" w:pos="708"/>
              <w:tab w:val="right" w:pos="9912" w:leader="dot"/>
            </w:tabs>
            <w:rPr>
              <w:rFonts w:ascii="Calibri" w:hAnsi="Calibri" w:cs="Calibri"/>
              <w:caps/>
              <w:sz w:val="24"/>
              <w:szCs w:val="24"/>
              <w:lang w:val="en-US" w:eastAsia="en-US"/>
            </w:rPr>
          </w:pPr>
          <w:hyperlink w:anchor="__RefHeading___Toc29141688">
            <w:r>
              <w:rPr>
                <w:rStyle w:val="IndexLink"/>
                <w:rFonts w:cs="Calibri" w:ascii="Calibri" w:hAnsi="Calibri"/>
                <w:caps/>
                <w:sz w:val="24"/>
                <w:szCs w:val="24"/>
                <w:lang w:val="en-US" w:eastAsia="en-US"/>
              </w:rPr>
              <w:t>3.1 Rifiuti non pericolosi</w:t>
              <w:tab/>
              <w:t>2</w:t>
            </w:r>
          </w:hyperlink>
        </w:p>
        <w:p>
          <w:pPr>
            <w:pStyle w:val="TOC3"/>
            <w:tabs>
              <w:tab w:val="clear" w:pos="708"/>
              <w:tab w:val="right" w:pos="9912" w:leader="dot"/>
            </w:tabs>
            <w:rPr>
              <w:rFonts w:ascii="Calibri" w:hAnsi="Calibri" w:cs="Calibri"/>
              <w:caps/>
              <w:sz w:val="24"/>
              <w:szCs w:val="24"/>
              <w:lang w:val="en-US" w:eastAsia="en-US"/>
            </w:rPr>
          </w:pPr>
          <w:hyperlink w:anchor="__RefHeading___Toc29141689">
            <w:r>
              <w:rPr>
                <w:rStyle w:val="IndexLink"/>
                <w:rFonts w:cs="Calibri" w:ascii="Calibri" w:hAnsi="Calibri"/>
                <w:caps/>
                <w:sz w:val="24"/>
                <w:szCs w:val="24"/>
                <w:lang w:val="en-US" w:eastAsia="en-US"/>
              </w:rPr>
              <w:t>3.2 Rifiuti pericolosi</w:t>
              <w:tab/>
              <w:t>2</w:t>
            </w:r>
          </w:hyperlink>
        </w:p>
        <w:p>
          <w:pPr>
            <w:pStyle w:val="TOC3"/>
            <w:tabs>
              <w:tab w:val="clear" w:pos="708"/>
              <w:tab w:val="right" w:pos="9912" w:leader="dot"/>
            </w:tabs>
            <w:rPr>
              <w:rFonts w:ascii="Calibri" w:hAnsi="Calibri" w:cs="Calibri"/>
              <w:caps/>
              <w:sz w:val="24"/>
              <w:szCs w:val="24"/>
              <w:lang w:val="en-US" w:eastAsia="en-US"/>
            </w:rPr>
          </w:pPr>
          <w:hyperlink w:anchor="__RefHeading___Toc29141690">
            <w:r>
              <w:rPr>
                <w:rStyle w:val="IndexLink"/>
                <w:rFonts w:cs="Calibri" w:ascii="Calibri" w:hAnsi="Calibri"/>
                <w:caps/>
                <w:sz w:val="24"/>
                <w:szCs w:val="24"/>
                <w:lang w:val="en-US" w:eastAsia="en-US"/>
              </w:rPr>
              <w:t>3.3 Rifiuti Nuovi</w:t>
              <w:tab/>
              <w:t>3</w:t>
            </w:r>
          </w:hyperlink>
        </w:p>
        <w:p>
          <w:pPr>
            <w:pStyle w:val="TOC3"/>
            <w:tabs>
              <w:tab w:val="clear" w:pos="708"/>
              <w:tab w:val="right" w:pos="9912" w:leader="dot"/>
            </w:tabs>
            <w:rPr>
              <w:rFonts w:ascii="Calibri" w:hAnsi="Calibri" w:cs="Calibri"/>
              <w:caps/>
              <w:sz w:val="24"/>
              <w:szCs w:val="24"/>
              <w:lang w:val="en-US" w:eastAsia="en-US"/>
            </w:rPr>
          </w:pPr>
          <w:hyperlink w:anchor="__RefHeading___Toc29141691">
            <w:r>
              <w:rPr>
                <w:rStyle w:val="IndexLink"/>
                <w:rFonts w:cs="Calibri" w:ascii="Calibri" w:hAnsi="Calibri"/>
                <w:caps/>
                <w:sz w:val="24"/>
                <w:szCs w:val="24"/>
                <w:lang w:val="en-US" w:eastAsia="en-US"/>
              </w:rPr>
              <w:t>3.4 Deposito, etichettatura ed identificazione del rifiuto</w:t>
              <w:tab/>
              <w:t>3</w:t>
            </w:r>
          </w:hyperlink>
        </w:p>
        <w:p>
          <w:pPr>
            <w:pStyle w:val="TOC3"/>
            <w:tabs>
              <w:tab w:val="clear" w:pos="708"/>
              <w:tab w:val="right" w:pos="9912" w:leader="dot"/>
            </w:tabs>
            <w:rPr>
              <w:rFonts w:ascii="Calibri" w:hAnsi="Calibri" w:cs="Calibri"/>
              <w:sz w:val="24"/>
              <w:szCs w:val="24"/>
              <w:lang w:val="en-US" w:eastAsia="en-US"/>
            </w:rPr>
          </w:pPr>
          <w:hyperlink w:anchor="__RefHeading___Toc29141692">
            <w:r>
              <w:rPr>
                <w:rStyle w:val="IndexLink"/>
                <w:rFonts w:cs="Calibri" w:ascii="Calibri" w:hAnsi="Calibri"/>
                <w:caps/>
                <w:sz w:val="24"/>
                <w:szCs w:val="24"/>
                <w:lang w:val="en-US" w:eastAsia="en-US"/>
              </w:rPr>
              <w:t>3.5 Registrazioni Obbligatorie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912" w:leader="dot"/>
            </w:tabs>
            <w:rPr>
              <w:rFonts w:ascii="Calibri" w:hAnsi="Calibri" w:cs="Calibri"/>
              <w:b w:val="false"/>
              <w:sz w:val="24"/>
              <w:szCs w:val="24"/>
              <w:lang w:val="en-US" w:eastAsia="en-US"/>
            </w:rPr>
          </w:pPr>
          <w:hyperlink w:anchor="__RefHeading___Toc29141693">
            <w:r>
              <w:rPr>
                <w:rStyle w:val="IndexLink"/>
                <w:rFonts w:cs="Calibri" w:ascii="Calibri" w:hAnsi="Calibri"/>
                <w:b/>
                <w:sz w:val="24"/>
                <w:szCs w:val="24"/>
                <w:lang w:val="en-US" w:eastAsia="en-US"/>
              </w:rPr>
              <w:t>4.       TERMINI, DEFINIZIONI E SIGLE</w:t>
            </w:r>
            <w:r>
              <w:rPr>
                <w:rStyle w:val="IndexLink"/>
                <w:rFonts w:cs="Calibri" w:ascii="Calibri" w:hAnsi="Calibri"/>
                <w:b w:val="false"/>
                <w:sz w:val="24"/>
                <w:szCs w:val="24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912" w:leader="dot"/>
            </w:tabs>
            <w:rPr>
              <w:rFonts w:ascii="Calibri" w:hAnsi="Calibri" w:cs="Calibri"/>
              <w:b w:val="false"/>
              <w:sz w:val="24"/>
              <w:szCs w:val="24"/>
              <w:lang w:val="en-US" w:eastAsia="en-US"/>
            </w:rPr>
          </w:pPr>
          <w:hyperlink w:anchor="__RefHeading___Toc29141694">
            <w:r>
              <w:rPr>
                <w:rStyle w:val="IndexLink"/>
                <w:rFonts w:cs="Calibri" w:ascii="Calibri" w:hAnsi="Calibri"/>
                <w:b/>
                <w:sz w:val="24"/>
                <w:szCs w:val="24"/>
                <w:lang w:val="en-US" w:eastAsia="en-US"/>
              </w:rPr>
              <w:t>5.       DISTRIBUZIONE</w:t>
            </w:r>
            <w:r>
              <w:rPr>
                <w:rStyle w:val="IndexLink"/>
                <w:rFonts w:cs="Calibri" w:ascii="Calibri" w:hAnsi="Calibri"/>
                <w:b w:val="false"/>
                <w:sz w:val="24"/>
                <w:szCs w:val="24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912" w:leader="dot"/>
            </w:tabs>
            <w:rPr>
              <w:rFonts w:ascii="Calibri" w:hAnsi="Calibri" w:cs="Calibri"/>
              <w:b w:val="false"/>
              <w:sz w:val="24"/>
              <w:szCs w:val="24"/>
              <w:lang w:val="en-US" w:eastAsia="en-US"/>
            </w:rPr>
          </w:pPr>
          <w:hyperlink w:anchor="__RefHeading___Toc29141695">
            <w:r>
              <w:rPr>
                <w:rStyle w:val="IndexLink"/>
                <w:rFonts w:cs="Calibri" w:ascii="Calibri" w:hAnsi="Calibri"/>
                <w:b/>
                <w:sz w:val="24"/>
                <w:szCs w:val="24"/>
                <w:lang w:val="en-US" w:eastAsia="en-US"/>
              </w:rPr>
              <w:t>6.       DOCUMENTAZIONE DI RIFERIMENTO</w:t>
            </w:r>
            <w:r>
              <w:rPr>
                <w:rStyle w:val="IndexLink"/>
                <w:rFonts w:cs="Calibri" w:ascii="Calibri" w:hAnsi="Calibri"/>
                <w:b w:val="false"/>
                <w:sz w:val="24"/>
                <w:szCs w:val="24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912" w:leader="dot"/>
            </w:tabs>
            <w:rPr>
              <w:rFonts w:ascii="Calibri" w:hAnsi="Calibri" w:cs="Calibri"/>
              <w:sz w:val="24"/>
              <w:szCs w:val="24"/>
              <w:lang w:val="en-US" w:eastAsia="en-US"/>
            </w:rPr>
          </w:pPr>
          <w:hyperlink w:anchor="__RefHeading___Toc29141696">
            <w:r>
              <w:rPr>
                <w:rStyle w:val="IndexLink"/>
                <w:rFonts w:cs="Calibri" w:ascii="Calibri" w:hAnsi="Calibri"/>
                <w:b w:val="false"/>
                <w:sz w:val="24"/>
                <w:szCs w:val="24"/>
                <w:lang w:val="en-US" w:eastAsia="en-US"/>
              </w:rPr>
              <w:t>7.       ARCHIVIAZIONE E CONSERVAZIONE REGISTRAZIONI</w:t>
              <w:tab/>
              <w:t>4</w:t>
            </w:r>
          </w:hyperlink>
          <w:r>
            <w:rPr>
              <w:rStyle w:val="IndexLink"/>
              <w:sz w:val="24"/>
              <w:b w:val="false"/>
              <w:szCs w:val="24"/>
              <w:rFonts w:cs="Calibri" w:ascii="Calibri" w:hAnsi="Calibri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rFonts w:ascii="Calibri" w:hAnsi="Calibri" w:cs="Calibri"/>
          <w:b/>
          <w:sz w:val="24"/>
          <w:szCs w:val="24"/>
          <w:lang w:val="en-US" w:eastAsia="en-US"/>
        </w:rPr>
      </w:pPr>
      <w:r>
        <w:rPr>
          <w:rFonts w:cs="Calibri" w:ascii="Calibri" w:hAnsi="Calibri"/>
          <w:b/>
          <w:sz w:val="24"/>
          <w:szCs w:val="24"/>
          <w:lang w:val="en-US" w:eastAsia="en-US"/>
        </w:rPr>
      </w:r>
    </w:p>
    <w:p>
      <w:pPr>
        <w:pStyle w:val="Heading2"/>
        <w:tabs>
          <w:tab w:val="clear" w:pos="851"/>
          <w:tab w:val="right" w:pos="9923" w:leader="underscore"/>
        </w:tabs>
        <w:spacing w:before="240" w:after="60"/>
        <w:ind w:end="0"/>
        <w:rPr>
          <w:rStyle w:val="PageNumber"/>
          <w:rFonts w:ascii="Calibri" w:hAnsi="Calibri" w:cs="Calibri"/>
          <w:b/>
          <w:i/>
          <w:i/>
          <w:smallCaps/>
          <w:szCs w:val="24"/>
        </w:rPr>
      </w:pPr>
      <w:r>
        <w:rPr/>
      </w:r>
    </w:p>
    <w:p>
      <w:pPr>
        <w:pStyle w:val="Heading2"/>
        <w:tabs>
          <w:tab w:val="clear" w:pos="851"/>
        </w:tabs>
        <w:spacing w:before="240" w:after="60"/>
        <w:ind w:end="0"/>
        <w:rPr>
          <w:rStyle w:val="PageNumber"/>
          <w:rFonts w:ascii="Calibri" w:hAnsi="Calibri" w:cs="Calibri"/>
          <w:b/>
          <w:i/>
          <w:i/>
          <w:smallCaps/>
          <w:szCs w:val="24"/>
        </w:rPr>
      </w:pPr>
      <w:r>
        <w:rPr/>
      </w:r>
    </w:p>
    <w:p>
      <w:pPr>
        <w:pStyle w:val="Header"/>
        <w:tabs>
          <w:tab w:val="clear" w:pos="4819"/>
          <w:tab w:val="clear" w:pos="9638"/>
          <w:tab w:val="right" w:pos="2835" w:leader="none"/>
          <w:tab w:val="right" w:pos="3119" w:leader="none"/>
        </w:tabs>
        <w:ind w:start="3540" w:end="0"/>
        <w:rPr>
          <w:rStyle w:val="PageNumber"/>
          <w:rFonts w:ascii="Calibri" w:hAnsi="Calibri" w:cs="Calibri"/>
          <w:b/>
          <w:i/>
          <w:i/>
          <w:smallCaps/>
          <w:szCs w:val="24"/>
        </w:rPr>
      </w:pPr>
      <w:r>
        <w:rPr/>
      </w:r>
      <w:r>
        <w:br w:type="page"/>
      </w:r>
    </w:p>
    <w:p>
      <w:pPr>
        <w:pStyle w:val="Heading2"/>
        <w:tabs>
          <w:tab w:val="clear" w:pos="851"/>
        </w:tabs>
        <w:spacing w:before="240" w:after="60"/>
        <w:ind w:end="0"/>
        <w:rPr/>
      </w:pPr>
      <w:bookmarkStart w:id="0" w:name="__RefHeading___Toc29141683"/>
      <w:bookmarkEnd w:id="0"/>
      <w:r>
        <w:rPr>
          <w:rFonts w:cs="Calibri" w:ascii="Calibri" w:hAnsi="Calibri"/>
          <w:b/>
          <w:caps w:val="false"/>
          <w:smallCaps w:val="false"/>
          <w:szCs w:val="24"/>
        </w:rPr>
        <w:t xml:space="preserve">1. </w:t>
        <w:tab/>
        <w:t>SCOPO</w:t>
      </w:r>
    </w:p>
    <w:p>
      <w:pPr>
        <w:pStyle w:val="Normal"/>
        <w:ind w:firstLine="142" w:end="-1"/>
        <w:jc w:val="both"/>
        <w:rPr/>
      </w:pPr>
      <w:r>
        <w:rPr>
          <w:rFonts w:cs="Calibri" w:ascii="Calibri" w:hAnsi="Calibri"/>
          <w:color w:val="000000"/>
          <w:szCs w:val="24"/>
        </w:rPr>
        <w:t>La presente procedura ha lo scopo di definire le modalità di classificazione, raccolta, e registrazione dei rifiuti prodotti dalla azienda, nel rispetto delle leggi e delle normative vigenti.</w:t>
      </w:r>
    </w:p>
    <w:p>
      <w:pPr>
        <w:pStyle w:val="Heading2"/>
        <w:tabs>
          <w:tab w:val="clear" w:pos="851"/>
        </w:tabs>
        <w:spacing w:before="240" w:after="60"/>
        <w:ind w:end="0"/>
        <w:rPr/>
      </w:pPr>
      <w:bookmarkStart w:id="1" w:name="__RefHeading___Toc29141684"/>
      <w:bookmarkEnd w:id="1"/>
      <w:r>
        <w:rPr>
          <w:rFonts w:cs="Calibri" w:ascii="Calibri" w:hAnsi="Calibri"/>
          <w:b/>
          <w:caps w:val="false"/>
          <w:smallCaps w:val="false"/>
          <w:szCs w:val="24"/>
        </w:rPr>
        <w:t xml:space="preserve">2. </w:t>
        <w:tab/>
        <w:t>APPLICABILITA’ E RESPONSABILITA’</w:t>
      </w:r>
    </w:p>
    <w:p>
      <w:pPr>
        <w:pStyle w:val="Heading3"/>
        <w:rPr>
          <w:rFonts w:ascii="Calibri" w:hAnsi="Calibri" w:cs="Calibri"/>
          <w:i w:val="false"/>
          <w:i w:val="false"/>
          <w:szCs w:val="24"/>
        </w:rPr>
      </w:pPr>
      <w:bookmarkStart w:id="2" w:name="__RefHeading___Toc29141685"/>
      <w:bookmarkEnd w:id="2"/>
      <w:r>
        <w:rPr>
          <w:rFonts w:cs="Calibri" w:ascii="Calibri" w:hAnsi="Calibri"/>
          <w:i w:val="false"/>
          <w:szCs w:val="24"/>
        </w:rPr>
        <w:t xml:space="preserve">2.1 </w:t>
        <w:tab/>
        <w:t>APPLICABILITÀ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2268" w:leader="none"/>
        </w:tabs>
        <w:ind w:hanging="360" w:start="502" w:end="-1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  <w:t>A tutti i processi aziendali;</w:t>
      </w:r>
    </w:p>
    <w:p>
      <w:pPr>
        <w:pStyle w:val="Heading3"/>
        <w:rPr>
          <w:rFonts w:ascii="Calibri" w:hAnsi="Calibri" w:cs="Calibri"/>
          <w:i w:val="false"/>
          <w:i w:val="false"/>
          <w:szCs w:val="24"/>
        </w:rPr>
      </w:pPr>
      <w:bookmarkStart w:id="3" w:name="__RefHeading___Toc29141686"/>
      <w:bookmarkEnd w:id="3"/>
      <w:r>
        <w:rPr>
          <w:rFonts w:cs="Calibri" w:ascii="Calibri" w:hAnsi="Calibri"/>
          <w:i w:val="false"/>
          <w:szCs w:val="24"/>
        </w:rPr>
        <w:t xml:space="preserve">2.2 </w:t>
        <w:tab/>
        <w:t>FUNZIONI COINVOLTE E RESPONSABILITÀ</w:t>
      </w:r>
    </w:p>
    <w:p>
      <w:pPr>
        <w:pStyle w:val="Normal"/>
        <w:numPr>
          <w:ilvl w:val="0"/>
          <w:numId w:val="2"/>
        </w:numPr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>DIRETTORE GENERALE (DGE)</w:t>
      </w:r>
    </w:p>
    <w:p>
      <w:pPr>
        <w:pStyle w:val="Normal"/>
        <w:numPr>
          <w:ilvl w:val="0"/>
          <w:numId w:val="2"/>
        </w:numPr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>RESPOSABILE DEL SISTEMA DI GESTIONE INTEGRATO (RSGQ)</w:t>
      </w:r>
    </w:p>
    <w:p>
      <w:pPr>
        <w:pStyle w:val="Normal"/>
        <w:numPr>
          <w:ilvl w:val="0"/>
          <w:numId w:val="2"/>
        </w:numPr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>RESPONSABILE DEI SERVIZI (SER)</w:t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Heading2"/>
        <w:tabs>
          <w:tab w:val="clear" w:pos="851"/>
        </w:tabs>
        <w:spacing w:before="240" w:after="60"/>
        <w:ind w:end="0"/>
        <w:rPr/>
      </w:pPr>
      <w:bookmarkStart w:id="4" w:name="__RefHeading___Toc29141687"/>
      <w:bookmarkEnd w:id="4"/>
      <w:r>
        <w:rPr>
          <w:rFonts w:cs="Calibri" w:ascii="Calibri" w:hAnsi="Calibri"/>
          <w:b/>
          <w:caps w:val="false"/>
          <w:smallCaps w:val="false"/>
          <w:szCs w:val="24"/>
        </w:rPr>
        <w:t xml:space="preserve">3. </w:t>
        <w:tab/>
        <w:t>DESCRIZIONE DELLE ATTIVITA’</w:t>
      </w:r>
    </w:p>
    <w:p>
      <w:pPr>
        <w:pStyle w:val="Heading3"/>
        <w:rPr>
          <w:rFonts w:ascii="Calibri" w:hAnsi="Calibri" w:cs="Calibri"/>
          <w:i w:val="false"/>
          <w:i w:val="false"/>
          <w:szCs w:val="24"/>
        </w:rPr>
      </w:pPr>
      <w:bookmarkStart w:id="5" w:name="__RefHeading___Toc29141688"/>
      <w:bookmarkEnd w:id="5"/>
      <w:r>
        <w:rPr>
          <w:rFonts w:cs="Calibri" w:ascii="Calibri" w:hAnsi="Calibri"/>
          <w:i w:val="false"/>
          <w:szCs w:val="24"/>
        </w:rPr>
        <w:t>3.1 Rifiuti non pericolosi</w:t>
      </w:r>
    </w:p>
    <w:p>
      <w:pPr>
        <w:pStyle w:val="Rientrocorpodeltesto2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  <w:t xml:space="preserve">Rifiuti assimilabili agli urbani (Rifiuti da raccolta differenziata conferiti al servizio di raccolta comunale) </w:t>
      </w:r>
    </w:p>
    <w:p>
      <w:pPr>
        <w:pStyle w:val="Rientrocorpodeltesto2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  <w:t>Si tratta essenzialmente di rifiuto secco e riciclabile (carta, bicchieri del caffè, bottiglie di plastica, di vetro) e umido. Vengono conferiti durante la settimana da un operatore, all’esterno dell’azienda negli appositi contenitori messi a disposizione dal servizio comunale.</w:t>
      </w:r>
    </w:p>
    <w:p>
      <w:pPr>
        <w:pStyle w:val="Rientrocorpodeltesto2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</w:r>
    </w:p>
    <w:p>
      <w:pPr>
        <w:pStyle w:val="Rientrocorpodeltesto2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  <w:t>Rifiuti speciali</w:t>
      </w:r>
    </w:p>
    <w:p>
      <w:pPr>
        <w:pStyle w:val="Rientrocorpodeltesto2"/>
        <w:rPr/>
      </w:pPr>
      <w:r>
        <w:rPr>
          <w:rFonts w:cs="Calibri" w:ascii="Calibri" w:hAnsi="Calibri"/>
          <w:caps w:val="false"/>
          <w:smallCaps w:val="false"/>
          <w:szCs w:val="24"/>
        </w:rPr>
        <w:t xml:space="preserve">Come rifiuti speciali vi sono quelli contenuti nel </w:t>
      </w:r>
      <w:r>
        <w:rPr>
          <w:rFonts w:cs="Calibri" w:ascii="Calibri" w:hAnsi="Calibri"/>
          <w:b/>
          <w:caps/>
          <w:szCs w:val="24"/>
          <w:u w:val="single"/>
        </w:rPr>
        <w:t>Mod. 8.1.1.1 -elenco rifiuti e classi di pericolo</w:t>
      </w:r>
      <w:r>
        <w:rPr>
          <w:rFonts w:cs="Calibri" w:ascii="Calibri" w:hAnsi="Calibri"/>
          <w:caps w:val="false"/>
          <w:smallCaps w:val="false"/>
          <w:szCs w:val="24"/>
        </w:rPr>
        <w:t>.</w:t>
      </w:r>
    </w:p>
    <w:p>
      <w:pPr>
        <w:pStyle w:val="Rientrocorpodeltesto2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</w:r>
    </w:p>
    <w:p>
      <w:pPr>
        <w:pStyle w:val="Rientrocorpodeltesto2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  <w:t xml:space="preserve">Nel modulo </w:t>
      </w:r>
      <w:r>
        <w:rPr>
          <w:rFonts w:cs="Calibri" w:ascii="Calibri" w:hAnsi="Calibri"/>
          <w:b/>
          <w:caps/>
          <w:szCs w:val="24"/>
          <w:u w:val="single"/>
        </w:rPr>
        <w:t>Mod. 8.1.1.1 -elenco rifiuti e classi di pericolo</w:t>
      </w:r>
      <w:r>
        <w:rPr>
          <w:rFonts w:cs="Calibri" w:ascii="Calibri" w:hAnsi="Calibri"/>
          <w:caps w:val="false"/>
          <w:smallCaps w:val="false"/>
          <w:szCs w:val="24"/>
        </w:rPr>
        <w:t xml:space="preserve"> sono comunque presenti tutti i rifiuti prodotti dall’organizzazione</w:t>
      </w:r>
    </w:p>
    <w:p>
      <w:pPr>
        <w:pStyle w:val="Rientrocorpodeltesto2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</w:r>
    </w:p>
    <w:p>
      <w:pPr>
        <w:pStyle w:val="Heading3"/>
        <w:rPr>
          <w:rFonts w:ascii="Calibri" w:hAnsi="Calibri" w:cs="Calibri"/>
          <w:i w:val="false"/>
          <w:i w:val="false"/>
          <w:szCs w:val="24"/>
        </w:rPr>
      </w:pPr>
      <w:bookmarkStart w:id="6" w:name="__RefHeading___Toc29141689"/>
      <w:bookmarkEnd w:id="6"/>
      <w:r>
        <w:rPr>
          <w:rFonts w:cs="Calibri" w:ascii="Calibri" w:hAnsi="Calibri"/>
          <w:i w:val="false"/>
          <w:szCs w:val="24"/>
        </w:rPr>
        <w:t>3.2 Rifiuti pericolosi</w:t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 xml:space="preserve">Nell’ambito delle attività operative aziendali, possono essere generati prodotti rifiuti pericolosi che vengono smaltiti attraverso l’utilizzo di fornitori abilitati allo smaltimento. </w:t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 xml:space="preserve">I rifiuti prodotti sono contenuti nel modulo </w:t>
      </w:r>
      <w:r>
        <w:rPr>
          <w:rFonts w:cs="Calibri" w:ascii="Calibri" w:hAnsi="Calibri"/>
          <w:b/>
          <w:caps/>
          <w:szCs w:val="24"/>
          <w:u w:val="single"/>
        </w:rPr>
        <w:t>Mod. 8.1.1.1 -elenco rifiuti e classi di pericolo.</w:t>
      </w:r>
    </w:p>
    <w:p>
      <w:pPr>
        <w:pStyle w:val="Heading3"/>
        <w:rPr>
          <w:rFonts w:ascii="Calibri" w:hAnsi="Calibri" w:cs="Calibri"/>
          <w:i w:val="false"/>
          <w:i w:val="false"/>
          <w:szCs w:val="24"/>
        </w:rPr>
      </w:pPr>
      <w:bookmarkStart w:id="7" w:name="__RefHeading___Toc29141690"/>
      <w:bookmarkEnd w:id="7"/>
      <w:r>
        <w:rPr>
          <w:rFonts w:cs="Calibri" w:ascii="Calibri" w:hAnsi="Calibri"/>
          <w:i w:val="false"/>
          <w:szCs w:val="24"/>
        </w:rPr>
        <w:t>3.3 Rifiuti Nuovi</w:t>
      </w:r>
    </w:p>
    <w:p>
      <w:pPr>
        <w:pStyle w:val="BodyText"/>
        <w:ind w:firstLine="142" w:end="-1"/>
        <w:rPr/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>Qualora ci sia produzione di un rifiuto nuovo, questo dovrà venire immediatamente segnalato a RSGQ per l’assegnazione del codice.</w:t>
      </w:r>
    </w:p>
    <w:p>
      <w:pPr>
        <w:pStyle w:val="BodyText"/>
        <w:ind w:firstLine="142" w:end="-1"/>
        <w:rPr/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>Se l’assegnazione non è chiaramente attribuibile la direzione chiede la consulenza di un laboratorio specializzato per la classificazione/caratterizzazione del rifiuto prima del conferimento al trasportatore.</w:t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</w:r>
    </w:p>
    <w:p>
      <w:pPr>
        <w:pStyle w:val="BodyText"/>
        <w:ind w:firstLine="142" w:end="-1"/>
        <w:rPr/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 xml:space="preserve">RSGQ è responsabile dell'individuazione delle corrette modalità di deposito del rifiuto e gestione in conformità alla legislazione vigente. </w:t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</w:r>
    </w:p>
    <w:p>
      <w:pPr>
        <w:pStyle w:val="BodyText"/>
        <w:ind w:firstLine="142" w:end="-1"/>
        <w:rPr/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 xml:space="preserve">RSGQ provvede quindi ad aggiornare la presente procedura e il </w:t>
      </w:r>
      <w:r>
        <w:rPr>
          <w:rFonts w:cs="Calibri" w:ascii="Calibri" w:hAnsi="Calibri"/>
          <w:b/>
          <w:caps/>
          <w:color w:val="000000"/>
          <w:szCs w:val="24"/>
          <w:u w:val="single"/>
        </w:rPr>
        <w:t>Mod. 8.1.1.1 -elenco rifiuti e classi di pericolo</w:t>
      </w:r>
      <w:r>
        <w:rPr>
          <w:rFonts w:cs="Calibri" w:ascii="Calibri" w:hAnsi="Calibri"/>
          <w:caps w:val="false"/>
          <w:smallCaps w:val="false"/>
          <w:color w:val="000000"/>
          <w:szCs w:val="24"/>
        </w:rPr>
        <w:t xml:space="preserve"> con l’inserimento del nuovo rifiuto.</w:t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</w:r>
    </w:p>
    <w:p>
      <w:pPr>
        <w:pStyle w:val="Heading3"/>
        <w:rPr>
          <w:rFonts w:ascii="Calibri" w:hAnsi="Calibri" w:cs="Calibri"/>
          <w:i w:val="false"/>
          <w:i w:val="false"/>
          <w:szCs w:val="24"/>
        </w:rPr>
      </w:pPr>
      <w:bookmarkStart w:id="8" w:name="__RefHeading___Toc29141691"/>
      <w:bookmarkEnd w:id="8"/>
      <w:r>
        <w:rPr>
          <w:rFonts w:cs="Calibri" w:ascii="Calibri" w:hAnsi="Calibri"/>
          <w:i w:val="false"/>
          <w:szCs w:val="24"/>
        </w:rPr>
        <w:t>3.4 Deposito, etichettatura ed identificazione del rifiuto</w:t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>I rifiuti devono essere depositati in apposita area, pavimentata e coperta. I rifiuti liquidi sono posizionati in bacino di contenimento.</w:t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>RSGQ assicura la corretta etichettatura ed identificazione dei rifiuti; i contenitori di raccolta sono tutti identificati, a seconda delle tipologia di rifiuto, da apposito cartello indicante il codice CER e la denominazione del rifiuto stesso.</w:t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</w:r>
    </w:p>
    <w:p>
      <w:pPr>
        <w:pStyle w:val="Heading3"/>
        <w:rPr>
          <w:rFonts w:ascii="Calibri" w:hAnsi="Calibri" w:cs="Calibri"/>
          <w:i w:val="false"/>
          <w:i w:val="false"/>
          <w:szCs w:val="24"/>
        </w:rPr>
      </w:pPr>
      <w:bookmarkStart w:id="9" w:name="__RefHeading___Toc29141692"/>
      <w:bookmarkEnd w:id="9"/>
      <w:r>
        <w:rPr>
          <w:rFonts w:cs="Calibri" w:ascii="Calibri" w:hAnsi="Calibri"/>
          <w:i w:val="false"/>
          <w:szCs w:val="24"/>
        </w:rPr>
        <w:t>3.5 Registrazioni Obbligatorie</w:t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>Formulario di identificazione</w:t>
      </w:r>
    </w:p>
    <w:p>
      <w:pPr>
        <w:pStyle w:val="BodyText"/>
        <w:ind w:firstLine="142" w:end="-1"/>
        <w:rPr/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>RSGQ è responsabile della archiviazione dei formulari che accompagnano la gestione dei rifiuti, in allegato al registro di C/S.</w:t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</w:r>
    </w:p>
    <w:p>
      <w:pPr>
        <w:pStyle w:val="BodyText"/>
        <w:ind w:firstLine="142" w:end="-1"/>
        <w:rPr/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>Per garantire il ricevimento della quarta copia del formulario, entro i termini di legge, compila una tabella riassuntiva dei formulari di identificazione emessi (</w:t>
      </w:r>
      <w:r>
        <w:rPr>
          <w:rFonts w:cs="Calibri" w:ascii="Calibri" w:hAnsi="Calibri"/>
          <w:b/>
          <w:caps/>
          <w:color w:val="000000"/>
          <w:szCs w:val="24"/>
          <w:u w:val="single"/>
        </w:rPr>
        <w:t>Mod. 8.1.1.2 –Tabella formulari emessi</w:t>
      </w:r>
      <w:r>
        <w:rPr>
          <w:rFonts w:cs="Calibri" w:ascii="Calibri" w:hAnsi="Calibri"/>
          <w:caps w:val="false"/>
          <w:smallCaps w:val="false"/>
          <w:color w:val="000000"/>
          <w:szCs w:val="24"/>
        </w:rPr>
        <w:t>).</w:t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>In caso di mancato ricevimento della IV copia, il responsabile della gestione dei rifiuti in prossimità della scadenza effettua un sollecito e allo scadere dei tre mesi previsti dalla legge provvede a dare comunicazione alla Provincia, sollevando così l’azienda da eventuali responsabilità.</w:t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>Registro di carico e scarico</w:t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>Il responsabile della gestione dei rifiuti compila, nel caso di rifiuti pericolosi il registro di carico e scarico.</w:t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>Il responsabile della gestione dei rifiuti ha la responsabilità di compilazione del registro entro i termini di legge.</w:t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ab/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>Denuncia obbligatoria</w:t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>L’organizzazione provvederà, entro la scadenza stabilita dalla legge, alla denuncia annuale dei rifiuti prodotti e smaltiti (MUD).</w:t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ab/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>Trasporto e smaltimento rifiuti</w:t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>Vengono utilizzati solamente trasportatori e smaltitori debitamente autorizzati e di cui si è in possesso dell’autorizzazione. L’impresa Ravelli ha l’autorizzazione al trasporto dei rifiuti.</w:t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</w:r>
    </w:p>
    <w:p>
      <w:pPr>
        <w:pStyle w:val="BodyText"/>
        <w:ind w:firstLine="142" w:end="-1"/>
        <w:rPr/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>RSGQ istituisce ed aggiorna la raccolta di copie valide delle autorizzazioni.</w:t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ab/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>Controllo targhe trasportatori</w:t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>Al momento del conferimento dei rifiuti a trasportatori autorizzati, il Responsabile funzionale verifica che la targa dell’automezzo sia tra quelle autorizzate.</w:t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>Deposito temporaneo</w:t>
      </w:r>
    </w:p>
    <w:p>
      <w:pPr>
        <w:pStyle w:val="BodyText"/>
        <w:ind w:firstLine="142" w:end="-1"/>
        <w:rPr/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>RSGQ provvede alla verifica del rispetto delle condizioni di deposito temporaneo evidenziate in tabella:</w:t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</w:r>
    </w:p>
    <w:p>
      <w:pPr>
        <w:pStyle w:val="BodyText"/>
        <w:ind w:firstLine="142" w:end="-1"/>
        <w:rPr/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ab/>
        <w:t>Quantità presente in deposito</w:t>
        <w:tab/>
        <w:t xml:space="preserve">           Cadenza di smaltimento</w:t>
      </w:r>
    </w:p>
    <w:p>
      <w:pPr>
        <w:pStyle w:val="BodyText"/>
        <w:ind w:firstLine="142" w:end="-1"/>
        <w:rPr/>
      </w:pPr>
      <w:r>
        <w:rPr>
          <w:rFonts w:eastAsia="Calibri" w:cs="Calibri" w:ascii="Calibri" w:hAnsi="Calibri"/>
          <w:caps w:val="false"/>
          <w:smallCaps w:val="false"/>
          <w:color w:val="000000"/>
          <w:szCs w:val="24"/>
        </w:rPr>
        <w:t xml:space="preserve">           </w:t>
      </w:r>
      <w:r>
        <w:rPr>
          <w:rFonts w:cs="Calibri" w:ascii="Calibri" w:hAnsi="Calibri"/>
          <w:caps w:val="false"/>
          <w:smallCaps w:val="false"/>
          <w:color w:val="000000"/>
          <w:szCs w:val="24"/>
        </w:rPr>
        <w:t>Rifiuti pericolosi</w:t>
        <w:tab/>
        <w:t>&lt;= 10 m3</w:t>
        <w:tab/>
        <w:t xml:space="preserve"> 1 volta / anno</w:t>
      </w:r>
    </w:p>
    <w:p>
      <w:pPr>
        <w:pStyle w:val="BodyText"/>
        <w:ind w:firstLine="142" w:end="-1"/>
        <w:rPr/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ab/>
        <w:t xml:space="preserve">                                        &gt; 10 m3</w:t>
        <w:tab/>
        <w:t xml:space="preserve"> Entro 2 mesi</w:t>
      </w:r>
    </w:p>
    <w:p>
      <w:pPr>
        <w:pStyle w:val="BodyText"/>
        <w:ind w:firstLine="142" w:end="-1"/>
        <w:rPr/>
      </w:pPr>
      <w:r>
        <w:rPr>
          <w:rFonts w:eastAsia="Calibri" w:cs="Calibri" w:ascii="Calibri" w:hAnsi="Calibri"/>
          <w:caps w:val="false"/>
          <w:smallCaps w:val="false"/>
          <w:color w:val="000000"/>
          <w:szCs w:val="24"/>
        </w:rPr>
        <w:t xml:space="preserve">         </w:t>
      </w:r>
      <w:r>
        <w:rPr>
          <w:rFonts w:cs="Calibri" w:ascii="Calibri" w:hAnsi="Calibri"/>
          <w:caps w:val="false"/>
          <w:smallCaps w:val="false"/>
          <w:color w:val="000000"/>
          <w:szCs w:val="24"/>
        </w:rPr>
        <w:t xml:space="preserve">Rifiuti non pericolosi </w:t>
        <w:tab/>
        <w:t>&lt;= 20 m3</w:t>
        <w:tab/>
        <w:t xml:space="preserve"> 1 volta / anno</w:t>
      </w:r>
    </w:p>
    <w:p>
      <w:pPr>
        <w:pStyle w:val="BodyText"/>
        <w:ind w:firstLine="142" w:end="-1"/>
        <w:rPr/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ab/>
        <w:t xml:space="preserve">                                        &gt; 20 m3</w:t>
        <w:tab/>
        <w:t xml:space="preserve"> Entro 3 mesi</w:t>
      </w:r>
    </w:p>
    <w:p>
      <w:pPr>
        <w:pStyle w:val="BodyText"/>
        <w:ind w:firstLine="142" w:end="-1"/>
        <w:rPr>
          <w:rFonts w:ascii="Calibri" w:hAnsi="Calibri" w:cs="Calibri"/>
          <w:caps w:val="false"/>
          <w:smallCaps w:val="false"/>
          <w:color w:val="000000"/>
          <w:szCs w:val="24"/>
        </w:rPr>
      </w:pPr>
      <w:r>
        <w:rPr>
          <w:rFonts w:cs="Calibri" w:ascii="Calibri" w:hAnsi="Calibri"/>
          <w:caps w:val="false"/>
          <w:smallCaps w:val="false"/>
          <w:color w:val="000000"/>
          <w:szCs w:val="24"/>
        </w:rPr>
        <w:t>.</w:t>
      </w:r>
    </w:p>
    <w:p>
      <w:pPr>
        <w:pStyle w:val="Heading2"/>
        <w:tabs>
          <w:tab w:val="clear" w:pos="851"/>
        </w:tabs>
        <w:spacing w:before="240" w:after="60"/>
        <w:ind w:end="0"/>
        <w:rPr/>
      </w:pPr>
      <w:bookmarkStart w:id="10" w:name="__RefHeading___Toc29141693"/>
      <w:bookmarkEnd w:id="10"/>
      <w:r>
        <w:rPr>
          <w:rFonts w:cs="Calibri" w:ascii="Calibri" w:hAnsi="Calibri"/>
          <w:b/>
          <w:caps w:val="false"/>
          <w:smallCaps w:val="false"/>
          <w:szCs w:val="24"/>
        </w:rPr>
        <w:t>4.        TERMINI, DEFINIZIONI E SIGLE</w:t>
      </w:r>
    </w:p>
    <w:p>
      <w:pPr>
        <w:pStyle w:val="Normal"/>
        <w:tabs>
          <w:tab w:val="clear" w:pos="708"/>
          <w:tab w:val="left" w:pos="-1701" w:leader="none"/>
          <w:tab w:val="left" w:pos="-1560" w:leader="none"/>
          <w:tab w:val="left" w:pos="3686" w:leader="none"/>
          <w:tab w:val="right" w:pos="8647" w:leader="none"/>
        </w:tabs>
        <w:ind w:firstLine="142" w:end="283"/>
        <w:jc w:val="both"/>
        <w:rPr/>
      </w:pPr>
      <w:r>
        <w:rPr>
          <w:rFonts w:cs="Calibri" w:ascii="Calibri" w:hAnsi="Calibri"/>
          <w:szCs w:val="24"/>
        </w:rPr>
        <w:t xml:space="preserve">Per i termini, le definizioni e le abbreviazioni utilizzate in questa procedura si fa riferimento alla norma UNI EN ISO 14001:2015 ed al Manuale di </w:t>
      </w:r>
      <w:r>
        <w:rPr>
          <w:rFonts w:cs="Tahoma" w:ascii="Calibri" w:hAnsi="Calibri"/>
          <w:b/>
          <w:szCs w:val="24"/>
        </w:rPr>
        <w:t>NOME_AZIENDA</w:t>
      </w:r>
      <w:r>
        <w:rPr>
          <w:rFonts w:cs="Calibri" w:ascii="Calibri" w:hAnsi="Calibri"/>
          <w:szCs w:val="24"/>
        </w:rPr>
        <w:t>.</w:t>
      </w:r>
    </w:p>
    <w:p>
      <w:pPr>
        <w:pStyle w:val="Heading2"/>
        <w:tabs>
          <w:tab w:val="clear" w:pos="851"/>
        </w:tabs>
        <w:spacing w:before="240" w:after="60"/>
        <w:ind w:end="0"/>
        <w:rPr/>
      </w:pPr>
      <w:bookmarkStart w:id="11" w:name="__RefHeading___Toc29141694"/>
      <w:bookmarkEnd w:id="11"/>
      <w:r>
        <w:rPr>
          <w:rFonts w:cs="Calibri" w:ascii="Calibri" w:hAnsi="Calibri"/>
          <w:b/>
          <w:caps w:val="false"/>
          <w:smallCaps w:val="false"/>
          <w:szCs w:val="24"/>
        </w:rPr>
        <w:t>5.       DISTRIBUZIONE</w:t>
      </w:r>
    </w:p>
    <w:p>
      <w:pPr>
        <w:pStyle w:val="Normal"/>
        <w:ind w:firstLine="567" w:end="-1"/>
        <w:jc w:val="center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>DGE   RSGQ</w:t>
      </w:r>
    </w:p>
    <w:p>
      <w:pPr>
        <w:pStyle w:val="Heading2"/>
        <w:tabs>
          <w:tab w:val="clear" w:pos="851"/>
        </w:tabs>
        <w:spacing w:before="240" w:after="60"/>
        <w:ind w:end="0"/>
        <w:rPr/>
      </w:pPr>
      <w:bookmarkStart w:id="12" w:name="__RefHeading___Toc29141695"/>
      <w:bookmarkEnd w:id="12"/>
      <w:r>
        <w:rPr>
          <w:rFonts w:cs="Calibri" w:ascii="Calibri" w:hAnsi="Calibri"/>
          <w:b/>
          <w:caps w:val="false"/>
          <w:smallCaps w:val="false"/>
          <w:szCs w:val="24"/>
        </w:rPr>
        <w:t>6.       DOCUMENTAZIONE DI RIFERIMENTO</w:t>
      </w:r>
    </w:p>
    <w:p>
      <w:pPr>
        <w:pStyle w:val="Normal"/>
        <w:rPr>
          <w:rFonts w:ascii="Calibri" w:hAnsi="Calibri" w:cs="Calibri"/>
          <w:b/>
          <w:caps/>
          <w:szCs w:val="24"/>
          <w:u w:val="single"/>
        </w:rPr>
      </w:pPr>
      <w:r>
        <w:rPr>
          <w:rFonts w:cs="Calibri" w:ascii="Calibri" w:hAnsi="Calibri"/>
          <w:b/>
          <w:caps/>
          <w:szCs w:val="24"/>
          <w:u w:val="single"/>
        </w:rPr>
        <w:t>Mod. 8.1.1.1 -elenco rifiuti e classi di pericolo</w:t>
      </w:r>
    </w:p>
    <w:p>
      <w:pPr>
        <w:pStyle w:val="Normal"/>
        <w:rPr>
          <w:rFonts w:ascii="Calibri" w:hAnsi="Calibri" w:cs="Calibri"/>
          <w:b/>
          <w:smallCaps/>
          <w:szCs w:val="24"/>
          <w:u w:val="single"/>
        </w:rPr>
      </w:pPr>
      <w:r>
        <w:rPr>
          <w:rFonts w:cs="Calibri" w:ascii="Calibri" w:hAnsi="Calibri"/>
          <w:b/>
          <w:caps/>
          <w:szCs w:val="24"/>
          <w:u w:val="single"/>
        </w:rPr>
        <w:t>Mod. 8.1.1.2 –Tabella formulari emessi</w:t>
      </w:r>
    </w:p>
    <w:p>
      <w:pPr>
        <w:pStyle w:val="Normal"/>
        <w:rPr>
          <w:rFonts w:ascii="Calibri" w:hAnsi="Calibri" w:cs="Calibri"/>
          <w:b/>
          <w:caps/>
          <w:szCs w:val="24"/>
          <w:u w:val="single"/>
        </w:rPr>
      </w:pPr>
      <w:r>
        <w:rPr>
          <w:rFonts w:cs="Calibri" w:ascii="Calibri" w:hAnsi="Calibri"/>
          <w:b/>
          <w:caps/>
          <w:szCs w:val="24"/>
          <w:u w:val="single"/>
        </w:rPr>
      </w:r>
    </w:p>
    <w:p>
      <w:pPr>
        <w:pStyle w:val="Heading2"/>
        <w:rPr>
          <w:rFonts w:ascii="Calibri" w:hAnsi="Calibri" w:cs="Calibri"/>
          <w:b/>
          <w:color w:val="000000"/>
          <w:szCs w:val="24"/>
        </w:rPr>
      </w:pPr>
      <w:bookmarkStart w:id="13" w:name="__RefHeading___Toc29141696"/>
      <w:bookmarkEnd w:id="13"/>
      <w:r>
        <w:rPr>
          <w:rFonts w:cs="Calibri" w:ascii="Calibri" w:hAnsi="Calibri"/>
          <w:b/>
          <w:szCs w:val="24"/>
        </w:rPr>
        <w:t>7.        ARCHIVIAZIONE E CONSERVAZIONE REGISTRAZIONI</w:t>
      </w:r>
    </w:p>
    <w:p>
      <w:pPr>
        <w:pStyle w:val="Normal"/>
        <w:tabs>
          <w:tab w:val="clear" w:pos="708"/>
          <w:tab w:val="left" w:pos="-1701" w:leader="none"/>
          <w:tab w:val="left" w:pos="-1560" w:leader="none"/>
          <w:tab w:val="left" w:pos="851" w:leader="none"/>
          <w:tab w:val="left" w:pos="3544" w:leader="none"/>
          <w:tab w:val="left" w:pos="3686" w:leader="none"/>
        </w:tabs>
        <w:ind w:end="-1"/>
        <w:jc w:val="both"/>
        <w:rPr>
          <w:rFonts w:ascii="Calibri" w:hAnsi="Calibri" w:cs="Calibri"/>
          <w:b/>
          <w:color w:val="000000"/>
          <w:szCs w:val="24"/>
        </w:rPr>
      </w:pPr>
      <w:r>
        <w:rPr>
          <w:rFonts w:cs="Calibri" w:ascii="Calibri" w:hAnsi="Calibri"/>
          <w:b/>
          <w:color w:val="000000"/>
          <w:szCs w:val="24"/>
        </w:rPr>
      </w:r>
    </w:p>
    <w:tbl>
      <w:tblPr>
        <w:tblW w:w="10065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065"/>
      </w:tblGrid>
      <w:tr>
        <w:trPr/>
        <w:tc>
          <w:tcPr>
            <w:tcW w:w="10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8"/>
              <w:tabs>
                <w:tab w:val="clear" w:pos="708"/>
                <w:tab w:val="left" w:pos="851" w:leader="none"/>
              </w:tabs>
              <w:ind w:hanging="0" w:start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TABELLA DI CONTROLLO DELLE REGISTRAZIONI</w:t>
            </w:r>
          </w:p>
        </w:tc>
      </w:tr>
    </w:tbl>
    <w:p>
      <w:pPr>
        <w:pStyle w:val="Normal"/>
        <w:tabs>
          <w:tab w:val="clear" w:pos="708"/>
          <w:tab w:val="left" w:pos="851" w:leader="none"/>
        </w:tabs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tbl>
      <w:tblPr>
        <w:tblW w:w="10065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412"/>
        <w:gridCol w:w="651"/>
        <w:gridCol w:w="777"/>
        <w:gridCol w:w="524"/>
        <w:gridCol w:w="778"/>
        <w:gridCol w:w="777"/>
        <w:gridCol w:w="1031"/>
        <w:gridCol w:w="778"/>
        <w:gridCol w:w="777"/>
        <w:gridCol w:w="1031"/>
        <w:gridCol w:w="1529"/>
      </w:tblGrid>
      <w:tr>
        <w:trPr/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before="60" w:after="0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Descrizione</w:t>
            </w:r>
          </w:p>
          <w:p>
            <w:pPr>
              <w:pStyle w:val="Normal"/>
              <w:tabs>
                <w:tab w:val="clear" w:pos="708"/>
                <w:tab w:val="left" w:pos="851" w:leader="none"/>
              </w:tabs>
              <w:spacing w:before="60" w:after="0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Registrazione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before="60" w:after="0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Origine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before="60" w:after="0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Id.</w:t>
            </w:r>
          </w:p>
        </w:tc>
        <w:tc>
          <w:tcPr>
            <w:tcW w:w="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RQ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Resp.</w:t>
            </w:r>
          </w:p>
          <w:p>
            <w:pPr>
              <w:pStyle w:val="Normal"/>
              <w:tabs>
                <w:tab w:val="clear" w:pos="70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Approvazione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Resp</w:t>
            </w:r>
          </w:p>
          <w:p>
            <w:pPr>
              <w:pStyle w:val="Header"/>
              <w:tabs>
                <w:tab w:val="clear" w:pos="4819"/>
                <w:tab w:val="clear" w:pos="963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Registraz ed Archivia</w:t>
            </w:r>
          </w:p>
        </w:tc>
        <w:tc>
          <w:tcPr>
            <w:tcW w:w="1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Luogo</w:t>
            </w:r>
          </w:p>
          <w:p>
            <w:pPr>
              <w:pStyle w:val="Normal"/>
              <w:tabs>
                <w:tab w:val="clear" w:pos="70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 xml:space="preserve">Archiviaz 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Resp. Eliminazione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napToGrid w:val="false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Tempo di archiviaz.</w:t>
            </w:r>
          </w:p>
        </w:tc>
        <w:tc>
          <w:tcPr>
            <w:tcW w:w="1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napToGrid w:val="false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Protezione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Destinazione</w:t>
            </w:r>
          </w:p>
          <w:p>
            <w:pPr>
              <w:pStyle w:val="Normal"/>
              <w:tabs>
                <w:tab w:val="clear" w:pos="70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Finale</w:t>
            </w:r>
          </w:p>
        </w:tc>
      </w:tr>
      <w:tr>
        <w:trPr/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  <w:tab w:val="left" w:pos="851" w:leader="none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Elenco Rifiuti e classi di pericolo</w:t>
            </w:r>
          </w:p>
          <w:p>
            <w:pPr>
              <w:pStyle w:val="Header"/>
              <w:tabs>
                <w:tab w:val="clear" w:pos="4819"/>
                <w:tab w:val="clear" w:pos="9638"/>
                <w:tab w:val="left" w:pos="851" w:leader="none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INT</w:t>
            </w:r>
          </w:p>
          <w:p>
            <w:pPr>
              <w:pStyle w:val="Header"/>
              <w:tabs>
                <w:tab w:val="clear" w:pos="4819"/>
                <w:tab w:val="clear" w:pos="963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8.1.1.1</w:t>
            </w:r>
          </w:p>
        </w:tc>
        <w:tc>
          <w:tcPr>
            <w:tcW w:w="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X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DGE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DGE</w:t>
            </w:r>
          </w:p>
        </w:tc>
        <w:tc>
          <w:tcPr>
            <w:tcW w:w="1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  <w:tab w:val="left" w:pos="851" w:leader="none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Ufficio  AMMINISTRAZIONE</w:t>
            </w:r>
          </w:p>
          <w:p>
            <w:pPr>
              <w:pStyle w:val="Header"/>
              <w:tabs>
                <w:tab w:val="clear" w:pos="4819"/>
                <w:tab w:val="clear" w:pos="9638"/>
                <w:tab w:val="left" w:pos="851" w:leader="none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  <w:tab w:val="left" w:pos="851" w:leader="none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AMM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indeterminato</w:t>
            </w:r>
          </w:p>
        </w:tc>
        <w:tc>
          <w:tcPr>
            <w:tcW w:w="1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/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Supp. Attività manutenz. - Riesame</w:t>
            </w:r>
          </w:p>
        </w:tc>
      </w:tr>
      <w:tr>
        <w:trPr/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  <w:tab w:val="left" w:pos="851" w:leader="none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Tabella dei formulari emessi</w:t>
            </w:r>
          </w:p>
          <w:p>
            <w:pPr>
              <w:pStyle w:val="Header"/>
              <w:tabs>
                <w:tab w:val="clear" w:pos="4819"/>
                <w:tab w:val="clear" w:pos="9638"/>
                <w:tab w:val="left" w:pos="851" w:leader="none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INT</w:t>
            </w:r>
          </w:p>
          <w:p>
            <w:pPr>
              <w:pStyle w:val="Header"/>
              <w:tabs>
                <w:tab w:val="clear" w:pos="4819"/>
                <w:tab w:val="clear" w:pos="963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8.1.1.2</w:t>
            </w:r>
          </w:p>
        </w:tc>
        <w:tc>
          <w:tcPr>
            <w:tcW w:w="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X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DGE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DGE</w:t>
            </w:r>
          </w:p>
        </w:tc>
        <w:tc>
          <w:tcPr>
            <w:tcW w:w="1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  <w:tab w:val="left" w:pos="851" w:leader="none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Ufficio  AMMINISTRAZIONE</w:t>
            </w:r>
          </w:p>
          <w:p>
            <w:pPr>
              <w:pStyle w:val="Header"/>
              <w:tabs>
                <w:tab w:val="clear" w:pos="4819"/>
                <w:tab w:val="clear" w:pos="9638"/>
                <w:tab w:val="left" w:pos="851" w:leader="none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  <w:tab w:val="left" w:pos="851" w:leader="none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AMM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indeterminato</w:t>
            </w:r>
          </w:p>
        </w:tc>
        <w:tc>
          <w:tcPr>
            <w:tcW w:w="1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/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Supp. Attività manutenz. - Riesame</w:t>
            </w:r>
          </w:p>
        </w:tc>
      </w:tr>
    </w:tbl>
    <w:p>
      <w:pPr>
        <w:pStyle w:val="Normal"/>
        <w:rPr>
          <w:rFonts w:ascii="Calibri" w:hAnsi="Calibri" w:cs="Calibri"/>
          <w:b/>
          <w:szCs w:val="24"/>
        </w:rPr>
      </w:pPr>
      <w:r>
        <w:rPr>
          <w:rFonts w:cs="Calibri" w:ascii="Calibri" w:hAnsi="Calibri"/>
          <w:b/>
          <w:szCs w:val="24"/>
        </w:rPr>
      </w:r>
    </w:p>
    <w:p>
      <w:pPr>
        <w:pStyle w:val="Normal"/>
        <w:rPr>
          <w:rFonts w:ascii="Calibri" w:hAnsi="Calibri" w:cs="Calibri"/>
          <w:b/>
          <w:szCs w:val="24"/>
        </w:rPr>
      </w:pPr>
      <w:r>
        <w:rPr>
          <w:rFonts w:cs="Calibri" w:ascii="Calibri" w:hAnsi="Calibri"/>
          <w:b/>
          <w:szCs w:val="24"/>
        </w:rPr>
      </w:r>
    </w:p>
    <w:tbl>
      <w:tblPr>
        <w:tblpPr w:vertAnchor="text" w:horzAnchor="margin" w:tblpXSpec="center" w:leftFromText="141" w:rightFromText="141" w:tblpY="-2"/>
        <w:tblW w:w="9993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238"/>
        <w:gridCol w:w="6755"/>
      </w:tblGrid>
      <w:tr>
        <w:trPr>
          <w:trHeight w:val="414" w:hRule="atLeast"/>
        </w:trPr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567" w:start="-567" w:end="0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b/>
                <w:szCs w:val="24"/>
              </w:rPr>
              <w:t>Responsabile di Processo</w:t>
            </w:r>
          </w:p>
        </w:tc>
        <w:tc>
          <w:tcPr>
            <w:tcW w:w="67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bCs/>
                <w:szCs w:val="24"/>
              </w:rPr>
              <w:t>DGE</w:t>
            </w:r>
          </w:p>
        </w:tc>
      </w:tr>
      <w:tr>
        <w:trPr>
          <w:trHeight w:val="414" w:hRule="atLeast"/>
        </w:trPr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b/>
                <w:szCs w:val="24"/>
              </w:rPr>
              <w:t>Indicatore di Processo</w:t>
            </w:r>
          </w:p>
        </w:tc>
        <w:tc>
          <w:tcPr>
            <w:tcW w:w="67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Numero CER prodotti</w:t>
            </w:r>
          </w:p>
        </w:tc>
      </w:tr>
    </w:tbl>
    <w:p>
      <w:pPr>
        <w:pStyle w:val="Normal"/>
        <w:ind w:start="7230" w:end="0"/>
        <w:rPr>
          <w:rFonts w:ascii="Calibri" w:hAnsi="Calibri" w:cs="Calibri"/>
          <w:b/>
          <w:szCs w:val="24"/>
        </w:rPr>
      </w:pPr>
      <w:r>
        <w:rPr>
          <w:rFonts w:cs="Calibri" w:ascii="Calibri" w:hAnsi="Calibri"/>
          <w:b/>
          <w:szCs w:val="24"/>
        </w:rPr>
      </w:r>
    </w:p>
    <w:p>
      <w:pPr>
        <w:pStyle w:val="Normal"/>
        <w:jc w:val="both"/>
        <w:rPr>
          <w:rFonts w:ascii="Calibri" w:hAnsi="Calibri" w:cs="Calibri"/>
          <w:b/>
          <w:szCs w:val="24"/>
        </w:rPr>
      </w:pPr>
      <w:r>
        <w:rPr>
          <w:rFonts w:cs="Calibri" w:ascii="Calibri" w:hAnsi="Calibri"/>
          <w:b/>
          <w:szCs w:val="24"/>
        </w:rPr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0" w:right="1134" w:gutter="851" w:header="720" w:top="2410" w:footer="397" w:bottom="141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10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8009"/>
      <w:gridCol w:w="1701"/>
    </w:tblGrid>
    <w:tr>
      <w:trPr>
        <w:trHeight w:val="293" w:hRule="atLeast"/>
      </w:trPr>
      <w:tc>
        <w:tcPr>
          <w:tcW w:w="800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</w:tcPr>
        <w:p>
          <w:pPr>
            <w:pStyle w:val="Footer"/>
            <w:jc w:val="both"/>
            <w:rPr/>
          </w:pPr>
          <w:r>
            <w:rPr>
              <w:rFonts w:cs="Calibri" w:ascii="Calibri" w:hAnsi="Calibri"/>
              <w:b/>
              <w:szCs w:val="24"/>
              <w:lang w:val="fr-FR" w:eastAsia="it-IT"/>
            </w:rPr>
            <w:t>PR 8.1.2</w:t>
          </w:r>
          <w:r>
            <w:rPr>
              <w:rFonts w:cs="Calibri" w:ascii="Calibri" w:hAnsi="Calibri"/>
              <w:szCs w:val="24"/>
              <w:lang w:val="fr-FR" w:eastAsia="it-IT"/>
            </w:rPr>
            <w:t xml:space="preserve">  Ed. 01 Rev. 00</w:t>
          </w:r>
        </w:p>
      </w:tc>
      <w:tc>
        <w:tcPr>
          <w:tcW w:w="170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</w:tcPr>
        <w:p>
          <w:pPr>
            <w:pStyle w:val="Footer"/>
            <w:jc w:val="center"/>
            <w:rPr>
              <w:rFonts w:ascii="Calibri" w:hAnsi="Calibri" w:cs="Calibri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fr-FR" w:eastAsia="it-IT"/>
            </w:rPr>
            <w:t xml:space="preserve">Pag. </w:t>
          </w:r>
          <w:r>
            <w:rPr>
              <w:rFonts w:cs="Calibri" w:ascii="Calibri" w:hAnsi="Calibri"/>
              <w:szCs w:val="24"/>
              <w:lang w:val="it-IT" w:eastAsia="it-IT"/>
            </w:rPr>
            <w:fldChar w:fldCharType="begin"/>
          </w:r>
          <w:r>
            <w:rPr>
              <w:szCs w:val="24"/>
              <w:rFonts w:cs="Calibri" w:ascii="Calibri" w:hAnsi="Calibri"/>
              <w:lang w:val="it-IT" w:eastAsia="it-IT"/>
            </w:rPr>
            <w:instrText xml:space="preserve"> PAGE </w:instrTex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Cs w:val="24"/>
              <w:rFonts w:cs="Calibri" w:ascii="Calibri" w:hAnsi="Calibri"/>
              <w:lang w:val="it-IT" w:eastAsia="it-IT"/>
            </w:rPr>
            <w:t>5</w: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end"/>
          </w:r>
          <w:r>
            <w:rPr>
              <w:rFonts w:cs="Calibri" w:ascii="Calibri" w:hAnsi="Calibri"/>
              <w:szCs w:val="24"/>
              <w:lang w:val="it-IT" w:eastAsia="it-IT"/>
            </w:rPr>
            <w:t xml:space="preserve"> di </w:t>
          </w:r>
          <w:r>
            <w:rPr>
              <w:rFonts w:cs="Calibri" w:ascii="Calibri" w:hAnsi="Calibri"/>
              <w:szCs w:val="24"/>
              <w:lang w:val="it-IT" w:eastAsia="it-IT"/>
            </w:rPr>
            <w:fldChar w:fldCharType="begin"/>
          </w:r>
          <w:r>
            <w:rPr>
              <w:szCs w:val="24"/>
              <w:rFonts w:cs="Calibri" w:ascii="Calibri" w:hAnsi="Calibri"/>
              <w:lang w:val="it-IT" w:eastAsia="it-IT"/>
            </w:rPr>
            <w:instrText xml:space="preserve"> NUMPAGES \* ARABIC </w:instrTex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Cs w:val="24"/>
              <w:rFonts w:cs="Calibri" w:ascii="Calibri" w:hAnsi="Calibri"/>
              <w:lang w:val="it-IT" w:eastAsia="it-IT"/>
            </w:rPr>
            <w:t>5</w: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end"/>
          </w:r>
        </w:p>
      </w:tc>
    </w:tr>
  </w:tbl>
  <w:p>
    <w:r>
      <w:t>MasterComplianceHSQE by Maurizio Gustinicchi Consulting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0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4961"/>
      <w:gridCol w:w="3403"/>
      <w:gridCol w:w="1276"/>
    </w:tblGrid>
    <w:tr>
      <w:trPr>
        <w:trHeight w:val="400" w:hRule="atLeast"/>
      </w:trPr>
      <w:tc>
        <w:tcPr>
          <w:tcW w:w="496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tabs>
              <w:tab w:val="right" w:pos="2835" w:leader="none"/>
              <w:tab w:val="center" w:pos="4819" w:leader="none"/>
              <w:tab w:val="right" w:pos="9638" w:leader="none"/>
            </w:tabs>
            <w:spacing w:before="60" w:after="0"/>
            <w:rPr>
              <w:rFonts w:ascii="Calibri" w:hAnsi="Calibri" w:cs="Calibri"/>
              <w:szCs w:val="24"/>
              <w:lang w:val="en-US" w:eastAsia="it-IT"/>
            </w:rPr>
          </w:pPr>
          <w:r>
            <w:rPr>
              <w:rFonts w:cs="Calibri" w:ascii="Calibri" w:hAnsi="Calibri"/>
              <w:szCs w:val="24"/>
              <w:lang w:val="en-US" w:eastAsia="it-IT"/>
            </w:rPr>
            <w:t xml:space="preserve">ELABORATO </w:t>
          </w:r>
        </w:p>
        <w:p>
          <w:pPr>
            <w:pStyle w:val="Footer"/>
            <w:tabs>
              <w:tab w:val="right" w:pos="2835" w:leader="none"/>
              <w:tab w:val="center" w:pos="4819" w:leader="none"/>
              <w:tab w:val="right" w:pos="9638" w:leader="none"/>
            </w:tabs>
            <w:spacing w:before="60" w:after="0"/>
            <w:rPr>
              <w:rFonts w:ascii="Calibri" w:hAnsi="Calibri" w:cs="Calibri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it-IT" w:eastAsia="it-IT"/>
            </w:rPr>
            <w:t xml:space="preserve">DATA: </w:t>
          </w:r>
        </w:p>
      </w:tc>
      <w:tc>
        <w:tcPr>
          <w:tcW w:w="4679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spacing w:before="60" w:after="0"/>
            <w:rPr>
              <w:rFonts w:ascii="Calibri" w:hAnsi="Calibri" w:cs="Tahoma"/>
              <w:color w:val="000000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it-IT" w:eastAsia="it-IT"/>
            </w:rPr>
            <w:t xml:space="preserve">APPROVATO </w:t>
          </w:r>
        </w:p>
        <w:p>
          <w:pPr>
            <w:pStyle w:val="Footer"/>
            <w:spacing w:before="60" w:after="0"/>
            <w:rPr>
              <w:rFonts w:ascii="Calibri" w:hAnsi="Calibri" w:cs="Calibri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it-IT" w:eastAsia="it-IT"/>
            </w:rPr>
            <w:t xml:space="preserve">DATA: </w:t>
          </w:r>
        </w:p>
      </w:tc>
    </w:tr>
    <w:tr>
      <w:trPr>
        <w:trHeight w:val="293" w:hRule="atLeast"/>
      </w:trPr>
      <w:tc>
        <w:tcPr>
          <w:tcW w:w="8364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  <w:tcMar>
            <w:start w:w="71" w:type="dxa"/>
            <w:end w:w="71" w:type="dxa"/>
          </w:tcMar>
        </w:tcPr>
        <w:p>
          <w:pPr>
            <w:pStyle w:val="Footer"/>
            <w:jc w:val="both"/>
            <w:rPr/>
          </w:pPr>
          <w:r>
            <w:rPr>
              <w:rFonts w:cs="Calibri" w:ascii="Calibri" w:hAnsi="Calibri"/>
              <w:b/>
              <w:szCs w:val="24"/>
              <w:lang w:val="fr-FR" w:eastAsia="it-IT"/>
            </w:rPr>
            <w:t>PR 8.1.1</w:t>
          </w:r>
          <w:r>
            <w:rPr>
              <w:rFonts w:cs="Calibri" w:ascii="Calibri" w:hAnsi="Calibri"/>
              <w:szCs w:val="24"/>
              <w:lang w:val="fr-FR" w:eastAsia="it-IT"/>
            </w:rPr>
            <w:t xml:space="preserve">  Ed. 01 Rev. 00</w:t>
          </w:r>
        </w:p>
      </w:tc>
      <w:tc>
        <w:tcPr>
          <w:tcW w:w="1276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  <w:tcMar>
            <w:start w:w="71" w:type="dxa"/>
            <w:end w:w="71" w:type="dxa"/>
          </w:tcMar>
        </w:tcPr>
        <w:p>
          <w:pPr>
            <w:pStyle w:val="Footer"/>
            <w:jc w:val="center"/>
            <w:rPr>
              <w:rFonts w:ascii="Calibri" w:hAnsi="Calibri" w:cs="Calibri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fr-FR" w:eastAsia="it-IT"/>
            </w:rPr>
            <w:t xml:space="preserve">Pag. </w:t>
          </w:r>
          <w:r>
            <w:rPr>
              <w:rFonts w:cs="Calibri" w:ascii="Calibri" w:hAnsi="Calibri"/>
              <w:szCs w:val="24"/>
              <w:lang w:val="it-IT" w:eastAsia="it-IT"/>
            </w:rPr>
            <w:fldChar w:fldCharType="begin"/>
          </w:r>
          <w:r>
            <w:rPr>
              <w:szCs w:val="24"/>
              <w:rFonts w:cs="Calibri" w:ascii="Calibri" w:hAnsi="Calibri"/>
              <w:lang w:val="it-IT" w:eastAsia="it-IT"/>
            </w:rPr>
            <w:instrText xml:space="preserve"> PAGE </w:instrTex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Cs w:val="24"/>
              <w:rFonts w:cs="Calibri" w:ascii="Calibri" w:hAnsi="Calibri"/>
              <w:lang w:val="it-IT" w:eastAsia="it-IT"/>
            </w:rPr>
            <w:t>1</w: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end"/>
          </w:r>
          <w:r>
            <w:rPr>
              <w:rFonts w:cs="Calibri" w:ascii="Calibri" w:hAnsi="Calibri"/>
              <w:szCs w:val="24"/>
              <w:lang w:val="it-IT" w:eastAsia="it-IT"/>
            </w:rPr>
            <w:t xml:space="preserve"> di </w:t>
          </w:r>
          <w:r>
            <w:rPr>
              <w:rFonts w:cs="Calibri" w:ascii="Calibri" w:hAnsi="Calibri"/>
              <w:szCs w:val="24"/>
              <w:lang w:val="it-IT" w:eastAsia="it-IT"/>
            </w:rPr>
            <w:fldChar w:fldCharType="begin"/>
          </w:r>
          <w:r>
            <w:rPr>
              <w:szCs w:val="24"/>
              <w:rFonts w:cs="Calibri" w:ascii="Calibri" w:hAnsi="Calibri"/>
              <w:lang w:val="it-IT" w:eastAsia="it-IT"/>
            </w:rPr>
            <w:instrText xml:space="preserve"> NUMPAGES \* ARABIC </w:instrTex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Cs w:val="24"/>
              <w:rFonts w:cs="Calibri" w:ascii="Calibri" w:hAnsi="Calibri"/>
              <w:lang w:val="it-IT" w:eastAsia="it-IT"/>
            </w:rPr>
            <w:t>5</w: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16"/>
      </w:rPr>
    </w:pPr>
    <w:r>
      <w:rPr>
        <w:sz w:val="16"/>
      </w:rPr>
      <w:t xml:space="preserve">  </w:t>
    </w:r>
  </w:p>
  <w:tbl>
    <w:tblPr>
      <w:tblW w:w="9639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544"/>
      <w:gridCol w:w="6095"/>
    </w:tblGrid>
    <w:tr>
      <w:trPr>
        <w:trHeight w:val="668" w:hRule="atLeast"/>
        <w:cantSplit w:val="true"/>
      </w:trPr>
      <w:tc>
        <w:tcPr>
          <w:tcW w:w="3544" w:type="dxa"/>
          <w:vMerge w:val="restart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Heading4"/>
            <w:snapToGrid w:val="false"/>
            <w:spacing w:lineRule="atLeast" w:line="240" w:before="0" w:after="60"/>
            <w:ind w:hanging="0" w:start="0"/>
            <w:jc w:val="center"/>
            <w:rPr/>
          </w:pPr>
          <w:r>
            <w:rPr/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  <w:sz w:val="32"/>
              <w:lang w:val="it-IT" w:eastAsia="it-IT"/>
            </w:rPr>
          </w:pPr>
          <w:r>
            <w:rPr>
              <w:rFonts w:cs="Calibri" w:ascii="Calibri" w:hAnsi="Calibri"/>
              <w:sz w:val="32"/>
              <w:lang w:val="it-IT" w:eastAsia="it-IT"/>
            </w:rPr>
            <w:t>Sistema Gestione Ambientale</w:t>
          </w:r>
        </w:p>
        <w:p>
          <w:pPr>
            <w:pStyle w:val="Header"/>
            <w:jc w:val="center"/>
            <w:rPr>
              <w:rFonts w:ascii="Calibri" w:hAnsi="Calibri" w:cs="Calibri"/>
              <w:b/>
              <w:sz w:val="32"/>
              <w:lang w:val="it-IT" w:eastAsia="it-IT"/>
            </w:rPr>
          </w:pPr>
          <w:r>
            <w:rPr>
              <w:rFonts w:cs="Calibri" w:ascii="Calibri" w:hAnsi="Calibri"/>
              <w:b/>
              <w:sz w:val="32"/>
              <w:lang w:val="it-IT" w:eastAsia="it-IT"/>
            </w:rPr>
            <w:t>PROCEDURA PR 8.1.1</w:t>
          </w:r>
        </w:p>
      </w:tc>
    </w:tr>
    <w:tr>
      <w:trPr>
        <w:trHeight w:val="561" w:hRule="atLeast"/>
        <w:cantSplit w:val="true"/>
      </w:trPr>
      <w:tc>
        <w:tcPr>
          <w:tcW w:w="3544" w:type="dxa"/>
          <w:vMerge w:val="continue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  <w:lang w:val="it-IT" w:eastAsia="it-IT"/>
            </w:rPr>
          </w:pPr>
          <w:r>
            <w:rPr>
              <w:rFonts w:cs="Calibri" w:ascii="Calibri" w:hAnsi="Calibri"/>
              <w:b/>
              <w:sz w:val="48"/>
              <w:lang w:val="it-IT" w:eastAsia="it-IT"/>
            </w:rPr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2F2F2" w:val="clear"/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b/>
              <w:caps/>
              <w:sz w:val="28"/>
              <w:lang w:val="it-IT" w:eastAsia="it-IT"/>
            </w:rPr>
          </w:pPr>
          <w:r>
            <w:rPr>
              <w:rFonts w:cs="Calibri" w:ascii="Calibri" w:hAnsi="Calibri"/>
              <w:b/>
              <w:caps/>
              <w:sz w:val="28"/>
              <w:lang w:val="it-IT" w:eastAsia="it-IT"/>
            </w:rPr>
            <w:t>GESTIONE DEI RIFIUTI</w:t>
          </w:r>
        </w:p>
      </w:tc>
    </w:tr>
  </w:tbl>
  <w:p>
    <w:pPr>
      <w:pStyle w:val="Header"/>
      <w:rPr>
        <w:sz w:val="16"/>
      </w:rPr>
    </w:pPr>
    <w:r>
      <w:rPr>
        <w:sz w:val="16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544"/>
      <w:gridCol w:w="6095"/>
    </w:tblGrid>
    <w:tr>
      <w:trPr>
        <w:trHeight w:val="668" w:hRule="atLeast"/>
        <w:cantSplit w:val="true"/>
      </w:trPr>
      <w:tc>
        <w:tcPr>
          <w:tcW w:w="3544" w:type="dxa"/>
          <w:vMerge w:val="restart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Heading4"/>
            <w:snapToGrid w:val="false"/>
            <w:spacing w:lineRule="atLeast" w:line="240" w:before="0" w:after="60"/>
            <w:ind w:hanging="0" w:start="0"/>
            <w:jc w:val="center"/>
            <w:rPr/>
          </w:pPr>
          <w:r>
            <w:rPr/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  <w:sz w:val="32"/>
              <w:lang w:val="it-IT" w:eastAsia="it-IT"/>
            </w:rPr>
          </w:pPr>
          <w:r>
            <w:rPr>
              <w:rFonts w:cs="Calibri" w:ascii="Calibri" w:hAnsi="Calibri"/>
              <w:sz w:val="32"/>
              <w:lang w:val="it-IT" w:eastAsia="it-IT"/>
            </w:rPr>
            <w:t>Sistema Gestione Ambientale</w:t>
          </w:r>
        </w:p>
        <w:p>
          <w:pPr>
            <w:pStyle w:val="Header"/>
            <w:jc w:val="center"/>
            <w:rPr>
              <w:rFonts w:ascii="Calibri" w:hAnsi="Calibri" w:cs="Calibri"/>
              <w:b/>
              <w:sz w:val="32"/>
              <w:lang w:val="it-IT" w:eastAsia="it-IT"/>
            </w:rPr>
          </w:pPr>
          <w:r>
            <w:rPr>
              <w:rFonts w:cs="Calibri" w:ascii="Calibri" w:hAnsi="Calibri"/>
              <w:b/>
              <w:sz w:val="32"/>
              <w:lang w:val="it-IT" w:eastAsia="it-IT"/>
            </w:rPr>
            <w:t>PROCEDURA PR 8.1.1</w:t>
          </w:r>
        </w:p>
      </w:tc>
    </w:tr>
    <w:tr>
      <w:trPr>
        <w:trHeight w:val="561" w:hRule="atLeast"/>
        <w:cantSplit w:val="true"/>
      </w:trPr>
      <w:tc>
        <w:tcPr>
          <w:tcW w:w="3544" w:type="dxa"/>
          <w:vMerge w:val="continue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  <w:lang w:val="it-IT" w:eastAsia="it-IT"/>
            </w:rPr>
          </w:pPr>
          <w:r>
            <w:rPr>
              <w:rFonts w:cs="Calibri" w:ascii="Calibri" w:hAnsi="Calibri"/>
              <w:b/>
              <w:sz w:val="48"/>
              <w:lang w:val="it-IT" w:eastAsia="it-IT"/>
            </w:rPr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2F2F2" w:val="clear"/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b/>
              <w:caps/>
              <w:sz w:val="28"/>
              <w:lang w:val="it-IT" w:eastAsia="it-IT"/>
            </w:rPr>
          </w:pPr>
          <w:r>
            <w:rPr>
              <w:rFonts w:cs="Calibri" w:ascii="Calibri" w:hAnsi="Calibri"/>
              <w:b/>
              <w:caps/>
              <w:sz w:val="28"/>
              <w:lang w:val="it-IT" w:eastAsia="it-IT"/>
            </w:rPr>
            <w:t>GESTIONE DEI RIFIUTI</w:t>
          </w:r>
        </w:p>
      </w:tc>
    </w:tr>
  </w:tbl>
  <w:p>
    <w:pPr>
      <w:pStyle w:val="Normal"/>
      <w:rPr>
        <w:rFonts w:ascii="Tahoma" w:hAnsi="Tahoma" w:cs="Tahoma"/>
        <w:sz w:val="16"/>
      </w:rPr>
    </w:pPr>
    <w:r>
      <w:rPr>
        <w:rFonts w:cs="Tahoma" w:ascii="Tahoma" w:hAnsi="Tahoma"/>
        <w:sz w:val="16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6"/>
      <w:numFmt w:val="bullet"/>
      <w:lvlText w:val="-"/>
      <w:lvlJc w:val="start"/>
      <w:pPr>
        <w:tabs>
          <w:tab w:val="num" w:pos="502"/>
        </w:tabs>
        <w:ind w:start="502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8"/>
        <w:tab w:val="left" w:pos="1418" w:leader="none"/>
      </w:tabs>
      <w:spacing w:before="480" w:after="480"/>
      <w:outlineLvl w:val="0"/>
    </w:pPr>
    <w:rPr>
      <w:rFonts w:ascii="Arial" w:hAnsi="Arial" w:cs="Arial"/>
      <w:b/>
      <w:kern w:val="2"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08"/>
        <w:tab w:val="left" w:pos="851" w:leader="none"/>
      </w:tabs>
      <w:spacing w:before="240" w:after="240"/>
      <w:ind w:hanging="0" w:start="0" w:end="-142"/>
      <w:outlineLvl w:val="1"/>
    </w:pPr>
    <w:rPr>
      <w:rFonts w:ascii="Arial" w:hAnsi="Arial" w:cs="Arial"/>
      <w:smallCap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08"/>
        <w:tab w:val="left" w:pos="1418" w:leader="none"/>
      </w:tabs>
      <w:spacing w:before="360" w:after="360"/>
      <w:ind w:hanging="0" w:start="0" w:end="-142"/>
      <w:jc w:val="both"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i/>
      <w:sz w:val="2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708"/>
        <w:tab w:val="left" w:pos="993" w:leader="none"/>
      </w:tabs>
      <w:ind w:firstLine="142" w:start="0" w:end="-1"/>
      <w:jc w:val="both"/>
      <w:outlineLvl w:val="4"/>
    </w:pPr>
    <w:rPr>
      <w:b/>
      <w:smallCaps/>
      <w:color w:val="00000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firstLine="567" w:start="0" w:end="0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sz w:val="20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Tahoma" w:hAnsi="Tahoma" w:cs="Tahoma"/>
      <w:color w:val="008080"/>
      <w:sz w:val="28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142" w:start="0" w:end="0"/>
      <w:jc w:val="both"/>
      <w:outlineLvl w:val="8"/>
    </w:pPr>
    <w:rPr>
      <w:rFonts w:ascii="Tahoma" w:hAnsi="Tahoma" w:cs="Tahoma"/>
      <w:b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  <w:color w:val="auto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2z0">
    <w:name w:val="WW8Num12z0"/>
    <w:qFormat/>
    <w:rPr>
      <w:rFonts w:ascii="Wingdings" w:hAnsi="Wingdings" w:cs="Wingdings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character" w:styleId="PidipaginaCarattere">
    <w:name w:val="Piè di pagina Carattere"/>
    <w:qFormat/>
    <w:rPr>
      <w:sz w:val="24"/>
    </w:rPr>
  </w:style>
  <w:style w:type="character" w:styleId="Titolo4Carattere">
    <w:name w:val="Titolo 4 Carattere"/>
    <w:basedOn w:val="Carpredefinitoparagrafo"/>
    <w:qFormat/>
    <w:rPr>
      <w:b/>
      <w:i/>
      <w:sz w:val="22"/>
    </w:rPr>
  </w:style>
  <w:style w:type="character" w:styleId="IntestazioneCarattere">
    <w:name w:val="Intestazione Carattere"/>
    <w:qFormat/>
    <w:rPr>
      <w:sz w:val="24"/>
    </w:rPr>
  </w:style>
  <w:style w:type="character" w:styleId="Hyperlink">
    <w:name w:val="Hyperlink"/>
    <w:basedOn w:val="Carpredefinitoparagrafo"/>
    <w:rPr>
      <w:color w:val="0000FF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tabs>
        <w:tab w:val="clear" w:pos="708"/>
        <w:tab w:val="left" w:pos="567" w:leader="none"/>
      </w:tabs>
      <w:ind w:hanging="0" w:start="0" w:end="-1"/>
      <w:jc w:val="both"/>
    </w:pPr>
    <w:rPr>
      <w:smallCaps/>
      <w:color w:val="00000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paragraph" w:styleId="TOC1">
    <w:name w:val="TOC 1"/>
    <w:basedOn w:val="Normal"/>
    <w:next w:val="Normal"/>
    <w:pPr>
      <w:spacing w:before="120" w:after="0"/>
    </w:pPr>
    <w:rPr>
      <w:b/>
      <w:i/>
    </w:rPr>
  </w:style>
  <w:style w:type="paragraph" w:styleId="TOC2">
    <w:name w:val="TOC 2"/>
    <w:basedOn w:val="Normal"/>
    <w:next w:val="Normal"/>
    <w:pPr>
      <w:spacing w:before="120" w:after="0"/>
      <w:ind w:hanging="0" w:start="240" w:end="0"/>
    </w:pPr>
    <w:rPr>
      <w:b/>
      <w:sz w:val="22"/>
    </w:rPr>
  </w:style>
  <w:style w:type="paragraph" w:styleId="TOC3">
    <w:name w:val="TOC 3"/>
    <w:basedOn w:val="Normal"/>
    <w:next w:val="Normal"/>
    <w:pPr>
      <w:ind w:hanging="0" w:start="480" w:end="0"/>
    </w:pPr>
    <w:rPr>
      <w:sz w:val="20"/>
    </w:rPr>
  </w:style>
  <w:style w:type="paragraph" w:styleId="TOC4">
    <w:name w:val="TOC 4"/>
    <w:basedOn w:val="Normal"/>
    <w:next w:val="Normal"/>
    <w:pPr>
      <w:ind w:hanging="0" w:start="720" w:end="0"/>
    </w:pPr>
    <w:rPr>
      <w:sz w:val="20"/>
    </w:rPr>
  </w:style>
  <w:style w:type="paragraph" w:styleId="TOC5">
    <w:name w:val="TOC 5"/>
    <w:basedOn w:val="Normal"/>
    <w:next w:val="Normal"/>
    <w:pPr>
      <w:ind w:hanging="0" w:start="960" w:end="0"/>
    </w:pPr>
    <w:rPr>
      <w:sz w:val="20"/>
    </w:rPr>
  </w:style>
  <w:style w:type="paragraph" w:styleId="TOC6">
    <w:name w:val="TOC 6"/>
    <w:basedOn w:val="Normal"/>
    <w:next w:val="Normal"/>
    <w:pPr>
      <w:ind w:hanging="0" w:start="1200" w:end="0"/>
    </w:pPr>
    <w:rPr>
      <w:sz w:val="20"/>
    </w:rPr>
  </w:style>
  <w:style w:type="paragraph" w:styleId="TOC7">
    <w:name w:val="TOC 7"/>
    <w:basedOn w:val="Normal"/>
    <w:next w:val="Normal"/>
    <w:pPr>
      <w:ind w:hanging="0" w:start="1440" w:end="0"/>
    </w:pPr>
    <w:rPr>
      <w:sz w:val="20"/>
    </w:rPr>
  </w:style>
  <w:style w:type="paragraph" w:styleId="TOC8">
    <w:name w:val="TOC 8"/>
    <w:basedOn w:val="Normal"/>
    <w:next w:val="Normal"/>
    <w:pPr>
      <w:ind w:hanging="0" w:start="1680" w:end="0"/>
    </w:pPr>
    <w:rPr>
      <w:sz w:val="20"/>
    </w:rPr>
  </w:style>
  <w:style w:type="paragraph" w:styleId="TOC9">
    <w:name w:val="TOC 9"/>
    <w:basedOn w:val="Normal"/>
    <w:next w:val="Normal"/>
    <w:pPr>
      <w:ind w:hanging="0" w:start="1920" w:end="0"/>
    </w:pPr>
    <w:rPr>
      <w:sz w:val="20"/>
    </w:rPr>
  </w:style>
  <w:style w:type="paragraph" w:styleId="Index1">
    <w:name w:val="Index 1"/>
    <w:basedOn w:val="Normal"/>
    <w:next w:val="Normal"/>
    <w:pPr>
      <w:tabs>
        <w:tab w:val="clear" w:pos="708"/>
        <w:tab w:val="right" w:pos="4459" w:leader="dot"/>
      </w:tabs>
      <w:ind w:hanging="240" w:start="240" w:end="0"/>
    </w:pPr>
    <w:rPr>
      <w:sz w:val="20"/>
    </w:rPr>
  </w:style>
  <w:style w:type="paragraph" w:styleId="Index2">
    <w:name w:val="Index 2"/>
    <w:basedOn w:val="Normal"/>
    <w:next w:val="Normal"/>
    <w:pPr>
      <w:tabs>
        <w:tab w:val="clear" w:pos="708"/>
        <w:tab w:val="right" w:pos="4459" w:leader="dot"/>
      </w:tabs>
      <w:ind w:hanging="240" w:start="480" w:end="0"/>
    </w:pPr>
    <w:rPr>
      <w:sz w:val="20"/>
    </w:rPr>
  </w:style>
  <w:style w:type="paragraph" w:styleId="Index3">
    <w:name w:val="Index 3"/>
    <w:basedOn w:val="Normal"/>
    <w:next w:val="Normal"/>
    <w:pPr>
      <w:tabs>
        <w:tab w:val="clear" w:pos="708"/>
        <w:tab w:val="right" w:pos="4459" w:leader="dot"/>
      </w:tabs>
      <w:ind w:hanging="240" w:start="720" w:end="0"/>
    </w:pPr>
    <w:rPr>
      <w:sz w:val="20"/>
    </w:rPr>
  </w:style>
  <w:style w:type="paragraph" w:styleId="Indice4">
    <w:name w:val="Indice 4"/>
    <w:basedOn w:val="Normal"/>
    <w:next w:val="Normal"/>
    <w:qFormat/>
    <w:pPr>
      <w:tabs>
        <w:tab w:val="clear" w:pos="708"/>
        <w:tab w:val="right" w:pos="4459" w:leader="dot"/>
      </w:tabs>
      <w:ind w:hanging="240" w:start="960" w:end="0"/>
    </w:pPr>
    <w:rPr>
      <w:sz w:val="20"/>
    </w:rPr>
  </w:style>
  <w:style w:type="paragraph" w:styleId="Indice5">
    <w:name w:val="Indice 5"/>
    <w:basedOn w:val="Normal"/>
    <w:next w:val="Normal"/>
    <w:qFormat/>
    <w:pPr>
      <w:tabs>
        <w:tab w:val="clear" w:pos="708"/>
        <w:tab w:val="right" w:pos="4459" w:leader="dot"/>
      </w:tabs>
      <w:ind w:hanging="240" w:start="1200" w:end="0"/>
    </w:pPr>
    <w:rPr>
      <w:sz w:val="20"/>
    </w:rPr>
  </w:style>
  <w:style w:type="paragraph" w:styleId="Indice6">
    <w:name w:val="Indice 6"/>
    <w:basedOn w:val="Normal"/>
    <w:next w:val="Normal"/>
    <w:qFormat/>
    <w:pPr>
      <w:tabs>
        <w:tab w:val="clear" w:pos="708"/>
        <w:tab w:val="right" w:pos="4459" w:leader="dot"/>
      </w:tabs>
      <w:ind w:hanging="240" w:start="1440" w:end="0"/>
    </w:pPr>
    <w:rPr>
      <w:sz w:val="20"/>
    </w:rPr>
  </w:style>
  <w:style w:type="paragraph" w:styleId="Indice7">
    <w:name w:val="Indice 7"/>
    <w:basedOn w:val="Normal"/>
    <w:next w:val="Normal"/>
    <w:qFormat/>
    <w:pPr>
      <w:tabs>
        <w:tab w:val="clear" w:pos="708"/>
        <w:tab w:val="right" w:pos="4459" w:leader="dot"/>
      </w:tabs>
      <w:ind w:hanging="240" w:start="1680" w:end="0"/>
    </w:pPr>
    <w:rPr>
      <w:sz w:val="20"/>
    </w:rPr>
  </w:style>
  <w:style w:type="paragraph" w:styleId="Indice8">
    <w:name w:val="Indice 8"/>
    <w:basedOn w:val="Normal"/>
    <w:next w:val="Normal"/>
    <w:qFormat/>
    <w:pPr>
      <w:tabs>
        <w:tab w:val="clear" w:pos="708"/>
        <w:tab w:val="right" w:pos="4459" w:leader="dot"/>
      </w:tabs>
      <w:ind w:hanging="240" w:start="1920" w:end="0"/>
    </w:pPr>
    <w:rPr>
      <w:sz w:val="20"/>
    </w:rPr>
  </w:style>
  <w:style w:type="paragraph" w:styleId="Indice9">
    <w:name w:val="Indice 9"/>
    <w:basedOn w:val="Normal"/>
    <w:next w:val="Normal"/>
    <w:qFormat/>
    <w:pPr>
      <w:tabs>
        <w:tab w:val="clear" w:pos="708"/>
        <w:tab w:val="right" w:pos="4459" w:leader="dot"/>
      </w:tabs>
      <w:ind w:hanging="240" w:start="2160" w:end="0"/>
    </w:pPr>
    <w:rPr>
      <w:sz w:val="20"/>
    </w:rPr>
  </w:style>
  <w:style w:type="paragraph" w:styleId="IndexHeading">
    <w:name w:val="Index Heading"/>
    <w:basedOn w:val="Normal"/>
    <w:next w:val="Index1"/>
    <w:pPr>
      <w:spacing w:before="120" w:after="120"/>
    </w:pPr>
    <w:rPr>
      <w:b/>
      <w:i/>
      <w:sz w:val="20"/>
    </w:rPr>
  </w:style>
  <w:style w:type="paragraph" w:styleId="Mappadocumento">
    <w:name w:val="Mappa documento"/>
    <w:basedOn w:val="Normal"/>
    <w:qFormat/>
    <w:pPr>
      <w:shd w:fill="000080" w:val="clear"/>
    </w:pPr>
    <w:rPr>
      <w:rFonts w:ascii="Tahoma" w:hAnsi="Tahoma" w:cs="Tahoma"/>
    </w:rPr>
  </w:style>
  <w:style w:type="paragraph" w:styleId="BodyTextIndent">
    <w:name w:val="Body Text Indent"/>
    <w:basedOn w:val="Normal"/>
    <w:pPr>
      <w:ind w:firstLine="567" w:start="0" w:end="0"/>
      <w:jc w:val="both"/>
    </w:pPr>
    <w:rPr>
      <w:smallCaps/>
    </w:rPr>
  </w:style>
  <w:style w:type="paragraph" w:styleId="Rientrocorpodeltesto2">
    <w:name w:val="Rientro corpo del testo 2"/>
    <w:basedOn w:val="Normal"/>
    <w:qFormat/>
    <w:pPr>
      <w:tabs>
        <w:tab w:val="clear" w:pos="708"/>
        <w:tab w:val="left" w:pos="993" w:leader="none"/>
      </w:tabs>
      <w:ind w:firstLine="142" w:start="0" w:end="-1"/>
      <w:jc w:val="both"/>
    </w:pPr>
    <w:rPr>
      <w:smallCaps/>
      <w:color w:val="000000"/>
    </w:rPr>
  </w:style>
  <w:style w:type="paragraph" w:styleId="Rientrocorpodeltesto3">
    <w:name w:val="Rientro corpo del testo 3"/>
    <w:basedOn w:val="Normal"/>
    <w:qFormat/>
    <w:pPr>
      <w:ind w:firstLine="142" w:start="0" w:end="0"/>
    </w:pPr>
    <w:rPr>
      <w:smallCaps/>
    </w:rPr>
  </w:style>
  <w:style w:type="paragraph" w:styleId="Corpodeltesto2">
    <w:name w:val="Corpo del testo 2"/>
    <w:basedOn w:val="Normal"/>
    <w:qFormat/>
    <w:pPr>
      <w:ind w:hanging="0" w:start="0" w:end="-1"/>
      <w:jc w:val="both"/>
    </w:pPr>
    <w:rPr>
      <w:b/>
      <w:smallCaps/>
      <w:color w:val="000000"/>
      <w:u w:val="single"/>
    </w:rPr>
  </w:style>
  <w:style w:type="paragraph" w:styleId="Corpodeltesto3">
    <w:name w:val="Corpo del testo 3"/>
    <w:basedOn w:val="Normal"/>
    <w:qFormat/>
    <w:pPr>
      <w:jc w:val="both"/>
    </w:pPr>
    <w:rPr>
      <w:smallCaps/>
    </w:rPr>
  </w:style>
  <w:style w:type="paragraph" w:styleId="Testodelblocco">
    <w:name w:val="Testo del blocco"/>
    <w:basedOn w:val="Normal"/>
    <w:qFormat/>
    <w:pPr>
      <w:tabs>
        <w:tab w:val="clear" w:pos="708"/>
        <w:tab w:val="left" w:pos="-1701" w:leader="none"/>
        <w:tab w:val="left" w:pos="-1560" w:leader="none"/>
        <w:tab w:val="left" w:pos="3544" w:leader="none"/>
        <w:tab w:val="left" w:pos="3686" w:leader="none"/>
      </w:tabs>
      <w:ind w:hanging="709" w:start="1276" w:end="-1"/>
      <w:jc w:val="both"/>
    </w:pPr>
    <w:rPr>
      <w:smallCaps/>
    </w:rPr>
  </w:style>
  <w:style w:type="paragraph" w:styleId="Testofumetto">
    <w:name w:val="Testo fumetto"/>
    <w:basedOn w:val="Normal"/>
    <w:qFormat/>
    <w:pPr/>
    <w:rPr>
      <w:rFonts w:ascii="Tahoma" w:hAnsi="Tahoma" w:cs="Tahoma"/>
      <w:sz w:val="16"/>
      <w:szCs w:val="16"/>
    </w:rPr>
  </w:style>
  <w:style w:type="paragraph" w:styleId="Titolosommario">
    <w:name w:val="Titolo sommario"/>
    <w:basedOn w:val="Heading1"/>
    <w:next w:val="Normal"/>
    <w:qFormat/>
    <w:pPr>
      <w:keepLines/>
      <w:numPr>
        <w:ilvl w:val="0"/>
        <w:numId w:val="0"/>
      </w:numPr>
      <w:tabs>
        <w:tab w:val="clear" w:pos="1418"/>
      </w:tabs>
      <w:spacing w:lineRule="auto" w:line="276" w:before="480" w:after="0"/>
      <w:outlineLvl w:val="9"/>
    </w:pPr>
    <w:rPr>
      <w:rFonts w:ascii="Cambria" w:hAnsi="Cambria" w:eastAsia="Times New Roman" w:cs="Times New Roman"/>
      <w:bCs/>
      <w:color w:val="365F91"/>
      <w:kern w:val="0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Maurizio Gustinicchi Consulting</cp:lastModifiedBy>
  <cp:revision>1</cp:revision>
  <dcterms:modified xsi:type="dcterms:W3CDTF">2026-07-27T07:29:59Z</dcterms:modified>
  <dc:description>MasterComplianceHSQE by Maurizio Gustinicchi Consulting</dc:description>
  <dc:creator>Maurizio Gustinicchi Consulting</dc:creator>
</cp:coreProperties>
</file>