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Relationship Id="rId4" Type="http://schemas.openxmlformats.org/package/2006/relationships/metadata/core-properties" Target="docProps/core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fill="FFFFFF" w:val="clear"/>
        <w:spacing w:lineRule="atLeast" w:line="288" w:before="0" w:after="264"/>
        <w:jc w:val="both"/>
        <w:rPr/>
      </w:pPr>
      <w:r>
        <w:rPr>
          <w:rFonts w:cs="Calibri" w:ascii="Calibri" w:hAnsi="Calibri"/>
          <w:sz w:val="24"/>
          <w:szCs w:val="24"/>
        </w:rPr>
        <w:t>La </w:t>
      </w:r>
      <w:r>
        <w:rPr>
          <w:rFonts w:cs="Calibri" w:ascii="Calibri" w:hAnsi="Calibri"/>
          <w:b/>
          <w:bCs/>
          <w:sz w:val="24"/>
          <w:szCs w:val="24"/>
        </w:rPr>
        <w:t>NOME_AZIENDA</w:t>
      </w:r>
      <w:r>
        <w:rPr>
          <w:rFonts w:cs="Calibri" w:ascii="Calibri" w:hAnsi="Calibri"/>
          <w:sz w:val="24"/>
          <w:szCs w:val="24"/>
        </w:rPr>
        <w:t> , considerando la salvaguardia dell’ambiente essenziale per la qualità della vita e per uno sviluppo sostenibile, con il presente documento di Politica Ambientale intende:</w:t>
      </w:r>
    </w:p>
    <w:p>
      <w:pPr>
        <w:pStyle w:val="Normal"/>
        <w:numPr>
          <w:ilvl w:val="0"/>
          <w:numId w:val="3"/>
        </w:numPr>
        <w:shd w:fill="FFFFFF" w:val="clear"/>
        <w:spacing w:before="100" w:after="10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esprimere la propria volontà di contemperare le esigenze di sviluppo economico e di creazione di valore con il rispetto e la salvaguardia ambientale;</w:t>
      </w:r>
    </w:p>
    <w:p>
      <w:pPr>
        <w:pStyle w:val="Normal"/>
        <w:numPr>
          <w:ilvl w:val="0"/>
          <w:numId w:val="3"/>
        </w:numPr>
        <w:shd w:fill="FFFFFF" w:val="clear"/>
        <w:spacing w:before="100" w:after="10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esplicitare le linee guida aziendali per la tutela ambientale;</w:t>
      </w:r>
    </w:p>
    <w:p>
      <w:pPr>
        <w:pStyle w:val="Normal"/>
        <w:numPr>
          <w:ilvl w:val="0"/>
          <w:numId w:val="3"/>
        </w:numPr>
        <w:shd w:fill="FFFFFF" w:val="clear"/>
        <w:spacing w:before="100" w:after="10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condividere con le parti interessate (dipendenti, collaboratori, appaltatori, associazioni sindacali, istituzioni, cittadini, ecc.) i relativi principi gestionali;</w:t>
      </w:r>
    </w:p>
    <w:p>
      <w:pPr>
        <w:pStyle w:val="Normal"/>
        <w:numPr>
          <w:ilvl w:val="0"/>
          <w:numId w:val="3"/>
        </w:numPr>
        <w:shd w:fill="FFFFFF" w:val="clear"/>
        <w:spacing w:before="100" w:after="10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favorire la partecipazione e la collaborazione di tutte le parti interessate, nella consapevolezza che, per il raggiungimento degli obiettivi legati alla tutela ambientale, sia determinante il loro contributo attivo;</w:t>
      </w:r>
    </w:p>
    <w:p>
      <w:pPr>
        <w:pStyle w:val="Normal"/>
        <w:numPr>
          <w:ilvl w:val="0"/>
          <w:numId w:val="3"/>
        </w:numPr>
        <w:shd w:fill="FFFFFF" w:val="clear"/>
        <w:spacing w:before="100" w:after="10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attuare, documentare e mantenere attivo un Sistema di gestione ambientale conforme a quanto previsto dalla norma ISO 14001:2015 e ottenere la sua certificazione da parte di un Organismo accreditato.</w:t>
      </w:r>
    </w:p>
    <w:p>
      <w:pPr>
        <w:pStyle w:val="Normal"/>
        <w:shd w:fill="FFFFFF" w:val="clear"/>
        <w:spacing w:lineRule="atLeast" w:line="288" w:before="0" w:after="264"/>
        <w:jc w:val="both"/>
        <w:rPr/>
      </w:pPr>
      <w:r>
        <w:rPr>
          <w:rFonts w:cs="Calibri" w:ascii="Calibri" w:hAnsi="Calibri"/>
          <w:sz w:val="24"/>
          <w:szCs w:val="24"/>
        </w:rPr>
        <w:t>La </w:t>
      </w:r>
      <w:r>
        <w:rPr>
          <w:rFonts w:cs="Calibri" w:ascii="Calibri" w:hAnsi="Calibri"/>
          <w:b/>
          <w:bCs/>
          <w:sz w:val="24"/>
          <w:szCs w:val="24"/>
        </w:rPr>
        <w:t xml:space="preserve">Politica ambientale </w:t>
      </w:r>
      <w:r>
        <w:rPr>
          <w:rFonts w:cs="Calibri" w:ascii="Calibri" w:hAnsi="Calibri"/>
          <w:sz w:val="24"/>
          <w:szCs w:val="24"/>
        </w:rPr>
        <w:t>si concretizza nei seguenti principi gestionali:</w:t>
      </w:r>
    </w:p>
    <w:p>
      <w:pPr>
        <w:pStyle w:val="Normal"/>
        <w:numPr>
          <w:ilvl w:val="0"/>
          <w:numId w:val="4"/>
        </w:numPr>
        <w:shd w:fill="FFFFFF" w:val="clear"/>
        <w:spacing w:before="100" w:after="10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rispetto integrale della legislazione vigente (inclusa ogni altra prescrizione ambientale sottoscritta dall’azienda), della normativa di riferimento e delle procedure aziendali in materia di protezione ambientale;</w:t>
      </w:r>
    </w:p>
    <w:p>
      <w:pPr>
        <w:pStyle w:val="Normal"/>
        <w:numPr>
          <w:ilvl w:val="0"/>
          <w:numId w:val="4"/>
        </w:numPr>
        <w:shd w:fill="FFFFFF" w:val="clear"/>
        <w:spacing w:before="100" w:after="10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impiego di processi e tecnologie che prevengano e/o riducano gli impatti sull’ambiente;</w:t>
      </w:r>
    </w:p>
    <w:p>
      <w:pPr>
        <w:pStyle w:val="Normal"/>
        <w:numPr>
          <w:ilvl w:val="0"/>
          <w:numId w:val="4"/>
        </w:numPr>
        <w:shd w:fill="FFFFFF" w:val="clear"/>
        <w:spacing w:before="100" w:after="10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gestione delle attività produttive in modo da ridurre gli impatti ambientali ad essa direttamente connessi, con particolare attenzione alla gestione dei rifiuti prodotti e ai rischi legati all’utilizzo di sostanze inquinanti;</w:t>
      </w:r>
    </w:p>
    <w:p>
      <w:pPr>
        <w:pStyle w:val="Normal"/>
        <w:numPr>
          <w:ilvl w:val="0"/>
          <w:numId w:val="4"/>
        </w:numPr>
        <w:shd w:fill="FFFFFF" w:val="clear"/>
        <w:spacing w:before="100" w:after="10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utilizzo di mezzi e materiali che presentino caratteristiche conformi alla legislazione ambientale vigente, bassi consumi, basso impatto ambientale, riciclabilità;</w:t>
      </w:r>
    </w:p>
    <w:p>
      <w:pPr>
        <w:pStyle w:val="Normal"/>
        <w:numPr>
          <w:ilvl w:val="0"/>
          <w:numId w:val="4"/>
        </w:numPr>
        <w:shd w:fill="FFFFFF" w:val="clear"/>
        <w:spacing w:before="100" w:after="10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diffusione all’interno dell’azienda, mediante una costante azione di sensibilizzazione, di una cultura volta alla messa in atto delle forme di comportamento corrette sotto il profilo della tutela dell’ambiente e del territorio;</w:t>
      </w:r>
    </w:p>
    <w:p>
      <w:pPr>
        <w:pStyle w:val="Normal"/>
        <w:numPr>
          <w:ilvl w:val="0"/>
          <w:numId w:val="4"/>
        </w:numPr>
        <w:shd w:fill="FFFFFF" w:val="clear"/>
        <w:spacing w:before="100" w:after="10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sviluppo, mediante la formazione e l’informazione, delle competenze professionali e dell’impegno ad operare nel rispetto delle procedure di prevenzione e protezione;</w:t>
      </w:r>
    </w:p>
    <w:p>
      <w:pPr>
        <w:pStyle w:val="Normal"/>
        <w:numPr>
          <w:ilvl w:val="0"/>
          <w:numId w:val="4"/>
        </w:numPr>
        <w:shd w:fill="FFFFFF" w:val="clear"/>
        <w:spacing w:before="100" w:after="10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coinvolgimento e partecipazione del personale al processo di miglioramento continuo e alla prevenzione in materia di tutela ambientale;</w:t>
      </w:r>
    </w:p>
    <w:p>
      <w:pPr>
        <w:pStyle w:val="Normal"/>
        <w:numPr>
          <w:ilvl w:val="0"/>
          <w:numId w:val="4"/>
        </w:numPr>
        <w:shd w:fill="FFFFFF" w:val="clear"/>
        <w:spacing w:before="100" w:after="10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incremento delle performance ambientali e dei conseguenti livelli di benessere fisico ed intellettuale dei lavoratori, tramite una organizzazione del lavoro finalizzata allo scopo e la messa a disposizione di adeguate risorse economiche, umane e tecnologiche;</w:t>
      </w:r>
    </w:p>
    <w:p>
      <w:pPr>
        <w:pStyle w:val="Normal"/>
        <w:numPr>
          <w:ilvl w:val="0"/>
          <w:numId w:val="4"/>
        </w:numPr>
        <w:shd w:fill="FFFFFF" w:val="clear"/>
        <w:spacing w:before="100" w:after="10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sviluppo della consapevolezza generalizzata che la responsabilità della tutela ambientale è affidata a tutti i lavoratori, ai vari livelli aziendali, ciascuno secondo le proprie competenze;</w:t>
      </w:r>
    </w:p>
    <w:p>
      <w:pPr>
        <w:pStyle w:val="Normal"/>
        <w:numPr>
          <w:ilvl w:val="0"/>
          <w:numId w:val="4"/>
        </w:numPr>
        <w:shd w:fill="FFFFFF" w:val="clear"/>
        <w:spacing w:before="100" w:after="10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 xml:space="preserve">coinvolgimento delle imprese appaltatrici che operano per </w:t>
      </w:r>
      <w:r>
        <w:rPr>
          <w:rFonts w:cs="Calibri" w:ascii="Calibri" w:hAnsi="Calibri"/>
          <w:b/>
          <w:sz w:val="24"/>
          <w:szCs w:val="24"/>
        </w:rPr>
        <w:t>NOME_AZIENDA</w:t>
      </w:r>
      <w:r>
        <w:rPr>
          <w:rFonts w:cs="Calibri" w:ascii="Calibri" w:hAnsi="Calibri"/>
          <w:sz w:val="24"/>
          <w:szCs w:val="24"/>
        </w:rPr>
        <w:t xml:space="preserve"> nella tutela ambientale, in particolare mediante la comunicazione della politica e degli obiettivi, nonché la cooperazione ed il coordinamento in ogni fase del rapporto contrattuale in tema di prestazioni ambientali;</w:t>
      </w:r>
    </w:p>
    <w:p>
      <w:pPr>
        <w:pStyle w:val="Normal"/>
        <w:numPr>
          <w:ilvl w:val="0"/>
          <w:numId w:val="4"/>
        </w:numPr>
        <w:shd w:fill="FFFFFF" w:val="clear"/>
        <w:spacing w:before="100" w:after="10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verifica continua della gestione della tutela ambientale, attraverso l’analisi critica dei risultati conseguiti e la revisione dei principi sopra riportati e del Sistema di gestione ambientale.</w:t>
      </w:r>
    </w:p>
    <w:p>
      <w:pPr>
        <w:pStyle w:val="Normal"/>
        <w:shd w:fill="FFFFFF" w:val="clear"/>
        <w:spacing w:lineRule="atLeast" w:line="288" w:before="0" w:after="264"/>
        <w:jc w:val="both"/>
        <w:rPr/>
      </w:pPr>
      <w:r>
        <w:rPr>
          <w:rFonts w:cs="Calibri" w:ascii="Calibri" w:hAnsi="Calibri"/>
          <w:sz w:val="24"/>
          <w:szCs w:val="24"/>
        </w:rPr>
        <w:t xml:space="preserve">La presente Politica è orientata alla prevenzione (in particolare di ogni tipo di inquinamento) e rappresenta la guida per il miglioramento continuo delle prestazioni ambientali e del relativo Sistema di gestione (anche attraverso la ricerca del costante aggiornamento delle tecnologie impiegate e delle migliori conoscenze a livello scientifico); costituisce inoltre il quadro di riferimento per la definizione e il riesame degli obiettivi ambientali da parte di </w:t>
      </w:r>
      <w:r>
        <w:rPr>
          <w:rFonts w:cs="Calibri" w:ascii="Calibri" w:hAnsi="Calibri"/>
          <w:b/>
          <w:sz w:val="24"/>
          <w:szCs w:val="24"/>
        </w:rPr>
        <w:t>NOME_AZIENDA</w:t>
      </w:r>
      <w:r>
        <w:rPr>
          <w:rFonts w:cs="Calibri" w:ascii="Calibri" w:hAnsi="Calibri"/>
          <w:sz w:val="24"/>
          <w:szCs w:val="24"/>
        </w:rPr>
        <w:t>.</w:t>
      </w:r>
    </w:p>
    <w:p>
      <w:pPr>
        <w:pStyle w:val="Normal"/>
        <w:shd w:fill="FFFFFF" w:val="clear"/>
        <w:spacing w:lineRule="atLeast" w:line="288" w:before="0" w:after="264"/>
        <w:jc w:val="both"/>
        <w:rPr/>
      </w:pPr>
      <w:r>
        <w:rPr>
          <w:rFonts w:cs="Calibri" w:ascii="Calibri" w:hAnsi="Calibri"/>
          <w:sz w:val="24"/>
          <w:szCs w:val="24"/>
        </w:rPr>
        <w:t xml:space="preserve">Tali obiettivi tengono conto degli aspetti ambientali propri di </w:t>
      </w:r>
      <w:r>
        <w:rPr>
          <w:rFonts w:cs="Calibri" w:ascii="Calibri" w:hAnsi="Calibri"/>
          <w:b/>
          <w:sz w:val="24"/>
          <w:szCs w:val="24"/>
        </w:rPr>
        <w:t xml:space="preserve">NOME_AZIENDA </w:t>
      </w:r>
      <w:r>
        <w:rPr>
          <w:rFonts w:cs="Calibri" w:ascii="Calibri" w:hAnsi="Calibri"/>
          <w:sz w:val="24"/>
          <w:szCs w:val="24"/>
        </w:rPr>
        <w:t>, come descritto nel Sistema di gestione ambientale.</w:t>
      </w:r>
    </w:p>
    <w:p>
      <w:pPr>
        <w:pStyle w:val="Normal"/>
        <w:shd w:fill="FFFFFF" w:val="clear"/>
        <w:spacing w:lineRule="atLeast" w:line="288" w:before="0" w:after="264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La Direzione è impegnata nell’attuazione dei principi della Politica ambientale e degli obiettivi che da essa discendono e a tale scopo mettono a disposizione la struttura e le risorse necessarie; inoltre effettua un monitoraggio periodico del raggiungimento degli obiettivi e, ove necessario, promuovono gli opportuni interventi correttivi o migliorativi.</w:t>
      </w:r>
    </w:p>
    <w:p>
      <w:pPr>
        <w:pStyle w:val="Normal"/>
        <w:shd w:fill="FFFFFF" w:val="clear"/>
        <w:spacing w:lineRule="atLeast" w:line="288" w:before="0" w:after="264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La Politica ambientale ha anche un ruolo di documento di comunicazione aziendale; per dargli la massima diffusione, all’interno della Società il suddetto documento è a disposizione degli operatori essendo esposto nelle bacheche aziendali; per tutte le altre parti interessate è disponibile sul sito internet aziendale.</w:t>
      </w:r>
    </w:p>
    <w:p>
      <w:pPr>
        <w:pStyle w:val="Normal"/>
        <w:shd w:fill="FFFFFF" w:val="clear"/>
        <w:spacing w:lineRule="atLeast" w:line="288" w:before="0" w:after="264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È compito dei Responsabili di Funzione:</w:t>
      </w:r>
    </w:p>
    <w:p>
      <w:pPr>
        <w:pStyle w:val="Normal"/>
        <w:numPr>
          <w:ilvl w:val="0"/>
          <w:numId w:val="2"/>
        </w:numPr>
        <w:shd w:fill="FFFFFF" w:val="clear"/>
        <w:spacing w:before="100" w:after="10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verificare che tale documento sia compreso dai propri collaboratori e, se necessario, fornire i chiarimenti richiesti;</w:t>
      </w:r>
    </w:p>
    <w:p>
      <w:pPr>
        <w:pStyle w:val="Normal"/>
        <w:numPr>
          <w:ilvl w:val="0"/>
          <w:numId w:val="2"/>
        </w:numPr>
        <w:shd w:fill="FFFFFF" w:val="clear"/>
        <w:spacing w:before="100" w:after="10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adottare gli opportuni provvedimenti, affinché i dipendenti operino in modo corretto da un punto di vista del rispetto ambientale nello svolgimento delle proprie mansioni.</w:t>
      </w:r>
    </w:p>
    <w:p>
      <w:pPr>
        <w:pStyle w:val="Normal"/>
        <w:shd w:fill="FFFFFF" w:val="clear"/>
        <w:spacing w:lineRule="atLeast" w:line="288" w:before="0" w:after="264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La Politica è periodicamente riesaminata e revisionata di regola nell’ambito del riesame della Direzione annuale per tenere conto di nuove direttive della Direzione e/o dei cambiamenti avvenuti.</w:t>
      </w:r>
    </w:p>
    <w:p>
      <w:pPr>
        <w:pStyle w:val="Normal"/>
        <w:tabs>
          <w:tab w:val="clear" w:pos="708"/>
          <w:tab w:val="left" w:pos="284" w:leader="none"/>
          <w:tab w:val="left" w:pos="567" w:leader="none"/>
          <w:tab w:val="left" w:pos="851" w:leader="none"/>
          <w:tab w:val="left" w:pos="1134" w:leader="none"/>
        </w:tabs>
        <w:spacing w:lineRule="auto" w:line="360"/>
        <w:ind w:end="-1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Normal"/>
        <w:tabs>
          <w:tab w:val="clear" w:pos="708"/>
          <w:tab w:val="left" w:pos="284" w:leader="none"/>
          <w:tab w:val="left" w:pos="567" w:leader="none"/>
          <w:tab w:val="left" w:pos="851" w:leader="none"/>
          <w:tab w:val="left" w:pos="1134" w:leader="none"/>
        </w:tabs>
        <w:spacing w:lineRule="auto" w:line="360"/>
        <w:ind w:end="-1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 xml:space="preserve">Luogo, lì </w:t>
      </w:r>
      <w:r>
        <w:rPr>
          <w:rFonts w:cs="Calibri" w:ascii="Calibri" w:hAnsi="Calibri"/>
          <w:b/>
          <w:sz w:val="24"/>
          <w:szCs w:val="24"/>
        </w:rPr>
        <w:t>[INSERIRE DATA]</w:t>
      </w:r>
      <w:r>
        <w:rPr>
          <w:rFonts w:cs="Calibri" w:ascii="Calibri" w:hAnsi="Calibri"/>
          <w:sz w:val="24"/>
          <w:szCs w:val="24"/>
        </w:rPr>
        <w:tab/>
      </w:r>
    </w:p>
    <w:p>
      <w:pPr>
        <w:pStyle w:val="Normal"/>
        <w:tabs>
          <w:tab w:val="clear" w:pos="708"/>
          <w:tab w:val="left" w:pos="284" w:leader="none"/>
          <w:tab w:val="left" w:pos="567" w:leader="none"/>
          <w:tab w:val="left" w:pos="851" w:leader="none"/>
          <w:tab w:val="left" w:pos="1134" w:leader="none"/>
        </w:tabs>
        <w:spacing w:lineRule="auto" w:line="360"/>
        <w:ind w:end="-1"/>
        <w:jc w:val="both"/>
        <w:rPr>
          <w:rFonts w:ascii="Calibri" w:hAnsi="Calibri" w:cs="Calibri"/>
          <w:i/>
          <w:i/>
          <w:sz w:val="24"/>
          <w:szCs w:val="24"/>
        </w:rPr>
      </w:pPr>
      <w:r>
        <w:rPr>
          <w:rFonts w:cs="Calibri" w:ascii="Calibri" w:hAnsi="Calibri"/>
          <w:i/>
          <w:sz w:val="24"/>
          <w:szCs w:val="24"/>
        </w:rPr>
      </w:r>
    </w:p>
    <w:p>
      <w:pPr>
        <w:pStyle w:val="Normal"/>
        <w:tabs>
          <w:tab w:val="clear" w:pos="708"/>
          <w:tab w:val="left" w:pos="284" w:leader="none"/>
          <w:tab w:val="left" w:pos="567" w:leader="none"/>
          <w:tab w:val="left" w:pos="851" w:leader="none"/>
          <w:tab w:val="left" w:pos="1134" w:leader="none"/>
        </w:tabs>
        <w:spacing w:lineRule="auto" w:line="360"/>
        <w:ind w:end="-1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b/>
          <w:sz w:val="24"/>
          <w:szCs w:val="24"/>
        </w:rPr>
        <w:t>DGE</w:t>
      </w:r>
      <w:r>
        <w:rPr>
          <w:rFonts w:cs="Calibri" w:ascii="Calibri" w:hAnsi="Calibri"/>
          <w:sz w:val="24"/>
          <w:szCs w:val="24"/>
        </w:rPr>
        <w:t xml:space="preserve"> ___________________ </w:t>
      </w:r>
    </w:p>
    <w:p>
      <w:pPr>
        <w:pStyle w:val="Normal"/>
        <w:tabs>
          <w:tab w:val="clear" w:pos="708"/>
          <w:tab w:val="left" w:pos="284" w:leader="none"/>
          <w:tab w:val="left" w:pos="567" w:leader="none"/>
          <w:tab w:val="left" w:pos="851" w:leader="none"/>
          <w:tab w:val="left" w:pos="1134" w:leader="none"/>
        </w:tabs>
        <w:spacing w:lineRule="auto" w:line="360"/>
        <w:ind w:end="-1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 xml:space="preserve">       </w:t>
      </w:r>
    </w:p>
    <w:sectPr>
      <w:headerReference w:type="default" r:id="rId2"/>
      <w:footerReference w:type="default" r:id="rId3"/>
      <w:type w:val="nextPage"/>
      <w:pgSz w:w="11906" w:h="16838"/>
      <w:pgMar w:left="1134" w:right="1134" w:gutter="0" w:header="720" w:top="2269" w:footer="720" w:bottom="141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Tms Rmn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Garamond">
    <w:charset w:val="00" w:characterSet="windows-1252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 w:characterSet="iso-8859-1"/>
    <w:family w:val="swiss"/>
    <w:pitch w:val="variable"/>
  </w:font>
  <w:font w:name="Tahoma">
    <w:charset w:val="00" w:characterSet="windows-1252"/>
    <w:family w:val="swiss"/>
    <w:pitch w:val="variable"/>
  </w:font>
  <w:font w:name="Arial Narrow">
    <w:charset w:val="00" w:characterSet="windows-1252"/>
    <w:family w:val="swiss"/>
    <w:pitch w:val="variable"/>
  </w:font>
  <w:font w:name="Courier New">
    <w:charset w:val="00" w:characterSet="windows-1252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10" w:type="dxa"/>
      <w:jc w:val="start"/>
      <w:tblInd w:w="0" w:type="dxa"/>
      <w:tblLayout w:type="fixed"/>
      <w:tblCellMar>
        <w:top w:w="0" w:type="dxa"/>
        <w:start w:w="71" w:type="dxa"/>
        <w:bottom w:w="0" w:type="dxa"/>
        <w:end w:w="71" w:type="dxa"/>
      </w:tblCellMar>
    </w:tblPr>
    <w:tblGrid>
      <w:gridCol w:w="8576"/>
      <w:gridCol w:w="1134"/>
    </w:tblGrid>
    <w:tr>
      <w:trPr>
        <w:trHeight w:val="261" w:hRule="atLeast"/>
      </w:trPr>
      <w:tc>
        <w:tcPr>
          <w:tcW w:w="8576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Footer"/>
            <w:rPr>
              <w:rFonts w:ascii="Calibri" w:hAnsi="Calibri" w:cs="Calibri"/>
            </w:rPr>
          </w:pPr>
          <w:r>
            <w:rPr>
              <w:rFonts w:cs="Calibri" w:ascii="Calibri" w:hAnsi="Calibri"/>
              <w:b/>
            </w:rPr>
            <w:t>Allegato 1 – Politica ambientale</w:t>
          </w:r>
          <w:r>
            <w:rPr>
              <w:rFonts w:cs="Calibri" w:ascii="Calibri" w:hAnsi="Calibri"/>
            </w:rPr>
            <w:t xml:space="preserve">   </w:t>
          </w:r>
        </w:p>
      </w:tc>
      <w:tc>
        <w:tcPr>
          <w:tcW w:w="1134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Footer"/>
            <w:jc w:val="center"/>
            <w:rPr>
              <w:rFonts w:ascii="Calibri" w:hAnsi="Calibri" w:cs="Calibri"/>
            </w:rPr>
          </w:pPr>
          <w:r>
            <w:rPr>
              <w:rFonts w:cs="Calibri" w:ascii="Calibri" w:hAnsi="Calibri"/>
            </w:rPr>
            <w:t xml:space="preserve">Pag. </w:t>
          </w:r>
          <w:r>
            <w:rPr>
              <w:rFonts w:cs="Calibri" w:ascii="Calibri" w:hAnsi="Calibri"/>
            </w:rPr>
            <w:fldChar w:fldCharType="begin"/>
          </w:r>
          <w:r>
            <w:rPr>
              <w:rFonts w:cs="Calibri" w:ascii="Calibri" w:hAnsi="Calibri"/>
            </w:rPr>
            <w:instrText xml:space="preserve"> PAGE </w:instrText>
          </w:r>
          <w:r>
            <w:rPr>
              <w:rFonts w:cs="Calibri" w:ascii="Calibri" w:hAnsi="Calibri"/>
            </w:rPr>
            <w:fldChar w:fldCharType="separate"/>
          </w:r>
          <w:r>
            <w:rPr>
              <w:rFonts w:cs="Calibri" w:ascii="Calibri" w:hAnsi="Calibri"/>
            </w:rPr>
            <w:t>3</w:t>
          </w:r>
          <w:r>
            <w:rPr>
              <w:rFonts w:cs="Calibri" w:ascii="Calibri" w:hAnsi="Calibri"/>
            </w:rPr>
            <w:fldChar w:fldCharType="end"/>
          </w:r>
          <w:r>
            <w:rPr>
              <w:rFonts w:cs="Calibri" w:ascii="Calibri" w:hAnsi="Calibri"/>
            </w:rPr>
            <w:t xml:space="preserve"> di </w:t>
          </w:r>
          <w:r>
            <w:rPr>
              <w:rStyle w:val="PageNumber"/>
              <w:rFonts w:cs="Calibri" w:ascii="Calibri" w:hAnsi="Calibri"/>
            </w:rPr>
            <w:fldChar w:fldCharType="begin"/>
          </w:r>
          <w:r>
            <w:rPr>
              <w:rStyle w:val="PageNumber"/>
              <w:rFonts w:cs="Calibri" w:ascii="Calibri" w:hAnsi="Calibri"/>
            </w:rPr>
            <w:instrText xml:space="preserve"> NUMPAGES \* ARABIC </w:instrText>
          </w:r>
          <w:r>
            <w:rPr>
              <w:rStyle w:val="PageNumber"/>
              <w:rFonts w:cs="Calibri" w:ascii="Calibri" w:hAnsi="Calibri"/>
            </w:rPr>
            <w:fldChar w:fldCharType="separate"/>
          </w:r>
          <w:r>
            <w:rPr>
              <w:rStyle w:val="PageNumber"/>
              <w:rFonts w:cs="Calibri" w:ascii="Calibri" w:hAnsi="Calibri"/>
            </w:rPr>
            <w:t>3</w:t>
          </w:r>
          <w:r>
            <w:rPr>
              <w:rStyle w:val="PageNumber"/>
              <w:rFonts w:cs="Calibri" w:ascii="Calibri" w:hAnsi="Calibri"/>
            </w:rPr>
            <w:fldChar w:fldCharType="end"/>
          </w:r>
        </w:p>
      </w:tc>
    </w:tr>
  </w:tbl>
  <w:p>
    <w:r>
      <w:t>MasterComplianceHSQE by Maurizio Gustinicchi Consulting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200" w:type="pct"/>
      <w:jc w:val="start"/>
      <w:tblInd w:w="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2838"/>
      <w:gridCol w:w="5284"/>
      <w:gridCol w:w="1901"/>
    </w:tblGrid>
    <w:tr>
      <w:trPr>
        <w:trHeight w:val="1788" w:hRule="atLeast"/>
        <w:cantSplit w:val="true"/>
      </w:trPr>
      <w:tc>
        <w:tcPr>
          <w:tcW w:w="2838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ing4"/>
            <w:snapToGrid w:val="false"/>
            <w:spacing w:before="240" w:after="60"/>
            <w:ind w:hanging="0" w:start="0"/>
            <w:jc w:val="center"/>
            <w:rPr/>
          </w:pPr>
          <w:r>
            <w:rPr/>
          </w:r>
        </w:p>
      </w:tc>
      <w:tc>
        <w:tcPr>
          <w:tcW w:w="5284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D9D9D9" w:val="clear"/>
        </w:tcPr>
        <w:p>
          <w:pPr>
            <w:pStyle w:val="Header"/>
            <w:snapToGrid w:val="false"/>
            <w:jc w:val="center"/>
            <w:rPr>
              <w:rFonts w:ascii="Calibri" w:hAnsi="Calibri" w:cs="Calibri"/>
              <w:sz w:val="28"/>
              <w:szCs w:val="28"/>
              <w:lang w:val="it-IT" w:eastAsia="it-IT"/>
            </w:rPr>
          </w:pPr>
          <w:r>
            <w:rPr>
              <w:rFonts w:cs="Calibri" w:ascii="Calibri" w:hAnsi="Calibri"/>
              <w:sz w:val="28"/>
              <w:szCs w:val="28"/>
              <w:lang w:val="it-IT" w:eastAsia="it-IT"/>
            </w:rPr>
          </w:r>
        </w:p>
        <w:p>
          <w:pPr>
            <w:pStyle w:val="Header"/>
            <w:shd w:fill="D9D9D9" w:val="clear"/>
            <w:jc w:val="center"/>
            <w:rPr>
              <w:rFonts w:ascii="Calibri" w:hAnsi="Calibri" w:cs="Calibri"/>
              <w:b/>
              <w:sz w:val="28"/>
              <w:szCs w:val="28"/>
              <w:lang w:val="it-IT" w:eastAsia="it-IT"/>
            </w:rPr>
          </w:pPr>
          <w:r>
            <w:rPr>
              <w:rFonts w:cs="Calibri" w:ascii="Calibri" w:hAnsi="Calibri"/>
              <w:b/>
              <w:sz w:val="28"/>
              <w:szCs w:val="28"/>
              <w:lang w:val="it-IT" w:eastAsia="it-IT"/>
            </w:rPr>
          </w:r>
        </w:p>
        <w:p>
          <w:pPr>
            <w:pStyle w:val="Header"/>
            <w:shd w:fill="D9D9D9" w:val="clear"/>
            <w:jc w:val="center"/>
            <w:rPr>
              <w:rFonts w:ascii="Calibri" w:hAnsi="Calibri" w:cs="Calibri"/>
              <w:b/>
              <w:sz w:val="28"/>
              <w:szCs w:val="28"/>
              <w:lang w:val="it-IT" w:eastAsia="it-IT"/>
            </w:rPr>
          </w:pPr>
          <w:r>
            <w:rPr>
              <w:rFonts w:cs="Calibri" w:ascii="Calibri" w:hAnsi="Calibri"/>
              <w:b/>
              <w:sz w:val="28"/>
              <w:szCs w:val="28"/>
              <w:lang w:val="it-IT" w:eastAsia="it-IT"/>
            </w:rPr>
            <w:t>Politica Ambientale</w:t>
          </w:r>
        </w:p>
        <w:p>
          <w:pPr>
            <w:pStyle w:val="Header"/>
            <w:spacing w:before="120" w:after="0"/>
            <w:jc w:val="center"/>
            <w:rPr>
              <w:rFonts w:ascii="Calibri" w:hAnsi="Calibri" w:cs="Calibri"/>
              <w:b/>
              <w:sz w:val="28"/>
              <w:szCs w:val="28"/>
              <w:lang w:val="it-IT" w:eastAsia="it-IT"/>
            </w:rPr>
          </w:pPr>
          <w:r>
            <w:rPr>
              <w:rFonts w:cs="Calibri" w:ascii="Calibri" w:hAnsi="Calibri"/>
              <w:b/>
              <w:sz w:val="28"/>
              <w:szCs w:val="28"/>
              <w:lang w:val="it-IT" w:eastAsia="it-IT"/>
            </w:rPr>
          </w:r>
        </w:p>
      </w:tc>
      <w:tc>
        <w:tcPr>
          <w:tcW w:w="1901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snapToGrid w:val="false"/>
            <w:jc w:val="center"/>
            <w:rPr>
              <w:rFonts w:ascii="Calibri" w:hAnsi="Calibri" w:cs="Calibri"/>
              <w:sz w:val="28"/>
              <w:szCs w:val="28"/>
              <w:lang w:val="it-IT" w:eastAsia="it-IT"/>
            </w:rPr>
          </w:pPr>
          <w:r>
            <w:rPr>
              <w:rFonts w:cs="Calibri" w:ascii="Calibri" w:hAnsi="Calibri"/>
              <w:sz w:val="28"/>
              <w:szCs w:val="28"/>
              <w:lang w:val="it-IT" w:eastAsia="it-IT"/>
            </w:rPr>
          </w:r>
        </w:p>
        <w:p>
          <w:pPr>
            <w:pStyle w:val="Normal"/>
            <w:jc w:val="center"/>
            <w:rPr>
              <w:rFonts w:ascii="Arial Narrow" w:hAnsi="Arial Narrow" w:cs="Arial"/>
              <w:b/>
              <w:sz w:val="22"/>
              <w:szCs w:val="28"/>
              <w:lang w:val="it-IT" w:eastAsia="it-IT"/>
            </w:rPr>
          </w:pPr>
          <w:r>
            <w:rPr>
              <w:rFonts w:cs="Arial" w:ascii="Arial Narrow" w:hAnsi="Arial Narrow"/>
              <w:b/>
              <w:sz w:val="22"/>
              <w:szCs w:val="28"/>
              <w:lang w:val="it-IT" w:eastAsia="it-IT"/>
            </w:rPr>
          </w:r>
        </w:p>
        <w:p>
          <w:pPr>
            <w:pStyle w:val="Normal"/>
            <w:jc w:val="center"/>
            <w:rPr>
              <w:rFonts w:ascii="Arial Narrow" w:hAnsi="Arial Narrow" w:cs="Arial"/>
              <w:b/>
              <w:sz w:val="22"/>
            </w:rPr>
          </w:pPr>
          <w:r>
            <w:rPr>
              <w:rFonts w:cs="Arial" w:ascii="Arial Narrow" w:hAnsi="Arial Narrow"/>
              <w:b/>
              <w:sz w:val="22"/>
            </w:rPr>
            <w:t>Manuale SGA</w:t>
          </w:r>
        </w:p>
        <w:p>
          <w:pPr>
            <w:pStyle w:val="Header"/>
            <w:rPr>
              <w:rFonts w:ascii="Arial Narrow" w:hAnsi="Arial Narrow" w:cs="Arial"/>
              <w:b/>
              <w:sz w:val="22"/>
              <w:lang w:val="it-IT" w:eastAsia="it-IT"/>
            </w:rPr>
          </w:pPr>
          <w:r>
            <w:rPr>
              <w:rFonts w:cs="Arial" w:ascii="Arial Narrow" w:hAnsi="Arial Narrow"/>
              <w:b/>
              <w:sz w:val="22"/>
              <w:lang w:val="it-IT" w:eastAsia="it-IT"/>
            </w:rPr>
          </w:r>
        </w:p>
        <w:p>
          <w:pPr>
            <w:pStyle w:val="Header"/>
            <w:jc w:val="center"/>
            <w:rPr>
              <w:rFonts w:ascii="Calibri" w:hAnsi="Calibri" w:cs="Calibri"/>
              <w:b/>
              <w:sz w:val="28"/>
              <w:szCs w:val="28"/>
              <w:lang w:val="it-IT" w:eastAsia="it-IT"/>
            </w:rPr>
          </w:pPr>
          <w:r>
            <w:rPr>
              <w:rFonts w:cs="Calibri" w:ascii="Calibri" w:hAnsi="Calibri"/>
              <w:b/>
              <w:sz w:val="28"/>
              <w:szCs w:val="28"/>
              <w:lang w:val="it-IT" w:eastAsia="it-IT"/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lowerLetter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lowerLetter"/>
      <w:lvlText w:val="%2."/>
      <w:lvlJc w:val="start"/>
      <w:pPr>
        <w:tabs>
          <w:tab w:val="num" w:pos="1440"/>
        </w:tabs>
        <w:ind w:start="1440" w:hanging="360"/>
      </w:pPr>
    </w:lvl>
    <w:lvl w:ilvl="2">
      <w:start w:val="1"/>
      <w:numFmt w:val="lowerLetter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lowerLetter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lowerLetter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lowerLetter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Letter"/>
      <w:lvlText w:val="%9."/>
      <w:lvlJc w:val="start"/>
      <w:pPr>
        <w:tabs>
          <w:tab w:val="num" w:pos="6480"/>
        </w:tabs>
        <w:ind w:star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ms Rmn;Times New Roman" w:hAnsi="Tms Rmn;Times New Roman" w:eastAsia="Times New Roman" w:cs="Tms Rmn;Times New Roman"/>
      <w:color w:val="auto"/>
      <w:sz w:val="20"/>
      <w:szCs w:val="20"/>
      <w:lang w:val="it-IT" w:bidi="ar-SA" w:eastAsia="zh-CN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rFonts w:ascii="Calibri" w:hAnsi="Calibri" w:eastAsia="Times New Roman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ind w:firstLine="142" w:start="0" w:end="0"/>
      <w:jc w:val="both"/>
      <w:outlineLvl w:val="4"/>
    </w:pPr>
    <w:rPr>
      <w:b/>
      <w:sz w:val="24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tabs>
        <w:tab w:val="clear" w:pos="708"/>
        <w:tab w:val="left" w:pos="284" w:leader="none"/>
        <w:tab w:val="left" w:pos="567" w:leader="none"/>
        <w:tab w:val="left" w:pos="851" w:leader="none"/>
        <w:tab w:val="left" w:pos="1134" w:leader="none"/>
      </w:tabs>
      <w:ind w:hanging="0" w:start="0" w:end="-1"/>
      <w:jc w:val="both"/>
      <w:outlineLvl w:val="5"/>
    </w:pPr>
    <w:rPr>
      <w:b/>
      <w:sz w:val="24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jc w:val="both"/>
      <w:outlineLvl w:val="6"/>
    </w:pPr>
    <w:rPr>
      <w:b/>
      <w:sz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ind w:firstLine="709" w:start="0" w:end="0"/>
      <w:jc w:val="both"/>
      <w:outlineLvl w:val="7"/>
    </w:pPr>
    <w:rPr>
      <w:b/>
      <w:sz w:val="24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3z0">
    <w:name w:val="WW8Num3z0"/>
    <w:qFormat/>
    <w:rPr>
      <w:rFonts w:ascii="Garamond" w:hAnsi="Garamond" w:eastAsia="Times New Roman" w:cs="Times New Roman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Symbol" w:hAnsi="Symbol" w:cs="Symbol"/>
      <w:sz w:val="20"/>
    </w:rPr>
  </w:style>
  <w:style w:type="character" w:styleId="WW8Num4z1">
    <w:name w:val="WW8Num4z1"/>
    <w:qFormat/>
    <w:rPr>
      <w:rFonts w:ascii="Courier New" w:hAnsi="Courier New" w:cs="Courier New"/>
      <w:sz w:val="20"/>
    </w:rPr>
  </w:style>
  <w:style w:type="character" w:styleId="WW8Num4z2">
    <w:name w:val="WW8Num4z2"/>
    <w:qFormat/>
    <w:rPr>
      <w:rFonts w:ascii="Wingdings" w:hAnsi="Wingdings" w:cs="Wingdings"/>
      <w:sz w:val="20"/>
    </w:rPr>
  </w:style>
  <w:style w:type="character" w:styleId="WW8Num5z0">
    <w:name w:val="WW8Num5z0"/>
    <w:qFormat/>
    <w:rPr>
      <w:rFonts w:ascii="Garamond" w:hAnsi="Garamond" w:eastAsia="Times New Roman" w:cs="Times New Roman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7z0">
    <w:name w:val="WW8Num7z0"/>
    <w:qFormat/>
    <w:rPr>
      <w:rFonts w:ascii="Symbol" w:hAnsi="Symbol" w:cs="Symbol"/>
      <w:sz w:val="20"/>
    </w:rPr>
  </w:style>
  <w:style w:type="character" w:styleId="WW8Num7z1">
    <w:name w:val="WW8Num7z1"/>
    <w:qFormat/>
    <w:rPr>
      <w:rFonts w:ascii="Courier New" w:hAnsi="Courier New" w:cs="Courier New"/>
      <w:sz w:val="20"/>
    </w:rPr>
  </w:style>
  <w:style w:type="character" w:styleId="WW8Num7z2">
    <w:name w:val="WW8Num7z2"/>
    <w:qFormat/>
    <w:rPr>
      <w:rFonts w:ascii="Wingdings" w:hAnsi="Wingdings" w:cs="Wingdings"/>
      <w:sz w:val="20"/>
    </w:rPr>
  </w:style>
  <w:style w:type="character" w:styleId="WW8Num8z0">
    <w:name w:val="WW8Num8z0"/>
    <w:qFormat/>
    <w:rPr>
      <w:u w:val="single"/>
    </w:rPr>
  </w:style>
  <w:style w:type="character" w:styleId="WW8Num9z0">
    <w:name w:val="WW8Num9z0"/>
    <w:qFormat/>
    <w:rPr>
      <w:b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WW8Num14z0">
    <w:name w:val="WW8Num14z0"/>
    <w:qFormat/>
    <w:rPr/>
  </w:style>
  <w:style w:type="character" w:styleId="WW8Num15z0">
    <w:name w:val="WW8Num15z0"/>
    <w:qFormat/>
    <w:rPr>
      <w:rFonts w:ascii="Symbol" w:hAnsi="Symbol" w:cs="Symbol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2">
    <w:name w:val="WW8Num15z2"/>
    <w:qFormat/>
    <w:rPr>
      <w:rFonts w:ascii="Wingdings" w:hAnsi="Wingdings" w:cs="Wingdings"/>
    </w:rPr>
  </w:style>
  <w:style w:type="character" w:styleId="WW8Num16z0">
    <w:name w:val="WW8Num16z0"/>
    <w:qFormat/>
    <w:rPr/>
  </w:style>
  <w:style w:type="character" w:styleId="WW8Num17z0">
    <w:name w:val="WW8Num17z0"/>
    <w:qFormat/>
    <w:rPr>
      <w:rFonts w:ascii="Symbol" w:hAnsi="Symbol" w:cs="Symbol"/>
      <w:sz w:val="20"/>
    </w:rPr>
  </w:style>
  <w:style w:type="character" w:styleId="WW8Num17z1">
    <w:name w:val="WW8Num17z1"/>
    <w:qFormat/>
    <w:rPr>
      <w:rFonts w:ascii="Courier New" w:hAnsi="Courier New" w:cs="Courier New"/>
      <w:sz w:val="20"/>
    </w:rPr>
  </w:style>
  <w:style w:type="character" w:styleId="WW8Num17z2">
    <w:name w:val="WW8Num17z2"/>
    <w:qFormat/>
    <w:rPr>
      <w:rFonts w:ascii="Wingdings" w:hAnsi="Wingdings" w:cs="Wingdings"/>
      <w:sz w:val="20"/>
    </w:rPr>
  </w:style>
  <w:style w:type="character" w:styleId="WW8Num18z0">
    <w:name w:val="WW8Num18z0"/>
    <w:qFormat/>
    <w:rPr>
      <w:rFonts w:ascii="Garamond" w:hAnsi="Garamond" w:eastAsia="Times New Roman" w:cs="Times New Roman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2">
    <w:name w:val="WW8Num18z2"/>
    <w:qFormat/>
    <w:rPr>
      <w:rFonts w:ascii="Wingdings" w:hAnsi="Wingdings" w:cs="Wingdings"/>
    </w:rPr>
  </w:style>
  <w:style w:type="character" w:styleId="WW8Num18z3">
    <w:name w:val="WW8Num18z3"/>
    <w:qFormat/>
    <w:rPr>
      <w:rFonts w:ascii="Symbol" w:hAnsi="Symbol" w:cs="Symbol"/>
    </w:rPr>
  </w:style>
  <w:style w:type="character" w:styleId="WW8Num20z0">
    <w:name w:val="WW8Num20z0"/>
    <w:qFormat/>
    <w:rPr>
      <w:rFonts w:ascii="Symbol" w:hAnsi="Symbol" w:cs="Symbol"/>
    </w:rPr>
  </w:style>
  <w:style w:type="character" w:styleId="WW8Num21z0">
    <w:name w:val="WW8Num21z0"/>
    <w:qFormat/>
    <w:rPr/>
  </w:style>
  <w:style w:type="character" w:styleId="WW8Num22z0">
    <w:name w:val="WW8Num22z0"/>
    <w:qFormat/>
    <w:rPr>
      <w:rFonts w:ascii="Times New Roman" w:hAnsi="Times New Roman" w:cs="Times New Roman"/>
      <w:b/>
      <w:i w:val="false"/>
      <w:sz w:val="24"/>
      <w:u w:val="none"/>
    </w:rPr>
  </w:style>
  <w:style w:type="character" w:styleId="WW8NumSt2z0">
    <w:name w:val="WW8NumSt2z0"/>
    <w:qFormat/>
    <w:rPr>
      <w:rFonts w:ascii="Symbol" w:hAnsi="Symbol" w:cs="Symbol"/>
    </w:rPr>
  </w:style>
  <w:style w:type="character" w:styleId="Carpredefinitoparagrafo">
    <w:name w:val="Car. predefinito paragrafo"/>
    <w:qFormat/>
    <w:rPr/>
  </w:style>
  <w:style w:type="character" w:styleId="PageNumber">
    <w:name w:val="Page Number"/>
    <w:basedOn w:val="Carpredefinitoparagrafo"/>
    <w:rPr/>
  </w:style>
  <w:style w:type="character" w:styleId="Titolo4Carattere">
    <w:name w:val="Titolo 4 Carattere"/>
    <w:basedOn w:val="Carpredefinitoparagrafo"/>
    <w:qFormat/>
    <w:rPr>
      <w:rFonts w:ascii="Calibri" w:hAnsi="Calibri" w:eastAsia="Times New Roman" w:cs="Times New Roman"/>
      <w:b/>
      <w:bCs/>
      <w:sz w:val="28"/>
      <w:szCs w:val="28"/>
    </w:rPr>
  </w:style>
  <w:style w:type="character" w:styleId="IntestazioneCarattere">
    <w:name w:val="Intestazione Carattere"/>
    <w:qFormat/>
    <w:rPr>
      <w:rFonts w:ascii="Tms Rmn;Times New Roman" w:hAnsi="Tms Rmn;Times New Roman" w:cs="Tms Rmn;Times New Roman"/>
    </w:rPr>
  </w:style>
  <w:style w:type="character" w:styleId="Strong">
    <w:name w:val="Strong"/>
    <w:basedOn w:val="Carpredefinitoparagrafo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tabs>
        <w:tab w:val="clear" w:pos="708"/>
        <w:tab w:val="left" w:pos="567" w:leader="none"/>
        <w:tab w:val="left" w:pos="993" w:leader="none"/>
        <w:tab w:val="left" w:pos="1134" w:leader="none"/>
      </w:tabs>
      <w:ind w:hanging="0" w:start="0" w:end="-1"/>
    </w:pPr>
    <w:rPr>
      <w:b/>
      <w:sz w:val="24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819" w:leader="none"/>
        <w:tab w:val="right" w:pos="9638" w:leader="none"/>
      </w:tabs>
    </w:pPr>
    <w:rPr>
      <w:lang w:val="en-US"/>
    </w:rPr>
  </w:style>
  <w:style w:type="paragraph" w:styleId="Footer">
    <w:name w:val="Footer"/>
    <w:basedOn w:val="Normal"/>
    <w:pPr>
      <w:tabs>
        <w:tab w:val="clear" w:pos="708"/>
        <w:tab w:val="center" w:pos="4819" w:leader="none"/>
        <w:tab w:val="right" w:pos="9638" w:leader="none"/>
      </w:tabs>
    </w:pPr>
    <w:rPr/>
  </w:style>
  <w:style w:type="paragraph" w:styleId="Testofumetto">
    <w:name w:val="Testo fumetto"/>
    <w:basedOn w:val="Normal"/>
    <w:qFormat/>
    <w:pPr/>
    <w:rPr>
      <w:rFonts w:ascii="Tahoma" w:hAnsi="Tahoma" w:cs="Garamond"/>
      <w:sz w:val="16"/>
      <w:szCs w:val="16"/>
    </w:rPr>
  </w:style>
  <w:style w:type="paragraph" w:styleId="BodyTextIndent">
    <w:name w:val="Body Text Indent"/>
    <w:basedOn w:val="Normal"/>
    <w:pPr>
      <w:spacing w:before="0" w:after="120"/>
      <w:ind w:hanging="0" w:start="283" w:end="0"/>
    </w:pPr>
    <w:rPr/>
  </w:style>
  <w:style w:type="paragraph" w:styleId="NormaleWeb">
    <w:name w:val="Normale (Web)"/>
    <w:basedOn w:val="Normal"/>
    <w:qFormat/>
    <w:pPr>
      <w:spacing w:before="100" w:after="100"/>
    </w:pPr>
    <w:rPr>
      <w:rFonts w:ascii="Times New Roman" w:hAnsi="Times New Roman" w:cs="Times New Roman"/>
      <w:sz w:val="24"/>
      <w:szCs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2026-07-27T07:29:59Z</dcterms:modified>
  <dc:description>MasterComplianceHSQE by Maurizio Gustinicchi Consulting</dc:description>
</cp:coreProperties>
</file>