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Relationship Id="rId4" Type="http://schemas.openxmlformats.org/package/2006/relationships/metadata/core-properties" Target="docProps/core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rFonts w:ascii="Calibri" w:hAnsi="Calibri" w:cs="Tahoma"/>
          <w:i/>
          <w:i/>
          <w:iCs/>
        </w:rPr>
      </w:pPr>
      <w:r>
        <w:rPr>
          <w:rFonts w:cs="Tahoma" w:ascii="Calibri" w:hAnsi="Calibri"/>
          <w:i/>
          <w:iCs/>
        </w:rPr>
      </w:r>
    </w:p>
    <w:p>
      <w:pPr>
        <w:pStyle w:val="Normal"/>
        <w:jc w:val="center"/>
        <w:rPr>
          <w:rFonts w:ascii="Calibri" w:hAnsi="Calibri" w:cs="Tahoma"/>
          <w:i/>
          <w:i/>
          <w:iCs/>
        </w:rPr>
      </w:pPr>
      <w:r>
        <w:rPr>
          <w:rFonts w:cs="Tahoma" w:ascii="Calibri" w:hAnsi="Calibri"/>
          <w:i/>
          <w:iCs/>
        </w:rPr>
      </w:r>
    </w:p>
    <w:p>
      <w:pPr>
        <w:pStyle w:val="Normal"/>
        <w:jc w:val="center"/>
        <w:rPr>
          <w:rFonts w:ascii="Calibri" w:hAnsi="Calibri" w:cs="Tahoma"/>
          <w:i/>
          <w:i/>
          <w:iCs/>
        </w:rPr>
      </w:pPr>
      <w:r>
        <w:rPr>
          <w:rFonts w:cs="Tahoma" w:ascii="Calibri" w:hAnsi="Calibri"/>
          <w:i/>
          <w:iCs/>
        </w:rPr>
      </w:r>
    </w:p>
    <w:p>
      <w:pPr>
        <w:pStyle w:val="Normal"/>
        <w:jc w:val="center"/>
        <w:rPr>
          <w:rFonts w:ascii="Calibri" w:hAnsi="Calibri" w:cs="Tahoma"/>
          <w:i/>
          <w:i/>
          <w:iCs/>
        </w:rPr>
      </w:pPr>
      <w:r>
        <w:rPr>
          <w:rFonts w:cs="Tahoma" w:ascii="Calibri" w:hAnsi="Calibri"/>
          <w:i/>
          <w:iCs/>
        </w:rPr>
      </w:r>
    </w:p>
    <w:p>
      <w:pPr>
        <w:pStyle w:val="Normal"/>
        <w:jc w:val="center"/>
        <w:rPr>
          <w:rFonts w:ascii="Calibri" w:hAnsi="Calibri" w:cs="Tahoma"/>
          <w:i/>
          <w:i/>
          <w:iCs/>
        </w:rPr>
      </w:pPr>
      <w:r>
        <w:rPr>
          <w:rFonts w:cs="Tahoma" w:ascii="Calibri" w:hAnsi="Calibri"/>
          <w:i/>
          <w:iCs/>
        </w:rPr>
      </w:r>
    </w:p>
    <w:p>
      <w:pPr>
        <w:pStyle w:val="Corpodeltesto3"/>
        <w:jc w:val="center"/>
        <w:rPr>
          <w:rFonts w:ascii="Calibri" w:hAnsi="Calibri" w:cs="Calibri"/>
          <w:b/>
          <w:bCs/>
          <w:sz w:val="28"/>
        </w:rPr>
      </w:pPr>
      <w:r>
        <w:rPr>
          <w:rFonts w:cs="Calibri" w:ascii="Calibri" w:hAnsi="Calibri"/>
          <w:b/>
          <w:bCs/>
          <w:sz w:val="28"/>
        </w:rPr>
        <w:t>INDICE</w:t>
      </w:r>
    </w:p>
    <w:p>
      <w:pPr>
        <w:pStyle w:val="TOC1"/>
        <w:rPr>
          <w:rFonts w:ascii="Calibri" w:hAnsi="Calibri" w:cs="Calibri"/>
          <w:b/>
          <w:bCs/>
          <w:sz w:val="28"/>
        </w:rPr>
      </w:pPr>
      <w:r>
        <w:rPr>
          <w:rFonts w:cs="Calibri" w:ascii="Calibri" w:hAnsi="Calibri"/>
          <w:b/>
          <w:bCs/>
          <w:sz w:val="28"/>
        </w:rPr>
      </w:r>
    </w:p>
    <w:p>
      <w:pPr>
        <w:pStyle w:val="Index1"/>
        <w:rPr>
          <w:rFonts w:ascii="Calibri" w:hAnsi="Calibri" w:cs="Tahoma"/>
        </w:rPr>
      </w:pPr>
      <w:r>
        <w:rPr>
          <w:rFonts w:cs="Tahoma" w:ascii="Calibri" w:hAnsi="Calibri"/>
        </w:rPr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rPr>
              <w:rFonts w:ascii="Calibri" w:hAnsi="Calibri" w:cs="Calibri"/>
              <w:color w:val="000000"/>
              <w:sz w:val="28"/>
              <w:szCs w:val="28"/>
            </w:rPr>
          </w:pPr>
          <w:r>
            <w:fldChar w:fldCharType="begin"/>
          </w:r>
          <w:r>
            <w:rPr>
              <w:rStyle w:val="IndexLink"/>
              <w:sz w:val="28"/>
              <w:szCs w:val="28"/>
              <w:rFonts w:cs="Calibri" w:ascii="Calibri" w:hAnsi="Calibri"/>
            </w:rPr>
            <w:instrText xml:space="preserve"> TOC \o "1-3" \h \z </w:instrText>
          </w:r>
          <w:r>
            <w:rPr>
              <w:rStyle w:val="IndexLink"/>
              <w:sz w:val="28"/>
              <w:szCs w:val="28"/>
              <w:rFonts w:cs="Calibri" w:ascii="Calibri" w:hAnsi="Calibri"/>
            </w:rPr>
            <w:fldChar w:fldCharType="separate"/>
          </w:r>
          <w:hyperlink w:anchor="__RefHeading___Toc536546690">
            <w:r>
              <w:rPr>
                <w:rStyle w:val="IndexLink"/>
                <w:rFonts w:cs="Calibri" w:ascii="Calibri" w:hAnsi="Calibri"/>
                <w:sz w:val="28"/>
                <w:szCs w:val="28"/>
              </w:rPr>
              <w:t>DIRETTORE GENERALE PER LA QUALITA’ (DGE)</w:t>
              <w:tab/>
              <w:t>2</w:t>
            </w:r>
          </w:hyperlink>
        </w:p>
        <w:p>
          <w:pPr>
            <w:pStyle w:val="TOC1"/>
            <w:rPr>
              <w:rFonts w:ascii="Calibri" w:hAnsi="Calibri" w:cs="Calibri"/>
              <w:color w:val="000000"/>
              <w:sz w:val="28"/>
              <w:szCs w:val="28"/>
            </w:rPr>
          </w:pPr>
          <w:hyperlink w:anchor="__RefHeading___Toc536546691">
            <w:r>
              <w:rPr>
                <w:rStyle w:val="IndexLink"/>
                <w:rFonts w:cs="Calibri" w:ascii="Calibri" w:hAnsi="Calibri"/>
                <w:sz w:val="28"/>
                <w:szCs w:val="28"/>
              </w:rPr>
              <w:t>RESPONSABILE QUALITA’ (RSGQ)</w:t>
              <w:tab/>
              <w:t>4</w:t>
            </w:r>
          </w:hyperlink>
        </w:p>
        <w:p>
          <w:pPr>
            <w:pStyle w:val="TOC1"/>
            <w:rPr>
              <w:rFonts w:ascii="Calibri" w:hAnsi="Calibri" w:cs="Calibri"/>
              <w:color w:val="000000"/>
              <w:sz w:val="28"/>
              <w:szCs w:val="28"/>
            </w:rPr>
          </w:pPr>
          <w:hyperlink w:anchor="__RefHeading___Toc536546692">
            <w:r>
              <w:rPr>
                <w:rStyle w:val="IndexLink"/>
                <w:rFonts w:cs="Calibri" w:ascii="Calibri" w:hAnsi="Calibri"/>
                <w:sz w:val="28"/>
                <w:szCs w:val="28"/>
              </w:rPr>
              <w:t>RESPONSABILE DEI SERVIZI EROGATI (SER)</w:t>
              <w:tab/>
              <w:t>5</w:t>
            </w:r>
          </w:hyperlink>
        </w:p>
        <w:p>
          <w:pPr>
            <w:pStyle w:val="TOC1"/>
            <w:rPr>
              <w:rFonts w:ascii="Calibri" w:hAnsi="Calibri" w:cs="Calibri"/>
              <w:color w:val="000000"/>
              <w:sz w:val="28"/>
              <w:szCs w:val="28"/>
            </w:rPr>
          </w:pPr>
          <w:hyperlink w:anchor="__RefHeading___Toc536546693">
            <w:r>
              <w:rPr>
                <w:rStyle w:val="IndexLink"/>
                <w:rFonts w:cs="Calibri" w:ascii="Calibri" w:hAnsi="Calibri"/>
                <w:sz w:val="28"/>
                <w:szCs w:val="28"/>
              </w:rPr>
              <w:t>RESPONSABILE SERVIZIO AMMINISTRAZIONE (AMM)</w:t>
              <w:tab/>
              <w:t>6</w:t>
            </w:r>
          </w:hyperlink>
        </w:p>
        <w:p>
          <w:pPr>
            <w:pStyle w:val="TOC1"/>
            <w:rPr>
              <w:rFonts w:ascii="Calibri" w:hAnsi="Calibri" w:cs="Calibri"/>
              <w:color w:val="000000"/>
              <w:sz w:val="28"/>
              <w:szCs w:val="28"/>
            </w:rPr>
          </w:pPr>
          <w:hyperlink w:anchor="__RefHeading___Toc536546694">
            <w:r>
              <w:rPr>
                <w:rStyle w:val="IndexLink"/>
                <w:rFonts w:cs="Calibri" w:ascii="Calibri" w:hAnsi="Calibri"/>
                <w:sz w:val="28"/>
                <w:szCs w:val="28"/>
              </w:rPr>
              <w:t>RESPONSABILE SERVIZIO COMMERCIALE E MARKETING (COM)</w:t>
              <w:tab/>
              <w:t>7</w:t>
            </w:r>
          </w:hyperlink>
        </w:p>
        <w:p>
          <w:pPr>
            <w:pStyle w:val="TOC1"/>
            <w:rPr>
              <w:rFonts w:ascii="Calibri" w:hAnsi="Calibri" w:cs="Calibri"/>
              <w:color w:val="000000"/>
              <w:sz w:val="28"/>
              <w:szCs w:val="28"/>
            </w:rPr>
          </w:pPr>
          <w:hyperlink w:anchor="__RefHeading___Toc536546695">
            <w:r>
              <w:rPr>
                <w:rStyle w:val="IndexLink"/>
                <w:rFonts w:cs="Calibri" w:ascii="Calibri" w:hAnsi="Calibri"/>
                <w:sz w:val="28"/>
                <w:szCs w:val="28"/>
              </w:rPr>
              <w:t>RESPONSABILE SERVIZIO ACQUISTI (ACQ)</w:t>
              <w:tab/>
              <w:t>9</w:t>
            </w:r>
          </w:hyperlink>
          <w:r>
            <w:rPr>
              <w:rStyle w:val="IndexLink"/>
              <w:sz w:val="28"/>
              <w:szCs w:val="28"/>
              <w:rFonts w:cs="Calibri" w:ascii="Calibri" w:hAnsi="Calibri"/>
            </w:rPr>
            <w:fldChar w:fldCharType="end"/>
          </w:r>
        </w:p>
      </w:sdtContent>
    </w:sdt>
    <w:p>
      <w:pPr>
        <w:pStyle w:val="TOC1"/>
        <w:rPr>
          <w:rStyle w:val="Hyperlink"/>
          <w:rFonts w:ascii="Calibri" w:hAnsi="Calibri" w:cs="Calibri"/>
          <w:color w:val="000000"/>
          <w:u w:val="none"/>
        </w:rPr>
      </w:pPr>
      <w:r>
        <w:rPr>
          <w:rFonts w:cs="Calibri" w:ascii="Calibri" w:hAnsi="Calibri"/>
          <w:color w:val="000000"/>
          <w:sz w:val="28"/>
          <w:szCs w:val="28"/>
        </w:rPr>
      </w:r>
      <w:r>
        <w:br w:type="page"/>
      </w:r>
    </w:p>
    <w:p>
      <w:pPr>
        <w:pStyle w:val="TOC1"/>
        <w:rPr>
          <w:rStyle w:val="Hyperlink"/>
          <w:rFonts w:ascii="Calibri" w:hAnsi="Calibri" w:cs="Calibri"/>
          <w:color w:val="000000"/>
          <w:u w:val="none"/>
        </w:rPr>
      </w:pPr>
      <w:r>
        <w:rPr/>
      </w:r>
    </w:p>
    <w:p>
      <w:pPr>
        <w:pStyle w:val="Heading"/>
        <w:jc w:val="start"/>
        <w:rPr/>
      </w:pPr>
      <w:bookmarkStart w:id="0" w:name="__RefHeading___Toc536546690"/>
      <w:bookmarkEnd w:id="0"/>
      <w:r>
        <w:rPr>
          <w:rFonts w:cs="Calibri" w:ascii="Calibri" w:hAnsi="Calibri"/>
        </w:rPr>
        <w:t>DIRETTORE GENERALE PER LA QUALITA’ (DGE)</w:t>
      </w:r>
    </w:p>
    <w:p>
      <w:pPr>
        <w:pStyle w:val="Normal"/>
        <w:ind w:firstLine="142" w:end="0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</w:r>
    </w:p>
    <w:p>
      <w:pPr>
        <w:pStyle w:val="Normal"/>
        <w:ind w:firstLine="142" w:end="0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 xml:space="preserve">E’ per definizione responsabile della società ed esprime direttamente gli indirizzi aziendali così come sono stati determinati nella Mission e nella Politica per l’ambiente. </w:t>
      </w:r>
    </w:p>
    <w:p>
      <w:pPr>
        <w:pStyle w:val="Normal"/>
        <w:ind w:firstLine="142" w:end="0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</w:r>
    </w:p>
    <w:p>
      <w:pPr>
        <w:pStyle w:val="Normal"/>
        <w:ind w:firstLine="142" w:end="0"/>
        <w:jc w:val="both"/>
        <w:rPr/>
      </w:pPr>
      <w:r>
        <w:rPr>
          <w:rFonts w:cs="Calibri" w:ascii="Calibri" w:hAnsi="Calibri"/>
          <w:sz w:val="24"/>
          <w:szCs w:val="24"/>
        </w:rPr>
        <w:t xml:space="preserve">E’ il </w:t>
      </w:r>
      <w:r>
        <w:rPr>
          <w:rFonts w:cs="Calibri" w:ascii="Calibri" w:hAnsi="Calibri"/>
          <w:sz w:val="24"/>
          <w:szCs w:val="24"/>
          <w:u w:val="single"/>
        </w:rPr>
        <w:t>primo responsabile dell’ Ambiente</w:t>
      </w:r>
      <w:r>
        <w:rPr>
          <w:rFonts w:cs="Calibri" w:ascii="Calibri" w:hAnsi="Calibri"/>
          <w:sz w:val="24"/>
          <w:szCs w:val="24"/>
        </w:rPr>
        <w:t xml:space="preserve"> ed in particolare ha il compito di:</w:t>
      </w:r>
    </w:p>
    <w:p>
      <w:pPr>
        <w:pStyle w:val="Normal"/>
        <w:numPr>
          <w:ilvl w:val="0"/>
          <w:numId w:val="9"/>
        </w:numPr>
        <w:spacing w:before="120" w:after="0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>verificare l’idoneità dell’organizzazione aziendale e dell’adeguatezza delle risorse in ordine alla gestione per la ambiente e la formulazione della Politica per l’ambiente e degli obiettivi e dei budget aziendali;</w:t>
      </w:r>
    </w:p>
    <w:p>
      <w:pPr>
        <w:pStyle w:val="Normal"/>
        <w:numPr>
          <w:ilvl w:val="0"/>
          <w:numId w:val="7"/>
        </w:numPr>
        <w:spacing w:before="120" w:after="0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 xml:space="preserve">effettuare il riesame periodico del Sistema di gestione per l’ambiente (procedura </w:t>
      </w:r>
      <w:r>
        <w:rPr>
          <w:rFonts w:cs="Calibri" w:ascii="Calibri" w:hAnsi="Calibri"/>
          <w:b/>
          <w:sz w:val="24"/>
          <w:szCs w:val="24"/>
        </w:rPr>
        <w:t>PR 9.3 Modalità di definizione delle Politiche e degli obiettivi aziendali e gestione dei riesami</w:t>
      </w:r>
      <w:r>
        <w:rPr>
          <w:rFonts w:cs="Calibri" w:ascii="Calibri" w:hAnsi="Calibri"/>
          <w:sz w:val="24"/>
          <w:szCs w:val="24"/>
        </w:rPr>
        <w:t>);</w:t>
      </w:r>
    </w:p>
    <w:p>
      <w:pPr>
        <w:pStyle w:val="Normal"/>
        <w:ind w:firstLine="142" w:end="0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</w:r>
    </w:p>
    <w:p>
      <w:pPr>
        <w:pStyle w:val="Normal"/>
        <w:ind w:firstLine="142" w:end="0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>E’, inoltre, responsabile della:</w:t>
      </w:r>
    </w:p>
    <w:p>
      <w:pPr>
        <w:pStyle w:val="Normal"/>
        <w:ind w:firstLine="142" w:end="0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</w:r>
    </w:p>
    <w:p>
      <w:pPr>
        <w:pStyle w:val="Normal"/>
        <w:numPr>
          <w:ilvl w:val="0"/>
          <w:numId w:val="3"/>
        </w:numPr>
        <w:ind w:hanging="360" w:start="426" w:end="0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b/>
          <w:sz w:val="24"/>
          <w:szCs w:val="24"/>
        </w:rPr>
        <w:t>Gestione delle risorse umane</w:t>
      </w:r>
      <w:r>
        <w:rPr>
          <w:rFonts w:cs="Calibri" w:ascii="Calibri" w:hAnsi="Calibri"/>
          <w:sz w:val="24"/>
          <w:szCs w:val="24"/>
        </w:rPr>
        <w:t xml:space="preserve">: </w:t>
      </w:r>
    </w:p>
    <w:p>
      <w:pPr>
        <w:pStyle w:val="Normal"/>
        <w:ind w:start="426" w:end="0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 xml:space="preserve">Da DGE dipendono le scelte in termini di esigenze; ha la responsabilità della scelta del personale, della pianificazione dei bisogni in termini di addestramento e formazione e del controllo e del monitoraggio del personale operatore attraverso registrazioni apposite (vedi </w:t>
      </w:r>
      <w:r>
        <w:rPr>
          <w:rFonts w:cs="Calibri" w:ascii="Calibri" w:hAnsi="Calibri"/>
          <w:b/>
          <w:sz w:val="24"/>
          <w:szCs w:val="24"/>
        </w:rPr>
        <w:t>PR 7.1.2 Gestione delle Risorse Umane</w:t>
      </w:r>
      <w:r>
        <w:rPr>
          <w:rFonts w:cs="Calibri" w:ascii="Calibri" w:hAnsi="Calibri"/>
          <w:sz w:val="24"/>
          <w:szCs w:val="24"/>
        </w:rPr>
        <w:t>); gestisce i rapporti contrattuali con il personale aziendale e tutte le eventuali variazioni di organico nel rispetto delle indicazioni delle Leggi di riferimento cogenti.</w:t>
      </w:r>
    </w:p>
    <w:p>
      <w:pPr>
        <w:pStyle w:val="Normal"/>
        <w:ind w:start="426" w:end="0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</w:r>
    </w:p>
    <w:p>
      <w:pPr>
        <w:pStyle w:val="Normal"/>
        <w:numPr>
          <w:ilvl w:val="0"/>
          <w:numId w:val="2"/>
        </w:numPr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b/>
          <w:sz w:val="24"/>
          <w:szCs w:val="24"/>
        </w:rPr>
        <w:t>Gestione e controllo del sistema ambientale aziendale</w:t>
      </w:r>
      <w:r>
        <w:rPr>
          <w:rFonts w:cs="Calibri" w:ascii="Calibri" w:hAnsi="Calibri"/>
          <w:sz w:val="24"/>
          <w:szCs w:val="24"/>
        </w:rPr>
        <w:t>:</w:t>
      </w:r>
    </w:p>
    <w:p>
      <w:pPr>
        <w:pStyle w:val="Normal"/>
        <w:numPr>
          <w:ilvl w:val="0"/>
          <w:numId w:val="10"/>
        </w:numPr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>approvare i documenti del SGA;</w:t>
      </w:r>
    </w:p>
    <w:p>
      <w:pPr>
        <w:pStyle w:val="Normal"/>
        <w:numPr>
          <w:ilvl w:val="0"/>
          <w:numId w:val="10"/>
        </w:numPr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>programmare le attività di verifica ispettiva interna;</w:t>
      </w:r>
    </w:p>
    <w:p>
      <w:pPr>
        <w:pStyle w:val="BodyTextIndent"/>
        <w:numPr>
          <w:ilvl w:val="0"/>
          <w:numId w:val="10"/>
        </w:numPr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>promuovere, nelle dovute forme e modalità, l’esecuzione di Azioni di miglioramento, Correttive o Preventive, e verificarne in seguito l’attuazione, l’esito e l’efficacia;</w:t>
      </w:r>
    </w:p>
    <w:p>
      <w:pPr>
        <w:pStyle w:val="BodyTextIndent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</w:r>
    </w:p>
    <w:p>
      <w:pPr>
        <w:pStyle w:val="Normal"/>
        <w:numPr>
          <w:ilvl w:val="0"/>
          <w:numId w:val="4"/>
        </w:numPr>
        <w:rPr>
          <w:rFonts w:ascii="Calibri" w:hAnsi="Calibri" w:cs="Calibri"/>
          <w:b/>
          <w:sz w:val="24"/>
          <w:szCs w:val="24"/>
        </w:rPr>
      </w:pPr>
      <w:r>
        <w:rPr>
          <w:rFonts w:cs="Calibri" w:ascii="Calibri" w:hAnsi="Calibri"/>
          <w:b/>
          <w:sz w:val="24"/>
          <w:szCs w:val="24"/>
        </w:rPr>
        <w:t xml:space="preserve">Relazioni con l’esterno: </w:t>
      </w:r>
    </w:p>
    <w:p>
      <w:pPr>
        <w:pStyle w:val="Normal"/>
        <w:ind w:start="426" w:end="0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>Gestisce le relazioni con l’esterno in termini di contatti con nuovi e/o potenziali clienti; si occupa dell’analisi e della ricerca di nuovi mercati, del potenziamento di quelli esistenti e dell’attività di promotion in genere allo scopo di  realizzare una maggiore visibilità di DGE  sul proprio mercato di riferimento</w:t>
      </w:r>
      <w:r>
        <w:rPr>
          <w:rFonts w:cs="Calibri" w:ascii="Calibri" w:hAnsi="Calibri"/>
          <w:smallCaps/>
          <w:sz w:val="24"/>
          <w:szCs w:val="24"/>
        </w:rPr>
        <w:t xml:space="preserve">. </w:t>
      </w:r>
      <w:r>
        <w:rPr>
          <w:rFonts w:cs="Calibri" w:ascii="Calibri" w:hAnsi="Calibri"/>
          <w:sz w:val="24"/>
          <w:szCs w:val="24"/>
        </w:rPr>
        <w:t>Gestisce altresì i rapporti con Istituzioni, enti, associazioni in tema di prestazioni ambientali.</w:t>
      </w:r>
    </w:p>
    <w:p>
      <w:pPr>
        <w:pStyle w:val="Normal"/>
        <w:jc w:val="both"/>
        <w:rPr>
          <w:rFonts w:ascii="Calibri" w:hAnsi="Calibri" w:cs="Calibri"/>
          <w:b/>
          <w:sz w:val="24"/>
          <w:szCs w:val="24"/>
        </w:rPr>
      </w:pPr>
      <w:r>
        <w:rPr>
          <w:rFonts w:cs="Calibri" w:ascii="Calibri" w:hAnsi="Calibri"/>
          <w:b/>
          <w:sz w:val="24"/>
          <w:szCs w:val="24"/>
        </w:rPr>
      </w:r>
    </w:p>
    <w:p>
      <w:pPr>
        <w:pStyle w:val="Normal"/>
        <w:numPr>
          <w:ilvl w:val="0"/>
          <w:numId w:val="4"/>
        </w:numPr>
        <w:rPr>
          <w:rFonts w:ascii="Calibri" w:hAnsi="Calibri" w:cs="Calibri"/>
          <w:b/>
          <w:sz w:val="24"/>
          <w:szCs w:val="24"/>
        </w:rPr>
      </w:pPr>
      <w:r>
        <w:rPr>
          <w:rFonts w:eastAsia="Calibri" w:cs="Calibri" w:ascii="Calibri" w:hAnsi="Calibri"/>
          <w:b/>
          <w:sz w:val="24"/>
          <w:szCs w:val="24"/>
        </w:rPr>
        <w:t xml:space="preserve"> </w:t>
      </w:r>
      <w:r>
        <w:rPr>
          <w:rFonts w:cs="Calibri" w:ascii="Calibri" w:hAnsi="Calibri"/>
          <w:b/>
          <w:sz w:val="24"/>
          <w:szCs w:val="24"/>
        </w:rPr>
        <w:t>Gestione commerciale:</w:t>
      </w:r>
    </w:p>
    <w:p>
      <w:pPr>
        <w:pStyle w:val="Normal"/>
        <w:ind w:start="426" w:end="0"/>
        <w:jc w:val="both"/>
        <w:rPr/>
      </w:pPr>
      <w:r>
        <w:rPr>
          <w:rFonts w:cs="Calibri" w:ascii="Calibri" w:hAnsi="Calibri"/>
          <w:sz w:val="24"/>
          <w:szCs w:val="24"/>
        </w:rPr>
        <w:t>Interviene nella predisposizione dei preventivi in termini di definizione dei prezzi; più in generale  è responsabile dei rapporti con i clienti nella gestione delle attività contrattuali; verifica e avvalla le offerte emesse dal responsabile commerciale rappresentando gli aspetti ambientali inclusi nella politica ambientale aziendale.</w:t>
      </w:r>
    </w:p>
    <w:p>
      <w:pPr>
        <w:pStyle w:val="Normal"/>
        <w:ind w:start="426" w:end="0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</w:r>
    </w:p>
    <w:p>
      <w:pPr>
        <w:pStyle w:val="Normal"/>
        <w:numPr>
          <w:ilvl w:val="0"/>
          <w:numId w:val="4"/>
        </w:numPr>
        <w:rPr>
          <w:rFonts w:ascii="Calibri" w:hAnsi="Calibri" w:cs="Calibri"/>
          <w:b/>
          <w:sz w:val="24"/>
          <w:szCs w:val="24"/>
        </w:rPr>
      </w:pPr>
      <w:r>
        <w:rPr>
          <w:rFonts w:cs="Calibri" w:ascii="Calibri" w:hAnsi="Calibri"/>
          <w:b/>
          <w:sz w:val="24"/>
          <w:szCs w:val="24"/>
        </w:rPr>
        <w:t>Gestione acquisti:</w:t>
      </w:r>
    </w:p>
    <w:p>
      <w:pPr>
        <w:pStyle w:val="BodyTextIndent"/>
        <w:jc w:val="both"/>
        <w:rPr/>
      </w:pPr>
      <w:r>
        <w:rPr>
          <w:rFonts w:cs="Calibri" w:ascii="Calibri" w:hAnsi="Calibri"/>
          <w:sz w:val="24"/>
          <w:szCs w:val="24"/>
        </w:rPr>
        <w:t>interviene nelle scelte aziendali in merito alle necessità di approvvigionamento, sulla base delle indicazioni provenienti dal Servizio Commerciale, e quindi in coordinamento con il Responsabile Commerciale nel rispetto della policy ambientale vigente in azienda.</w:t>
      </w:r>
    </w:p>
    <w:p>
      <w:pPr>
        <w:pStyle w:val="Normal"/>
        <w:rPr>
          <w:rFonts w:ascii="Calibri" w:hAnsi="Calibri" w:cs="Calibri"/>
          <w:b/>
          <w:sz w:val="24"/>
          <w:szCs w:val="24"/>
        </w:rPr>
      </w:pPr>
      <w:r>
        <w:rPr>
          <w:rFonts w:cs="Calibri" w:ascii="Calibri" w:hAnsi="Calibri"/>
          <w:b/>
          <w:sz w:val="24"/>
          <w:szCs w:val="24"/>
        </w:rPr>
      </w:r>
    </w:p>
    <w:p>
      <w:pPr>
        <w:pStyle w:val="BodyTextIndent"/>
        <w:jc w:val="both"/>
        <w:rPr>
          <w:rFonts w:ascii="Calibri" w:hAnsi="Calibri" w:cs="Calibri"/>
          <w:b/>
          <w:sz w:val="24"/>
          <w:szCs w:val="24"/>
        </w:rPr>
      </w:pPr>
      <w:r>
        <w:rPr>
          <w:rFonts w:cs="Calibri" w:ascii="Calibri" w:hAnsi="Calibri"/>
          <w:b/>
          <w:sz w:val="24"/>
          <w:szCs w:val="24"/>
        </w:rPr>
      </w:r>
    </w:p>
    <w:p>
      <w:pPr>
        <w:pStyle w:val="BodyTextIndent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</w:r>
    </w:p>
    <w:p>
      <w:pPr>
        <w:pStyle w:val="BodyTextIndent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</w:r>
    </w:p>
    <w:p>
      <w:pPr>
        <w:pStyle w:val="BodyTextIndent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</w:r>
    </w:p>
    <w:p>
      <w:pPr>
        <w:pStyle w:val="BodyTextIndent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</w:r>
    </w:p>
    <w:p>
      <w:pPr>
        <w:pStyle w:val="BodyTextIndent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</w:r>
    </w:p>
    <w:p>
      <w:pPr>
        <w:pStyle w:val="BodyTextIndent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</w:r>
    </w:p>
    <w:p>
      <w:pPr>
        <w:pStyle w:val="BodyTextIndent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</w:r>
    </w:p>
    <w:p>
      <w:pPr>
        <w:pStyle w:val="BodyTextIndent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</w:r>
    </w:p>
    <w:p>
      <w:pPr>
        <w:pStyle w:val="BodyTextIndent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</w:r>
    </w:p>
    <w:p>
      <w:pPr>
        <w:pStyle w:val="BodyTextIndent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</w:r>
    </w:p>
    <w:p>
      <w:pPr>
        <w:pStyle w:val="BodyTextIndent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</w:r>
    </w:p>
    <w:p>
      <w:pPr>
        <w:pStyle w:val="BodyTextIndent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</w:r>
    </w:p>
    <w:p>
      <w:pPr>
        <w:pStyle w:val="BodyTextIndent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</w:r>
    </w:p>
    <w:p>
      <w:pPr>
        <w:pStyle w:val="BodyTextIndent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</w:r>
    </w:p>
    <w:p>
      <w:pPr>
        <w:pStyle w:val="BodyTextIndent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</w:r>
    </w:p>
    <w:p>
      <w:pPr>
        <w:pStyle w:val="BodyTextIndent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</w:r>
    </w:p>
    <w:p>
      <w:pPr>
        <w:pStyle w:val="BodyTextIndent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</w:r>
    </w:p>
    <w:p>
      <w:pPr>
        <w:pStyle w:val="BodyTextIndent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</w:r>
    </w:p>
    <w:p>
      <w:pPr>
        <w:pStyle w:val="BodyTextIndent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</w:r>
    </w:p>
    <w:p>
      <w:pPr>
        <w:pStyle w:val="BodyTextIndent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</w:r>
    </w:p>
    <w:p>
      <w:pPr>
        <w:pStyle w:val="BodyTextIndent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</w:r>
    </w:p>
    <w:p>
      <w:pPr>
        <w:pStyle w:val="BodyTextIndent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</w:r>
    </w:p>
    <w:p>
      <w:pPr>
        <w:pStyle w:val="BodyTextIndent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</w:r>
    </w:p>
    <w:p>
      <w:pPr>
        <w:pStyle w:val="BodyTextIndent"/>
        <w:jc w:val="both"/>
        <w:rPr>
          <w:rFonts w:ascii="Calibri" w:hAnsi="Calibri" w:cs="Calibri"/>
        </w:rPr>
      </w:pPr>
      <w:r>
        <w:rPr>
          <w:rFonts w:cs="Calibri" w:ascii="Calibri" w:hAnsi="Calibri"/>
        </w:rPr>
      </w:r>
    </w:p>
    <w:p>
      <w:pPr>
        <w:pStyle w:val="BodyTextIndent"/>
        <w:jc w:val="both"/>
        <w:rPr>
          <w:rFonts w:ascii="Calibri" w:hAnsi="Calibri" w:cs="Calibri"/>
        </w:rPr>
      </w:pPr>
      <w:r>
        <w:rPr>
          <w:rFonts w:cs="Calibri" w:ascii="Calibri" w:hAnsi="Calibri"/>
        </w:rPr>
      </w:r>
    </w:p>
    <w:p>
      <w:pPr>
        <w:pStyle w:val="BodyTextIndent"/>
        <w:jc w:val="both"/>
        <w:rPr>
          <w:rFonts w:ascii="Calibri" w:hAnsi="Calibri" w:cs="Calibri"/>
        </w:rPr>
      </w:pPr>
      <w:r>
        <w:rPr>
          <w:rFonts w:cs="Calibri" w:ascii="Calibri" w:hAnsi="Calibri"/>
        </w:rPr>
      </w:r>
    </w:p>
    <w:p>
      <w:pPr>
        <w:pStyle w:val="BodyTextIndent"/>
        <w:jc w:val="both"/>
        <w:rPr>
          <w:rFonts w:ascii="Calibri" w:hAnsi="Calibri" w:cs="Calibri"/>
        </w:rPr>
      </w:pPr>
      <w:r>
        <w:rPr>
          <w:rFonts w:cs="Calibri" w:ascii="Calibri" w:hAnsi="Calibri"/>
        </w:rPr>
      </w:r>
    </w:p>
    <w:p>
      <w:pPr>
        <w:pStyle w:val="BodyTextIndent"/>
        <w:jc w:val="both"/>
        <w:rPr>
          <w:rFonts w:ascii="Calibri" w:hAnsi="Calibri" w:cs="Calibri"/>
        </w:rPr>
      </w:pPr>
      <w:r>
        <w:rPr>
          <w:rFonts w:cs="Calibri" w:ascii="Calibri" w:hAnsi="Calibri"/>
        </w:rPr>
      </w:r>
    </w:p>
    <w:p>
      <w:pPr>
        <w:pStyle w:val="BodyTextIndent"/>
        <w:jc w:val="both"/>
        <w:rPr>
          <w:rFonts w:ascii="Calibri" w:hAnsi="Calibri" w:cs="Calibri"/>
        </w:rPr>
      </w:pPr>
      <w:r>
        <w:rPr>
          <w:rFonts w:cs="Calibri" w:ascii="Calibri" w:hAnsi="Calibri"/>
        </w:rPr>
      </w:r>
    </w:p>
    <w:p>
      <w:pPr>
        <w:pStyle w:val="Heading"/>
        <w:jc w:val="start"/>
        <w:rPr/>
      </w:pPr>
      <w:bookmarkStart w:id="1" w:name="__RefHeading___Toc536546691"/>
      <w:bookmarkEnd w:id="1"/>
      <w:r>
        <w:rPr>
          <w:rFonts w:cs="Calibri" w:ascii="Calibri" w:hAnsi="Calibri"/>
        </w:rPr>
        <w:t xml:space="preserve">RESPONSABILE </w:t>
      </w:r>
      <w:r>
        <w:rPr>
          <w:rFonts w:cs="Calibri" w:ascii="Calibri" w:hAnsi="Calibri"/>
          <w:lang w:val="it-IT"/>
        </w:rPr>
        <w:t>AMBIENTALE</w:t>
      </w:r>
      <w:r>
        <w:rPr>
          <w:rFonts w:cs="Calibri" w:ascii="Calibri" w:hAnsi="Calibri"/>
        </w:rPr>
        <w:t xml:space="preserve"> (RSGQ)</w:t>
      </w:r>
    </w:p>
    <w:p>
      <w:pPr>
        <w:pStyle w:val="Normal"/>
        <w:ind w:firstLine="142" w:end="0"/>
        <w:jc w:val="both"/>
        <w:rPr>
          <w:rFonts w:ascii="Calibri" w:hAnsi="Calibri" w:cs="Calibri"/>
        </w:rPr>
      </w:pPr>
      <w:r>
        <w:rPr>
          <w:rFonts w:cs="Calibri" w:ascii="Calibri" w:hAnsi="Calibri"/>
        </w:rPr>
      </w:r>
    </w:p>
    <w:p>
      <w:pPr>
        <w:pStyle w:val="Normal"/>
        <w:ind w:firstLine="142" w:end="0"/>
        <w:jc w:val="both"/>
        <w:rPr/>
      </w:pPr>
      <w:r>
        <w:rPr>
          <w:rFonts w:cs="Calibri" w:ascii="Calibri" w:hAnsi="Calibri"/>
          <w:sz w:val="24"/>
          <w:szCs w:val="24"/>
        </w:rPr>
        <w:t>Ha l’autorità e la responsabilità della gestione di tutti gli aspetti riferiti al sistema ambientale aziendale e contenuti nel presente Manuale Ambientale e nei documenti – procedure, istruzioni e moduli - ad esso afferenti, assicurandone la corretta e puntuale applicazione nel tempo.</w:t>
      </w:r>
    </w:p>
    <w:p>
      <w:pPr>
        <w:pStyle w:val="Normal"/>
        <w:ind w:firstLine="142" w:end="0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</w:r>
    </w:p>
    <w:p>
      <w:pPr>
        <w:pStyle w:val="Normal"/>
        <w:ind w:firstLine="142" w:end="0"/>
        <w:jc w:val="both"/>
        <w:rPr/>
      </w:pPr>
      <w:r>
        <w:rPr>
          <w:rFonts w:cs="Calibri" w:ascii="Calibri" w:hAnsi="Calibri"/>
          <w:b/>
          <w:sz w:val="24"/>
          <w:szCs w:val="24"/>
        </w:rPr>
        <w:t>RSGQ</w:t>
      </w:r>
      <w:r>
        <w:rPr>
          <w:rFonts w:cs="Calibri" w:ascii="Calibri" w:hAnsi="Calibri"/>
          <w:sz w:val="24"/>
          <w:szCs w:val="24"/>
        </w:rPr>
        <w:t xml:space="preserve"> ha la responsabilità </w:t>
      </w:r>
      <w:r>
        <w:rPr>
          <w:rFonts w:cs="Calibri" w:ascii="Calibri" w:hAnsi="Calibri"/>
          <w:b/>
          <w:sz w:val="24"/>
          <w:szCs w:val="24"/>
        </w:rPr>
        <w:t>in relazione agli aspetti di gestione del sistema di gestione Ambientale</w:t>
      </w:r>
      <w:r>
        <w:rPr>
          <w:rFonts w:cs="Calibri" w:ascii="Calibri" w:hAnsi="Calibri"/>
          <w:sz w:val="24"/>
          <w:szCs w:val="24"/>
        </w:rPr>
        <w:t>, ed ha  il compito di:</w:t>
      </w:r>
    </w:p>
    <w:p>
      <w:pPr>
        <w:pStyle w:val="Normal"/>
        <w:numPr>
          <w:ilvl w:val="0"/>
          <w:numId w:val="9"/>
        </w:numPr>
        <w:spacing w:before="120" w:after="0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>preparare, revisionare e distribuire in maniera controllata il Manuale Ambientale ed i documenti ad esso afferenti;</w:t>
      </w:r>
    </w:p>
    <w:p>
      <w:pPr>
        <w:pStyle w:val="Normal"/>
        <w:numPr>
          <w:ilvl w:val="0"/>
          <w:numId w:val="9"/>
        </w:numPr>
        <w:spacing w:before="120" w:after="0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>avere cura, per quanto di sua competenza, dell’archiviazione dei documenti relativi al Sistema di gestione Ambientale;</w:t>
      </w:r>
    </w:p>
    <w:p>
      <w:pPr>
        <w:pStyle w:val="Normal"/>
        <w:numPr>
          <w:ilvl w:val="0"/>
          <w:numId w:val="9"/>
        </w:numPr>
        <w:spacing w:before="120" w:after="0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>verificare, se il caso, che i documenti emessi dalle funzioni interne o provenienti da enti esterni contengano le informazioni e le prescrizioni di ambiente;</w:t>
      </w:r>
    </w:p>
    <w:p>
      <w:pPr>
        <w:pStyle w:val="Normal"/>
        <w:numPr>
          <w:ilvl w:val="0"/>
          <w:numId w:val="9"/>
        </w:numPr>
        <w:spacing w:before="120" w:after="0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>eseguire e coordinare, secondo le modalità previste, periodiche Audit Interni nelle diverse aree aziendali;</w:t>
      </w:r>
    </w:p>
    <w:p>
      <w:pPr>
        <w:pStyle w:val="Normal"/>
        <w:numPr>
          <w:ilvl w:val="0"/>
          <w:numId w:val="9"/>
        </w:numPr>
        <w:spacing w:before="120" w:after="0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>promuovere, nelle dovute forme e modalità, l’esecuzione di Azioni di miglioramento, Correttive o Preventive, e verificarne in seguito l’attuazione, l’esito e l’efficacia;</w:t>
      </w:r>
    </w:p>
    <w:p>
      <w:pPr>
        <w:pStyle w:val="Normal"/>
        <w:numPr>
          <w:ilvl w:val="0"/>
          <w:numId w:val="9"/>
        </w:numPr>
        <w:spacing w:before="120" w:after="0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>verificare, unitamente ai responsabili preposti, la validità di tutte le norme utilizzate dalle varie funzioni aziendali;</w:t>
      </w:r>
    </w:p>
    <w:p>
      <w:pPr>
        <w:pStyle w:val="Normal"/>
        <w:numPr>
          <w:ilvl w:val="0"/>
          <w:numId w:val="9"/>
        </w:numPr>
        <w:spacing w:before="120" w:after="0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>predisporre ed ordinare, nelle dovute forme, i documenti da sottoporre al DGE per il Riesame della Direzione;</w:t>
      </w:r>
    </w:p>
    <w:p>
      <w:pPr>
        <w:pStyle w:val="Normal"/>
        <w:numPr>
          <w:ilvl w:val="0"/>
          <w:numId w:val="9"/>
        </w:numPr>
        <w:spacing w:before="120" w:after="0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>gestire i rapporti con i Clienti, con i fornitori e con gli Organismi di Certificazione, per tutti gli aspetti relativi alla Garanzia Ambiente;</w:t>
      </w:r>
    </w:p>
    <w:p>
      <w:pPr>
        <w:pStyle w:val="Normal"/>
        <w:spacing w:before="120" w:after="0"/>
        <w:jc w:val="both"/>
        <w:rPr>
          <w:rFonts w:ascii="Calibri" w:hAnsi="Calibri" w:cs="Calibri"/>
          <w:b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>Riferisce direttamente alla DGE.</w:t>
      </w:r>
    </w:p>
    <w:p>
      <w:pPr>
        <w:pStyle w:val="Heading1"/>
        <w:ind w:hanging="0" w:start="0"/>
        <w:rPr>
          <w:rFonts w:ascii="Calibri" w:hAnsi="Calibri" w:cs="Calibri"/>
          <w:b w:val="false"/>
          <w:sz w:val="24"/>
          <w:szCs w:val="24"/>
        </w:rPr>
      </w:pPr>
      <w:r>
        <w:rPr>
          <w:rFonts w:cs="Calibri" w:ascii="Calibri" w:hAnsi="Calibri"/>
          <w:b w:val="false"/>
          <w:sz w:val="24"/>
          <w:szCs w:val="24"/>
        </w:rPr>
      </w:r>
    </w:p>
    <w:p>
      <w:pPr>
        <w:pStyle w:val="Heading1"/>
        <w:ind w:hanging="0" w:start="0"/>
        <w:rPr>
          <w:rFonts w:ascii="Calibri" w:hAnsi="Calibri" w:cs="Calibri"/>
          <w:szCs w:val="24"/>
        </w:rPr>
      </w:pPr>
      <w:r>
        <w:rPr>
          <w:rFonts w:cs="Calibri" w:ascii="Calibri" w:hAnsi="Calibri"/>
          <w:szCs w:val="24"/>
        </w:rPr>
      </w:r>
    </w:p>
    <w:p>
      <w:pPr>
        <w:pStyle w:val="Normal"/>
        <w:rPr>
          <w:rFonts w:ascii="Calibri" w:hAnsi="Calibri" w:cs="Calibri"/>
          <w:szCs w:val="24"/>
        </w:rPr>
      </w:pPr>
      <w:r>
        <w:rPr>
          <w:rFonts w:cs="Calibri" w:ascii="Calibri" w:hAnsi="Calibri"/>
          <w:szCs w:val="24"/>
        </w:rPr>
      </w:r>
    </w:p>
    <w:p>
      <w:pPr>
        <w:pStyle w:val="Normal"/>
        <w:rPr/>
      </w:pPr>
      <w:r>
        <w:rPr/>
      </w:r>
    </w:p>
    <w:p>
      <w:pPr>
        <w:pStyle w:val="Normal"/>
        <w:rPr>
          <w:rFonts w:ascii="Calibri" w:hAnsi="Calibri" w:cs="Calibri"/>
        </w:rPr>
      </w:pPr>
      <w:r>
        <w:rPr>
          <w:rFonts w:cs="Calibri" w:ascii="Calibri" w:hAnsi="Calibri"/>
        </w:rPr>
      </w:r>
    </w:p>
    <w:p>
      <w:pPr>
        <w:pStyle w:val="Normal"/>
        <w:rPr>
          <w:rFonts w:ascii="Calibri" w:hAnsi="Calibri" w:cs="Calibri"/>
        </w:rPr>
      </w:pPr>
      <w:r>
        <w:rPr>
          <w:rFonts w:cs="Calibri" w:ascii="Calibri" w:hAnsi="Calibri"/>
        </w:rPr>
      </w:r>
    </w:p>
    <w:p>
      <w:pPr>
        <w:pStyle w:val="Normal"/>
        <w:rPr>
          <w:rFonts w:ascii="Calibri" w:hAnsi="Calibri" w:cs="Calibri"/>
        </w:rPr>
      </w:pPr>
      <w:r>
        <w:rPr>
          <w:rFonts w:cs="Calibri" w:ascii="Calibri" w:hAnsi="Calibri"/>
        </w:rPr>
      </w:r>
    </w:p>
    <w:p>
      <w:pPr>
        <w:pStyle w:val="Heading1"/>
        <w:ind w:hanging="0" w:start="0"/>
        <w:rPr>
          <w:rFonts w:ascii="Calibri" w:hAnsi="Calibri" w:cs="Calibri"/>
        </w:rPr>
      </w:pPr>
      <w:r>
        <w:rPr>
          <w:rFonts w:cs="Calibri" w:ascii="Calibri" w:hAnsi="Calibri"/>
        </w:rPr>
      </w:r>
    </w:p>
    <w:p>
      <w:pPr>
        <w:pStyle w:val="Heading1"/>
        <w:ind w:hanging="0" w:start="0"/>
        <w:rPr>
          <w:rFonts w:ascii="Calibri" w:hAnsi="Calibri" w:cs="Calibri"/>
        </w:rPr>
      </w:pPr>
      <w:r>
        <w:rPr>
          <w:rFonts w:cs="Calibri" w:ascii="Calibri" w:hAnsi="Calibri"/>
        </w:rPr>
      </w:r>
    </w:p>
    <w:p>
      <w:pPr>
        <w:pStyle w:val="Normal"/>
        <w:rPr>
          <w:rFonts w:ascii="Calibri" w:hAnsi="Calibri" w:cs="Calibri"/>
        </w:rPr>
      </w:pPr>
      <w:r>
        <w:rPr>
          <w:rFonts w:cs="Calibri" w:ascii="Calibri" w:hAnsi="Calibri"/>
        </w:rPr>
      </w:r>
    </w:p>
    <w:p>
      <w:pPr>
        <w:pStyle w:val="Normal"/>
        <w:rPr>
          <w:rFonts w:ascii="Calibri" w:hAnsi="Calibri" w:cs="Calibri"/>
        </w:rPr>
      </w:pPr>
      <w:r>
        <w:rPr>
          <w:rFonts w:cs="Calibri" w:ascii="Calibri" w:hAnsi="Calibri"/>
        </w:rPr>
      </w:r>
    </w:p>
    <w:p>
      <w:pPr>
        <w:pStyle w:val="Heading"/>
        <w:jc w:val="start"/>
        <w:rPr/>
      </w:pPr>
      <w:bookmarkStart w:id="2" w:name="__RefHeading___Toc536546692"/>
      <w:bookmarkEnd w:id="2"/>
      <w:r>
        <w:rPr>
          <w:rFonts w:cs="Calibri" w:ascii="Calibri" w:hAnsi="Calibri"/>
        </w:rPr>
        <w:t>RESPONSABILE DEI SERVIZI EROGATI (SER)</w:t>
      </w:r>
    </w:p>
    <w:p>
      <w:pPr>
        <w:pStyle w:val="Normal"/>
        <w:jc w:val="both"/>
        <w:rPr/>
      </w:pPr>
      <w:r>
        <w:rPr>
          <w:rFonts w:cs="Calibri" w:ascii="Calibri" w:hAnsi="Calibri"/>
          <w:sz w:val="24"/>
          <w:szCs w:val="24"/>
        </w:rPr>
        <w:t>In ordine alle attività di gestione dei SERVIZI, il responsabile dei servizi ha il compito di:</w:t>
      </w:r>
    </w:p>
    <w:p>
      <w:pPr>
        <w:pStyle w:val="Normal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</w:r>
    </w:p>
    <w:p>
      <w:pPr>
        <w:pStyle w:val="Normal"/>
        <w:numPr>
          <w:ilvl w:val="0"/>
          <w:numId w:val="10"/>
        </w:numPr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>Coordinare la riunione con la cliente;</w:t>
      </w:r>
    </w:p>
    <w:p>
      <w:pPr>
        <w:pStyle w:val="Normal"/>
        <w:numPr>
          <w:ilvl w:val="0"/>
          <w:numId w:val="10"/>
        </w:numPr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 xml:space="preserve">Pianificare le attività operative; </w:t>
      </w:r>
    </w:p>
    <w:p>
      <w:pPr>
        <w:pStyle w:val="Normal"/>
        <w:numPr>
          <w:ilvl w:val="0"/>
          <w:numId w:val="10"/>
        </w:numPr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>Coordinare la parte relativa agli approvvigionamenti con ACQ;</w:t>
      </w:r>
    </w:p>
    <w:p>
      <w:pPr>
        <w:pStyle w:val="Normal"/>
        <w:numPr>
          <w:ilvl w:val="0"/>
          <w:numId w:val="10"/>
        </w:numPr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>Verificare il buon esito delle attività di servizio erogate;</w:t>
      </w:r>
    </w:p>
    <w:p>
      <w:pPr>
        <w:pStyle w:val="Normal"/>
        <w:numPr>
          <w:ilvl w:val="0"/>
          <w:numId w:val="10"/>
        </w:numPr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>Valutare le prestazioni ambientali in riferimento ai servizi erogati.</w:t>
      </w:r>
    </w:p>
    <w:p>
      <w:pPr>
        <w:pStyle w:val="Normal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</w:r>
    </w:p>
    <w:p>
      <w:pPr>
        <w:pStyle w:val="Normal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 xml:space="preserve">A lui si rivolgono gli altri uffici per informazioni relativi ai servizi di progettazione posti in essere. </w:t>
      </w:r>
    </w:p>
    <w:p>
      <w:pPr>
        <w:pStyle w:val="Normal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</w:r>
    </w:p>
    <w:p>
      <w:pPr>
        <w:pStyle w:val="Heading1"/>
        <w:ind w:hanging="0" w:start="0"/>
        <w:rPr>
          <w:rFonts w:ascii="Calibri" w:hAnsi="Calibri" w:cs="Calibri"/>
        </w:rPr>
      </w:pPr>
      <w:r>
        <w:rPr>
          <w:rFonts w:cs="Calibri" w:ascii="Calibri" w:hAnsi="Calibri"/>
        </w:rPr>
      </w:r>
    </w:p>
    <w:p>
      <w:pPr>
        <w:pStyle w:val="Heading1"/>
        <w:ind w:hanging="0" w:start="0"/>
        <w:rPr>
          <w:rFonts w:ascii="Calibri" w:hAnsi="Calibri" w:cs="Calibri"/>
        </w:rPr>
      </w:pPr>
      <w:r>
        <w:rPr>
          <w:rFonts w:cs="Calibri" w:ascii="Calibri" w:hAnsi="Calibri"/>
        </w:rPr>
      </w:r>
    </w:p>
    <w:p>
      <w:pPr>
        <w:pStyle w:val="Heading1"/>
        <w:ind w:hanging="0" w:start="0"/>
        <w:rPr>
          <w:rFonts w:ascii="Calibri" w:hAnsi="Calibri" w:cs="Calibri"/>
        </w:rPr>
      </w:pPr>
      <w:r>
        <w:rPr>
          <w:rFonts w:cs="Calibri" w:ascii="Calibri" w:hAnsi="Calibri"/>
        </w:rPr>
      </w:r>
    </w:p>
    <w:p>
      <w:pPr>
        <w:pStyle w:val="Heading1"/>
        <w:ind w:hanging="0" w:start="0"/>
        <w:rPr>
          <w:rFonts w:ascii="Calibri" w:hAnsi="Calibri" w:cs="Calibri"/>
        </w:rPr>
      </w:pPr>
      <w:r>
        <w:rPr>
          <w:rFonts w:cs="Calibri" w:ascii="Calibri" w:hAnsi="Calibri"/>
        </w:rPr>
      </w:r>
    </w:p>
    <w:p>
      <w:pPr>
        <w:pStyle w:val="Heading1"/>
        <w:ind w:hanging="0" w:start="0"/>
        <w:rPr>
          <w:rFonts w:ascii="Calibri" w:hAnsi="Calibri" w:cs="Calibri"/>
        </w:rPr>
      </w:pPr>
      <w:r>
        <w:rPr>
          <w:rFonts w:cs="Calibri" w:ascii="Calibri" w:hAnsi="Calibri"/>
        </w:rPr>
      </w:r>
    </w:p>
    <w:p>
      <w:pPr>
        <w:pStyle w:val="Heading1"/>
        <w:ind w:hanging="0" w:start="0"/>
        <w:rPr>
          <w:rFonts w:ascii="Calibri" w:hAnsi="Calibri" w:cs="Calibri"/>
        </w:rPr>
      </w:pPr>
      <w:r>
        <w:rPr>
          <w:rFonts w:cs="Calibri" w:ascii="Calibri" w:hAnsi="Calibri"/>
        </w:rPr>
      </w:r>
    </w:p>
    <w:p>
      <w:pPr>
        <w:pStyle w:val="Heading1"/>
        <w:ind w:hanging="0" w:start="0"/>
        <w:rPr>
          <w:rFonts w:ascii="Calibri" w:hAnsi="Calibri" w:cs="Calibri"/>
        </w:rPr>
      </w:pPr>
      <w:r>
        <w:rPr>
          <w:rFonts w:cs="Calibri" w:ascii="Calibri" w:hAnsi="Calibri"/>
        </w:rPr>
      </w:r>
    </w:p>
    <w:p>
      <w:pPr>
        <w:pStyle w:val="Heading1"/>
        <w:ind w:hanging="0" w:start="0"/>
        <w:rPr>
          <w:rFonts w:ascii="Calibri" w:hAnsi="Calibri" w:cs="Calibri"/>
        </w:rPr>
      </w:pPr>
      <w:r>
        <w:rPr>
          <w:rFonts w:cs="Calibri" w:ascii="Calibri" w:hAnsi="Calibri"/>
        </w:rPr>
      </w:r>
    </w:p>
    <w:p>
      <w:pPr>
        <w:pStyle w:val="Heading1"/>
        <w:ind w:hanging="0" w:start="0"/>
        <w:rPr>
          <w:rFonts w:ascii="Calibri" w:hAnsi="Calibri" w:cs="Calibri"/>
        </w:rPr>
      </w:pPr>
      <w:r>
        <w:rPr>
          <w:rFonts w:cs="Calibri" w:ascii="Calibri" w:hAnsi="Calibri"/>
        </w:rPr>
      </w:r>
    </w:p>
    <w:p>
      <w:pPr>
        <w:pStyle w:val="Heading1"/>
        <w:ind w:hanging="0" w:start="0"/>
        <w:rPr>
          <w:rFonts w:ascii="Calibri" w:hAnsi="Calibri" w:cs="Calibri"/>
        </w:rPr>
      </w:pPr>
      <w:r>
        <w:rPr>
          <w:rFonts w:cs="Calibri" w:ascii="Calibri" w:hAnsi="Calibri"/>
        </w:rPr>
      </w:r>
    </w:p>
    <w:p>
      <w:pPr>
        <w:pStyle w:val="Heading1"/>
        <w:ind w:hanging="0" w:start="0"/>
        <w:rPr>
          <w:rFonts w:ascii="Calibri" w:hAnsi="Calibri" w:cs="Calibri"/>
        </w:rPr>
      </w:pPr>
      <w:r>
        <w:rPr>
          <w:rFonts w:cs="Calibri" w:ascii="Calibri" w:hAnsi="Calibri"/>
        </w:rPr>
      </w:r>
    </w:p>
    <w:p>
      <w:pPr>
        <w:pStyle w:val="Heading1"/>
        <w:ind w:hanging="0" w:start="0"/>
        <w:rPr>
          <w:rFonts w:ascii="Calibri" w:hAnsi="Calibri" w:cs="Calibri"/>
        </w:rPr>
      </w:pPr>
      <w:r>
        <w:rPr>
          <w:rFonts w:cs="Calibri" w:ascii="Calibri" w:hAnsi="Calibri"/>
        </w:rPr>
      </w:r>
    </w:p>
    <w:p>
      <w:pPr>
        <w:pStyle w:val="Heading1"/>
        <w:ind w:hanging="0" w:start="0"/>
        <w:rPr>
          <w:rFonts w:ascii="Calibri" w:hAnsi="Calibri" w:cs="Calibri"/>
        </w:rPr>
      </w:pPr>
      <w:r>
        <w:rPr>
          <w:rFonts w:cs="Calibri" w:ascii="Calibri" w:hAnsi="Calibri"/>
        </w:rPr>
      </w:r>
    </w:p>
    <w:p>
      <w:pPr>
        <w:pStyle w:val="Heading1"/>
        <w:ind w:hanging="0" w:start="0"/>
        <w:rPr>
          <w:rFonts w:ascii="Calibri" w:hAnsi="Calibri" w:cs="Calibri"/>
        </w:rPr>
      </w:pPr>
      <w:r>
        <w:rPr>
          <w:rFonts w:cs="Calibri" w:ascii="Calibri" w:hAnsi="Calibri"/>
        </w:rPr>
      </w:r>
    </w:p>
    <w:p>
      <w:pPr>
        <w:pStyle w:val="Heading1"/>
        <w:ind w:hanging="0" w:start="0"/>
        <w:rPr>
          <w:rFonts w:ascii="Calibri" w:hAnsi="Calibri" w:cs="Calibri"/>
        </w:rPr>
      </w:pPr>
      <w:r>
        <w:rPr>
          <w:rFonts w:cs="Calibri" w:ascii="Calibri" w:hAnsi="Calibri"/>
        </w:rPr>
      </w:r>
    </w:p>
    <w:p>
      <w:pPr>
        <w:pStyle w:val="Heading1"/>
        <w:ind w:hanging="0" w:start="0"/>
        <w:rPr>
          <w:rFonts w:ascii="Calibri" w:hAnsi="Calibri" w:cs="Calibri"/>
        </w:rPr>
      </w:pPr>
      <w:r>
        <w:rPr>
          <w:rFonts w:cs="Calibri" w:ascii="Calibri" w:hAnsi="Calibri"/>
        </w:rPr>
      </w:r>
    </w:p>
    <w:p>
      <w:pPr>
        <w:pStyle w:val="Heading1"/>
        <w:ind w:hanging="0" w:start="0"/>
        <w:rPr>
          <w:rFonts w:ascii="Calibri" w:hAnsi="Calibri" w:cs="Calibri"/>
        </w:rPr>
      </w:pPr>
      <w:r>
        <w:rPr>
          <w:rFonts w:cs="Calibri" w:ascii="Calibri" w:hAnsi="Calibri"/>
        </w:rPr>
      </w:r>
    </w:p>
    <w:p>
      <w:pPr>
        <w:pStyle w:val="Heading1"/>
        <w:ind w:hanging="0" w:start="0"/>
        <w:rPr>
          <w:rFonts w:ascii="Calibri" w:hAnsi="Calibri" w:cs="Calibri"/>
        </w:rPr>
      </w:pPr>
      <w:r>
        <w:rPr>
          <w:rFonts w:cs="Calibri" w:ascii="Calibri" w:hAnsi="Calibri"/>
        </w:rPr>
      </w:r>
    </w:p>
    <w:p>
      <w:pPr>
        <w:pStyle w:val="Normal"/>
        <w:rPr>
          <w:rFonts w:ascii="Calibri" w:hAnsi="Calibri" w:cs="Calibri"/>
        </w:rPr>
      </w:pPr>
      <w:r>
        <w:rPr>
          <w:rFonts w:cs="Calibri" w:ascii="Calibri" w:hAnsi="Calibri"/>
        </w:rPr>
      </w:r>
    </w:p>
    <w:p>
      <w:pPr>
        <w:pStyle w:val="Heading1"/>
        <w:ind w:hanging="0" w:start="0"/>
        <w:rPr>
          <w:rFonts w:ascii="Calibri" w:hAnsi="Calibri" w:cs="Calibri"/>
        </w:rPr>
      </w:pPr>
      <w:r>
        <w:rPr>
          <w:rFonts w:cs="Calibri" w:ascii="Calibri" w:hAnsi="Calibri"/>
        </w:rPr>
      </w:r>
    </w:p>
    <w:p>
      <w:pPr>
        <w:pStyle w:val="Heading1"/>
        <w:ind w:hanging="0" w:start="0"/>
        <w:rPr>
          <w:rFonts w:ascii="Calibri" w:hAnsi="Calibri" w:cs="Calibri"/>
        </w:rPr>
      </w:pPr>
      <w:r>
        <w:rPr>
          <w:rFonts w:cs="Calibri" w:ascii="Calibri" w:hAnsi="Calibri"/>
        </w:rPr>
      </w:r>
    </w:p>
    <w:p>
      <w:pPr>
        <w:pStyle w:val="Normal"/>
        <w:rPr>
          <w:rFonts w:ascii="Calibri" w:hAnsi="Calibri" w:cs="Calibri"/>
        </w:rPr>
      </w:pPr>
      <w:r>
        <w:rPr>
          <w:rFonts w:cs="Calibri" w:ascii="Calibri" w:hAnsi="Calibri"/>
        </w:rPr>
      </w:r>
    </w:p>
    <w:p>
      <w:pPr>
        <w:pStyle w:val="Normal"/>
        <w:rPr>
          <w:rFonts w:ascii="Calibri" w:hAnsi="Calibri" w:cs="Calibri"/>
        </w:rPr>
      </w:pPr>
      <w:r>
        <w:rPr>
          <w:rFonts w:cs="Calibri" w:ascii="Calibri" w:hAnsi="Calibri"/>
        </w:rPr>
      </w:r>
    </w:p>
    <w:p>
      <w:pPr>
        <w:pStyle w:val="Normal"/>
        <w:rPr>
          <w:rFonts w:ascii="Calibri" w:hAnsi="Calibri" w:cs="Calibri"/>
        </w:rPr>
      </w:pPr>
      <w:r>
        <w:rPr>
          <w:rFonts w:cs="Calibri" w:ascii="Calibri" w:hAnsi="Calibri"/>
        </w:rPr>
      </w:r>
    </w:p>
    <w:p>
      <w:pPr>
        <w:pStyle w:val="Normal"/>
        <w:rPr>
          <w:rFonts w:ascii="Calibri" w:hAnsi="Calibri" w:cs="Calibri"/>
        </w:rPr>
      </w:pPr>
      <w:r>
        <w:rPr>
          <w:rFonts w:cs="Calibri" w:ascii="Calibri" w:hAnsi="Calibri"/>
        </w:rPr>
      </w:r>
    </w:p>
    <w:p>
      <w:pPr>
        <w:pStyle w:val="Heading"/>
        <w:jc w:val="start"/>
        <w:rPr>
          <w:rFonts w:ascii="Calibri" w:hAnsi="Calibri" w:cs="Calibri"/>
          <w:lang w:val="it-IT"/>
        </w:rPr>
      </w:pPr>
      <w:r>
        <w:rPr>
          <w:rFonts w:cs="Calibri" w:ascii="Calibri" w:hAnsi="Calibri"/>
          <w:lang w:val="it-IT"/>
        </w:rPr>
      </w:r>
    </w:p>
    <w:p>
      <w:pPr>
        <w:pStyle w:val="Normal"/>
        <w:rPr>
          <w:rFonts w:ascii="Calibri" w:hAnsi="Calibri" w:cs="Calibri"/>
          <w:lang w:val="it-IT"/>
        </w:rPr>
      </w:pPr>
      <w:r>
        <w:rPr>
          <w:rFonts w:cs="Calibri" w:ascii="Calibri" w:hAnsi="Calibri"/>
          <w:lang w:val="it-IT"/>
        </w:rPr>
      </w:r>
    </w:p>
    <w:p>
      <w:pPr>
        <w:pStyle w:val="Heading"/>
        <w:jc w:val="start"/>
        <w:rPr>
          <w:rFonts w:ascii="Calibri" w:hAnsi="Calibri" w:cs="Calibri"/>
        </w:rPr>
      </w:pPr>
      <w:bookmarkStart w:id="3" w:name="__RefHeading___Toc536546693"/>
      <w:bookmarkEnd w:id="3"/>
      <w:r>
        <w:rPr>
          <w:rFonts w:cs="Calibri" w:ascii="Calibri" w:hAnsi="Calibri"/>
        </w:rPr>
        <w:t>RESPONSABILE SERVIZIO AMMINISTRAZIONE (AMM)</w:t>
      </w:r>
    </w:p>
    <w:p>
      <w:pPr>
        <w:pStyle w:val="Normal"/>
        <w:jc w:val="both"/>
        <w:rPr>
          <w:rFonts w:ascii="Calibri" w:hAnsi="Calibri" w:cs="Calibri"/>
        </w:rPr>
      </w:pPr>
      <w:r>
        <w:rPr>
          <w:rFonts w:cs="Calibri" w:ascii="Calibri" w:hAnsi="Calibri"/>
        </w:rPr>
      </w:r>
    </w:p>
    <w:p>
      <w:pPr>
        <w:pStyle w:val="Normal"/>
        <w:jc w:val="both"/>
        <w:rPr/>
      </w:pPr>
      <w:r>
        <w:rPr>
          <w:rFonts w:cs="Calibri" w:ascii="Calibri" w:hAnsi="Calibri"/>
          <w:sz w:val="24"/>
          <w:szCs w:val="24"/>
        </w:rPr>
        <w:t>La Funzione amministrazione ha il compito di amministrare le vendite (gestione vendite, fatture, compilazione scadenziari) e gli acquisti (ricevimento bolle e fatture, compilazione scadenziari).</w:t>
      </w:r>
    </w:p>
    <w:p>
      <w:pPr>
        <w:pStyle w:val="Normal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</w:r>
    </w:p>
    <w:p>
      <w:pPr>
        <w:pStyle w:val="Normal"/>
        <w:jc w:val="both"/>
        <w:rPr/>
      </w:pPr>
      <w:r>
        <w:rPr>
          <w:rFonts w:cs="Calibri" w:ascii="Calibri" w:hAnsi="Calibri"/>
          <w:sz w:val="24"/>
          <w:szCs w:val="24"/>
        </w:rPr>
        <w:t>La Funzione amministrazione ha il compito di gestire i dati contabili, di garantirne esattezza e veridicità, e di assicurare la corretta gestione contabile ed amministrativa dell’azienda.</w:t>
      </w:r>
    </w:p>
    <w:p>
      <w:pPr>
        <w:pStyle w:val="Normal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</w:r>
    </w:p>
    <w:p>
      <w:pPr>
        <w:pStyle w:val="Normal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>Propone ed attua indirizzi ed azioni per il costante miglioramento delle attività di competenza.</w:t>
      </w:r>
    </w:p>
    <w:p>
      <w:pPr>
        <w:pStyle w:val="BodyText"/>
        <w:tabs>
          <w:tab w:val="clear" w:pos="567"/>
          <w:tab w:val="clear" w:pos="1134"/>
          <w:tab w:val="clear" w:pos="1701"/>
        </w:tabs>
        <w:rPr>
          <w:rFonts w:ascii="Calibri" w:hAnsi="Calibri" w:cs="Calibri"/>
          <w:caps w:val="false"/>
          <w:smallCaps w:val="false"/>
          <w:sz w:val="24"/>
          <w:szCs w:val="24"/>
        </w:rPr>
      </w:pPr>
      <w:r>
        <w:rPr>
          <w:rFonts w:cs="Calibri" w:ascii="Calibri" w:hAnsi="Calibri"/>
          <w:caps w:val="false"/>
          <w:smallCaps w:val="false"/>
          <w:sz w:val="24"/>
          <w:szCs w:val="24"/>
        </w:rPr>
      </w:r>
    </w:p>
    <w:p>
      <w:pPr>
        <w:pStyle w:val="BodyText"/>
        <w:tabs>
          <w:tab w:val="clear" w:pos="567"/>
          <w:tab w:val="clear" w:pos="1134"/>
          <w:tab w:val="clear" w:pos="1701"/>
        </w:tabs>
        <w:rPr>
          <w:rFonts w:ascii="Calibri" w:hAnsi="Calibri" w:cs="Calibri"/>
          <w:caps w:val="false"/>
          <w:smallCaps w:val="false"/>
          <w:szCs w:val="24"/>
        </w:rPr>
      </w:pPr>
      <w:r>
        <w:rPr>
          <w:rFonts w:cs="Calibri" w:ascii="Calibri" w:hAnsi="Calibri"/>
          <w:caps w:val="false"/>
          <w:smallCaps w:val="false"/>
          <w:szCs w:val="24"/>
        </w:rPr>
        <w:t>AMM inoltre coadiuva DGE e SER nella gestione delle attività relative all’addestramento del personale, curandone la registrazione in apposita modulistica.</w:t>
      </w:r>
    </w:p>
    <w:p>
      <w:pPr>
        <w:pStyle w:val="BodyText"/>
        <w:tabs>
          <w:tab w:val="clear" w:pos="567"/>
          <w:tab w:val="clear" w:pos="1134"/>
          <w:tab w:val="clear" w:pos="1701"/>
        </w:tabs>
        <w:rPr>
          <w:rFonts w:ascii="Calibri" w:hAnsi="Calibri" w:cs="Calibri"/>
          <w:caps w:val="false"/>
          <w:smallCaps w:val="false"/>
          <w:szCs w:val="24"/>
        </w:rPr>
      </w:pPr>
      <w:r>
        <w:rPr>
          <w:rFonts w:cs="Calibri" w:ascii="Calibri" w:hAnsi="Calibri"/>
          <w:caps w:val="false"/>
          <w:smallCaps w:val="false"/>
          <w:szCs w:val="24"/>
        </w:rPr>
      </w:r>
    </w:p>
    <w:p>
      <w:pPr>
        <w:pStyle w:val="BodyText"/>
        <w:tabs>
          <w:tab w:val="clear" w:pos="567"/>
          <w:tab w:val="clear" w:pos="1134"/>
          <w:tab w:val="clear" w:pos="1701"/>
        </w:tabs>
        <w:rPr>
          <w:rFonts w:ascii="Calibri" w:hAnsi="Calibri" w:cs="Calibri"/>
          <w:caps w:val="false"/>
          <w:smallCaps w:val="false"/>
          <w:szCs w:val="24"/>
        </w:rPr>
      </w:pPr>
      <w:r>
        <w:rPr>
          <w:rFonts w:cs="Calibri" w:ascii="Calibri" w:hAnsi="Calibri"/>
          <w:caps w:val="false"/>
          <w:smallCaps w:val="false"/>
          <w:szCs w:val="24"/>
        </w:rPr>
        <w:t>Collabora con DGE nella registrazione delle attività di manutenzioni sui mezzi e sulle attrezzature.</w:t>
      </w:r>
    </w:p>
    <w:p>
      <w:pPr>
        <w:pStyle w:val="Header"/>
        <w:tabs>
          <w:tab w:val="clear" w:pos="4819"/>
          <w:tab w:val="clear" w:pos="9638"/>
        </w:tabs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>Periodicamente ha il compito di analizzare e sottoporre all’attenzione della Direzione i dati necessari ad effettuare analisi statistiche relativamente ai dati finanziari.</w:t>
      </w:r>
    </w:p>
    <w:p>
      <w:pPr>
        <w:pStyle w:val="Header"/>
        <w:tabs>
          <w:tab w:val="clear" w:pos="4819"/>
          <w:tab w:val="clear" w:pos="9638"/>
        </w:tabs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</w:r>
    </w:p>
    <w:p>
      <w:pPr>
        <w:pStyle w:val="Header"/>
        <w:tabs>
          <w:tab w:val="clear" w:pos="4819"/>
          <w:tab w:val="clear" w:pos="9638"/>
        </w:tabs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>Il responsabile predispone la stima dei consumi delle risorse energetiche annue e predispone, a fine esercizio, il consuntivo al fine di verificare le prestazioni aziendali in tema di contenimento dei consumi energetici.</w:t>
      </w:r>
    </w:p>
    <w:p>
      <w:pPr>
        <w:pStyle w:val="Heading1"/>
        <w:ind w:hanging="0" w:start="0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</w:r>
    </w:p>
    <w:p>
      <w:pPr>
        <w:pStyle w:val="Heading1"/>
        <w:ind w:hanging="0" w:start="0"/>
        <w:rPr>
          <w:rFonts w:ascii="Calibri" w:hAnsi="Calibri" w:cs="Calibri"/>
        </w:rPr>
      </w:pPr>
      <w:r>
        <w:rPr>
          <w:rFonts w:cs="Calibri" w:ascii="Calibri" w:hAnsi="Calibri"/>
        </w:rPr>
      </w:r>
    </w:p>
    <w:p>
      <w:pPr>
        <w:pStyle w:val="Heading1"/>
        <w:ind w:hanging="0" w:start="0"/>
        <w:rPr>
          <w:rFonts w:ascii="Calibri" w:hAnsi="Calibri" w:cs="Calibri"/>
        </w:rPr>
      </w:pPr>
      <w:r>
        <w:rPr>
          <w:rFonts w:cs="Calibri" w:ascii="Calibri" w:hAnsi="Calibri"/>
        </w:rPr>
      </w:r>
    </w:p>
    <w:p>
      <w:pPr>
        <w:pStyle w:val="Heading1"/>
        <w:ind w:hanging="0" w:start="0"/>
        <w:rPr>
          <w:rFonts w:ascii="Calibri" w:hAnsi="Calibri" w:cs="Calibri"/>
        </w:rPr>
      </w:pPr>
      <w:r>
        <w:rPr>
          <w:rFonts w:cs="Calibri" w:ascii="Calibri" w:hAnsi="Calibri"/>
        </w:rPr>
      </w:r>
    </w:p>
    <w:p>
      <w:pPr>
        <w:pStyle w:val="Heading1"/>
        <w:ind w:hanging="0" w:start="0"/>
        <w:rPr>
          <w:rFonts w:ascii="Calibri" w:hAnsi="Calibri" w:cs="Calibri"/>
        </w:rPr>
      </w:pPr>
      <w:r>
        <w:rPr>
          <w:rFonts w:cs="Calibri" w:ascii="Calibri" w:hAnsi="Calibri"/>
        </w:rPr>
      </w:r>
    </w:p>
    <w:p>
      <w:pPr>
        <w:pStyle w:val="Heading1"/>
        <w:ind w:hanging="0" w:start="0"/>
        <w:rPr>
          <w:rFonts w:ascii="Calibri" w:hAnsi="Calibri" w:cs="Calibri"/>
        </w:rPr>
      </w:pPr>
      <w:r>
        <w:rPr>
          <w:rFonts w:cs="Calibri" w:ascii="Calibri" w:hAnsi="Calibri"/>
        </w:rPr>
      </w:r>
    </w:p>
    <w:p>
      <w:pPr>
        <w:pStyle w:val="Heading1"/>
        <w:ind w:hanging="0" w:start="0"/>
        <w:rPr>
          <w:rFonts w:ascii="Calibri" w:hAnsi="Calibri" w:cs="Calibri"/>
        </w:rPr>
      </w:pPr>
      <w:r>
        <w:rPr>
          <w:rFonts w:cs="Calibri" w:ascii="Calibri" w:hAnsi="Calibri"/>
        </w:rPr>
      </w:r>
    </w:p>
    <w:p>
      <w:pPr>
        <w:pStyle w:val="Heading1"/>
        <w:ind w:hanging="0" w:start="0"/>
        <w:rPr>
          <w:rFonts w:ascii="Calibri" w:hAnsi="Calibri" w:cs="Calibri"/>
        </w:rPr>
      </w:pPr>
      <w:r>
        <w:rPr>
          <w:rFonts w:cs="Calibri" w:ascii="Calibri" w:hAnsi="Calibri"/>
        </w:rPr>
      </w:r>
    </w:p>
    <w:p>
      <w:pPr>
        <w:pStyle w:val="Heading1"/>
        <w:ind w:hanging="0" w:start="0"/>
        <w:rPr>
          <w:rFonts w:ascii="Calibri" w:hAnsi="Calibri" w:cs="Calibri"/>
        </w:rPr>
      </w:pPr>
      <w:r>
        <w:rPr>
          <w:rFonts w:cs="Calibri" w:ascii="Calibri" w:hAnsi="Calibri"/>
        </w:rPr>
      </w:r>
    </w:p>
    <w:p>
      <w:pPr>
        <w:pStyle w:val="Heading1"/>
        <w:ind w:hanging="0" w:start="0"/>
        <w:rPr>
          <w:rFonts w:ascii="Calibri" w:hAnsi="Calibri" w:cs="Calibri"/>
        </w:rPr>
      </w:pPr>
      <w:r>
        <w:rPr>
          <w:rFonts w:cs="Calibri" w:ascii="Calibri" w:hAnsi="Calibri"/>
        </w:rPr>
      </w:r>
    </w:p>
    <w:p>
      <w:pPr>
        <w:pStyle w:val="Heading1"/>
        <w:ind w:hanging="0" w:start="0"/>
        <w:rPr>
          <w:rFonts w:ascii="Calibri" w:hAnsi="Calibri" w:cs="Calibri"/>
        </w:rPr>
      </w:pPr>
      <w:r>
        <w:rPr>
          <w:rFonts w:cs="Calibri" w:ascii="Calibri" w:hAnsi="Calibri"/>
        </w:rPr>
      </w:r>
    </w:p>
    <w:p>
      <w:pPr>
        <w:pStyle w:val="Heading1"/>
        <w:ind w:hanging="0" w:start="0"/>
        <w:rPr>
          <w:rFonts w:ascii="Calibri" w:hAnsi="Calibri" w:cs="Calibri"/>
        </w:rPr>
      </w:pPr>
      <w:r>
        <w:rPr>
          <w:rFonts w:cs="Calibri" w:ascii="Calibri" w:hAnsi="Calibri"/>
        </w:rPr>
      </w:r>
    </w:p>
    <w:p>
      <w:pPr>
        <w:pStyle w:val="Heading1"/>
        <w:ind w:hanging="0" w:start="0"/>
        <w:rPr>
          <w:rFonts w:ascii="Calibri" w:hAnsi="Calibri" w:cs="Calibri"/>
        </w:rPr>
      </w:pPr>
      <w:r>
        <w:rPr>
          <w:rFonts w:cs="Calibri" w:ascii="Calibri" w:hAnsi="Calibri"/>
        </w:rPr>
      </w:r>
    </w:p>
    <w:p>
      <w:pPr>
        <w:pStyle w:val="Heading1"/>
        <w:ind w:hanging="0" w:start="0"/>
        <w:rPr>
          <w:rFonts w:ascii="Calibri" w:hAnsi="Calibri" w:cs="Calibri"/>
        </w:rPr>
      </w:pPr>
      <w:r>
        <w:rPr>
          <w:rFonts w:cs="Calibri" w:ascii="Calibri" w:hAnsi="Calibri"/>
        </w:rPr>
      </w:r>
    </w:p>
    <w:p>
      <w:pPr>
        <w:pStyle w:val="Heading1"/>
        <w:ind w:hanging="0" w:start="0"/>
        <w:rPr>
          <w:rFonts w:ascii="Calibri" w:hAnsi="Calibri" w:cs="Calibri"/>
        </w:rPr>
      </w:pPr>
      <w:r>
        <w:rPr>
          <w:rFonts w:cs="Calibri" w:ascii="Calibri" w:hAnsi="Calibri"/>
        </w:rPr>
      </w:r>
    </w:p>
    <w:p>
      <w:pPr>
        <w:pStyle w:val="Heading1"/>
        <w:ind w:hanging="0" w:start="0"/>
        <w:rPr>
          <w:rFonts w:ascii="Calibri" w:hAnsi="Calibri" w:cs="Calibri"/>
        </w:rPr>
      </w:pPr>
      <w:r>
        <w:rPr>
          <w:rFonts w:cs="Calibri" w:ascii="Calibri" w:hAnsi="Calibri"/>
        </w:rPr>
      </w:r>
    </w:p>
    <w:p>
      <w:pPr>
        <w:pStyle w:val="Heading1"/>
        <w:ind w:hanging="0" w:start="0"/>
        <w:rPr>
          <w:rFonts w:ascii="Calibri" w:hAnsi="Calibri" w:cs="Calibri"/>
        </w:rPr>
      </w:pPr>
      <w:r>
        <w:rPr>
          <w:rFonts w:cs="Calibri" w:ascii="Calibri" w:hAnsi="Calibri"/>
        </w:rPr>
      </w:r>
    </w:p>
    <w:p>
      <w:pPr>
        <w:pStyle w:val="Heading1"/>
        <w:ind w:hanging="0" w:start="0"/>
        <w:rPr>
          <w:rFonts w:ascii="Calibri" w:hAnsi="Calibri" w:cs="Calibri"/>
        </w:rPr>
      </w:pPr>
      <w:r>
        <w:rPr>
          <w:rFonts w:cs="Calibri" w:ascii="Calibri" w:hAnsi="Calibri"/>
        </w:rPr>
        <w:br/>
      </w:r>
    </w:p>
    <w:p>
      <w:pPr>
        <w:pStyle w:val="Normal"/>
        <w:rPr>
          <w:rFonts w:ascii="Calibri" w:hAnsi="Calibri" w:cs="Calibri"/>
        </w:rPr>
      </w:pPr>
      <w:r>
        <w:rPr>
          <w:rFonts w:cs="Calibri" w:ascii="Calibri" w:hAnsi="Calibri"/>
        </w:rPr>
      </w:r>
    </w:p>
    <w:p>
      <w:pPr>
        <w:pStyle w:val="Normal"/>
        <w:rPr>
          <w:rFonts w:ascii="Calibri" w:hAnsi="Calibri" w:cs="Calibri"/>
        </w:rPr>
      </w:pPr>
      <w:r>
        <w:rPr>
          <w:rFonts w:cs="Calibri" w:ascii="Calibri" w:hAnsi="Calibri"/>
        </w:rPr>
      </w:r>
    </w:p>
    <w:p>
      <w:pPr>
        <w:pStyle w:val="Heading"/>
        <w:jc w:val="start"/>
        <w:rPr/>
      </w:pPr>
      <w:bookmarkStart w:id="4" w:name="__RefHeading___Toc536546694"/>
      <w:bookmarkEnd w:id="4"/>
      <w:r>
        <w:rPr>
          <w:rFonts w:cs="Calibri" w:ascii="Calibri" w:hAnsi="Calibri"/>
        </w:rPr>
        <w:t>RESPONSABILE SERVIZIO COMMERCIALE E MARKETING (COM)</w:t>
      </w:r>
    </w:p>
    <w:p>
      <w:pPr>
        <w:pStyle w:val="Corpodeltesto3"/>
        <w:rPr>
          <w:rFonts w:ascii="Calibri" w:hAnsi="Calibri" w:cs="Calibri"/>
        </w:rPr>
      </w:pPr>
      <w:r>
        <w:rPr>
          <w:rFonts w:cs="Calibri" w:ascii="Calibri" w:hAnsi="Calibri"/>
        </w:rPr>
      </w:r>
    </w:p>
    <w:p>
      <w:pPr>
        <w:pStyle w:val="Corpodeltesto3"/>
        <w:rPr/>
      </w:pPr>
      <w:r>
        <w:rPr>
          <w:rFonts w:cs="Calibri" w:ascii="Calibri" w:hAnsi="Calibri"/>
          <w:sz w:val="24"/>
          <w:szCs w:val="24"/>
        </w:rPr>
        <w:t>Il responsabile commerciale si occupa della gestione documentale delle trattative commerciali con i Clienti, dall’acquisizione delle richieste Clienti all’emissione, alla conservazione e all’archiviazione della documentazione che si genera in queste fasi:</w:t>
      </w:r>
    </w:p>
    <w:p>
      <w:pPr>
        <w:pStyle w:val="Normal"/>
        <w:numPr>
          <w:ilvl w:val="0"/>
          <w:numId w:val="5"/>
        </w:numPr>
        <w:spacing w:before="120" w:after="0"/>
        <w:ind w:hanging="0" w:start="0" w:end="0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>raccoglie le richieste dei Clienti;</w:t>
      </w:r>
    </w:p>
    <w:p>
      <w:pPr>
        <w:pStyle w:val="Normal"/>
        <w:numPr>
          <w:ilvl w:val="0"/>
          <w:numId w:val="5"/>
        </w:numPr>
        <w:spacing w:before="120" w:after="0"/>
        <w:ind w:hanging="0" w:start="0" w:end="0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>in collaborazione con DGE e ACQ effettua le indagini fornitori per la predisposizione dei preventivi cliente / listini prezzi;</w:t>
      </w:r>
    </w:p>
    <w:p>
      <w:pPr>
        <w:pStyle w:val="Normal"/>
        <w:numPr>
          <w:ilvl w:val="0"/>
          <w:numId w:val="5"/>
        </w:numPr>
        <w:spacing w:before="120" w:after="0"/>
        <w:ind w:hanging="0" w:start="0" w:end="0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>predispone il documento di offerta/preventivo e ne tiene registrazione;</w:t>
      </w:r>
    </w:p>
    <w:p>
      <w:pPr>
        <w:pStyle w:val="Rientrocorpodeltesto3"/>
        <w:numPr>
          <w:ilvl w:val="0"/>
          <w:numId w:val="6"/>
        </w:numPr>
        <w:jc w:val="both"/>
        <w:rPr>
          <w:rFonts w:ascii="Calibri" w:hAnsi="Calibri" w:cs="Calibri"/>
          <w:szCs w:val="24"/>
        </w:rPr>
      </w:pPr>
      <w:r>
        <w:rPr>
          <w:rFonts w:cs="Calibri" w:ascii="Calibri" w:hAnsi="Calibri"/>
          <w:szCs w:val="24"/>
        </w:rPr>
        <w:t>conserva tutta la documentazione che si genera nella predisposizione delle offerte/preventivi e più in generale di natura contrattuale in appositi raccoglitori;</w:t>
      </w:r>
    </w:p>
    <w:p>
      <w:pPr>
        <w:pStyle w:val="Rientrocorpodeltesto3"/>
        <w:numPr>
          <w:ilvl w:val="0"/>
          <w:numId w:val="8"/>
        </w:numPr>
        <w:tabs>
          <w:tab w:val="clear" w:pos="708"/>
          <w:tab w:val="left" w:pos="426" w:leader="none"/>
        </w:tabs>
        <w:ind w:hanging="927" w:start="927" w:end="0"/>
        <w:jc w:val="both"/>
        <w:rPr>
          <w:rFonts w:ascii="Calibri" w:hAnsi="Calibri" w:cs="Calibri"/>
          <w:szCs w:val="24"/>
        </w:rPr>
      </w:pPr>
      <w:r>
        <w:rPr>
          <w:rFonts w:cs="Calibri" w:ascii="Calibri" w:hAnsi="Calibri"/>
          <w:szCs w:val="24"/>
        </w:rPr>
        <w:t>gestisce eventuali problemi e le modifiche contrattuali VARIANTI, coordinando in questo senso il DGE;</w:t>
      </w:r>
    </w:p>
    <w:p>
      <w:pPr>
        <w:pStyle w:val="Rientrocorpodeltesto3"/>
        <w:numPr>
          <w:ilvl w:val="0"/>
          <w:numId w:val="8"/>
        </w:numPr>
        <w:tabs>
          <w:tab w:val="clear" w:pos="708"/>
          <w:tab w:val="left" w:pos="426" w:leader="none"/>
        </w:tabs>
        <w:ind w:hanging="284" w:start="284" w:end="0"/>
        <w:jc w:val="both"/>
        <w:rPr>
          <w:rFonts w:ascii="Calibri" w:hAnsi="Calibri" w:cs="Calibri"/>
          <w:szCs w:val="24"/>
        </w:rPr>
      </w:pPr>
      <w:r>
        <w:rPr>
          <w:rFonts w:cs="Calibri" w:ascii="Calibri" w:hAnsi="Calibri"/>
          <w:szCs w:val="24"/>
        </w:rPr>
        <w:t xml:space="preserve">ha il compito di registrare eventuali Non conformità rilevate sul </w:t>
      </w:r>
      <w:r>
        <w:rPr>
          <w:rFonts w:cs="Calibri" w:ascii="Calibri" w:hAnsi="Calibri"/>
          <w:b/>
          <w:szCs w:val="24"/>
        </w:rPr>
        <w:t>Mod. Rapporto di Non Conformità</w:t>
      </w:r>
      <w:r>
        <w:rPr>
          <w:rFonts w:cs="Calibri" w:ascii="Calibri" w:hAnsi="Calibri"/>
          <w:szCs w:val="24"/>
        </w:rPr>
        <w:t xml:space="preserve"> e successivamente di consegnarlo a RQ.</w:t>
      </w:r>
    </w:p>
    <w:p>
      <w:pPr>
        <w:pStyle w:val="Heading1"/>
        <w:ind w:hanging="0" w:start="0"/>
        <w:rPr>
          <w:rFonts w:ascii="Calibri" w:hAnsi="Calibri" w:cs="Calibri"/>
          <w:szCs w:val="24"/>
        </w:rPr>
      </w:pPr>
      <w:r>
        <w:rPr>
          <w:rFonts w:cs="Calibri" w:ascii="Calibri" w:hAnsi="Calibri"/>
          <w:szCs w:val="24"/>
        </w:rPr>
      </w:r>
    </w:p>
    <w:p>
      <w:pPr>
        <w:pStyle w:val="Normal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>Il responsabile del Marketing ha le seguenti responsabilità:</w:t>
      </w:r>
    </w:p>
    <w:p>
      <w:pPr>
        <w:pStyle w:val="Normal"/>
        <w:jc w:val="both"/>
        <w:rPr/>
      </w:pPr>
      <w:r>
        <w:rPr>
          <w:rFonts w:cs="Calibri" w:ascii="Calibri" w:hAnsi="Calibri"/>
          <w:sz w:val="24"/>
          <w:szCs w:val="24"/>
        </w:rPr>
        <w:t xml:space="preserve">- Collaborare allo sviluppo aziendale attraverso incisive iniziative di promozione dei prodotti e dell’immagine della Azienda tenendo in conto degli aspetti aziendali che l’azienda ha incluso nella propria politica ambientale; </w:t>
      </w:r>
    </w:p>
    <w:p>
      <w:pPr>
        <w:pStyle w:val="Normal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>- Operare nel rispetto delle direttive ricevute, dei piani approvati, delle politiche e procedure aziendali;</w:t>
      </w:r>
    </w:p>
    <w:p>
      <w:pPr>
        <w:pStyle w:val="Normal"/>
        <w:jc w:val="both"/>
        <w:rPr/>
      </w:pPr>
      <w:r>
        <w:rPr>
          <w:rFonts w:cs="Calibri" w:ascii="Calibri" w:hAnsi="Calibri"/>
          <w:sz w:val="24"/>
          <w:szCs w:val="24"/>
        </w:rPr>
        <w:t>- Assicurare la regolarità, la ambiente e la tempistica delle azioni necessarie per lo sviluppo del mercato;</w:t>
      </w:r>
    </w:p>
    <w:p>
      <w:pPr>
        <w:pStyle w:val="Normal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 xml:space="preserve">- Gestire le attività del settore di cui ha la responsabilità, i rapporti con gli enti esterni e  con gli altri settori aziendali e di gruppo; </w:t>
      </w:r>
    </w:p>
    <w:p>
      <w:pPr>
        <w:pStyle w:val="Normal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>- Assicurare l’attuazione delle direttive e dei piani concordati nei termini previsti, mediante la gestione efficiente ed efficace delle risorse umane e tecniche di cui ha la responsabilità.</w:t>
      </w:r>
    </w:p>
    <w:p>
      <w:pPr>
        <w:pStyle w:val="Normal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</w:r>
    </w:p>
    <w:p>
      <w:pPr>
        <w:pStyle w:val="Normal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>Il responsabile marketing deve:</w:t>
      </w:r>
    </w:p>
    <w:p>
      <w:pPr>
        <w:pStyle w:val="Normal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>- conoscere gli obiettivi e le politiche aziendali in tema di ambiente;</w:t>
      </w:r>
    </w:p>
    <w:p>
      <w:pPr>
        <w:pStyle w:val="Normal"/>
        <w:jc w:val="both"/>
        <w:rPr/>
      </w:pPr>
      <w:r>
        <w:rPr>
          <w:rFonts w:cs="Calibri" w:ascii="Calibri" w:hAnsi="Calibri"/>
          <w:sz w:val="24"/>
          <w:szCs w:val="24"/>
        </w:rPr>
        <w:t xml:space="preserve">- redigere il piano annuale di marketing, proponendo obiettivi di volume, quota e margine, interventi sulle componenti del marketing mix, azioni nelle aree della promozione, dell’adversiting, della distribuzione e delle vendite; </w:t>
      </w:r>
    </w:p>
    <w:p>
      <w:pPr>
        <w:pStyle w:val="Normal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 xml:space="preserve">- attuare l’esecuzione dei piani approvati e programmare, attivare e controllare l’andamento delle operazioni </w:t>
      </w:r>
    </w:p>
    <w:p>
      <w:pPr>
        <w:pStyle w:val="Normal"/>
        <w:jc w:val="both"/>
        <w:rPr/>
      </w:pPr>
      <w:r>
        <w:rPr>
          <w:rFonts w:cs="Calibri" w:ascii="Calibri" w:hAnsi="Calibri"/>
          <w:sz w:val="24"/>
          <w:szCs w:val="24"/>
        </w:rPr>
        <w:t xml:space="preserve">- realizzare attività di promozione e pubblicità tenendo in conto delle relative politiche ambientali </w:t>
      </w:r>
    </w:p>
    <w:p>
      <w:pPr>
        <w:pStyle w:val="Normal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 xml:space="preserve">- proporre fornitori e interlocutori validi per la realizzazione dei piani e gestirne le attività, i costi e i risultati </w:t>
      </w:r>
    </w:p>
    <w:p>
      <w:pPr>
        <w:pStyle w:val="Normal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>- curare e mantenere i rapporti con enti esterni pertinenti alla responsabilità assegnata e con gli interlocutori</w:t>
      </w:r>
    </w:p>
    <w:p>
      <w:pPr>
        <w:pStyle w:val="Normal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 xml:space="preserve">- controllare l’aderenza dei risultati agli obiettivi prefissati e proporre correzioni per modificare scostamenti e trend negativi </w:t>
      </w:r>
    </w:p>
    <w:p>
      <w:pPr>
        <w:pStyle w:val="Normal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 xml:space="preserve">- controllare e valutare i trend di mercato e le attività della concorrenza e proporre azioni aziendali appropriate </w:t>
      </w:r>
    </w:p>
    <w:p>
      <w:pPr>
        <w:pStyle w:val="Normal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 xml:space="preserve">- coordinare le attività dell’area marketing </w:t>
      </w:r>
    </w:p>
    <w:p>
      <w:pPr>
        <w:pStyle w:val="Normal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 xml:space="preserve">- collaborare  a mantenere e migliorare la motivazione e la professionalità dei collaboratori, assegnando compiti, promuovendone la competenza professionale, dando appropriato sostegno nelle difficoltà e nella valutazione dei risultati </w:t>
      </w:r>
    </w:p>
    <w:p>
      <w:pPr>
        <w:pStyle w:val="Normal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>- relazionare periodicamente il diretto superiore sul settore si responsabilità, concordando e applicando miglioramenti e rettifiche alle linee di condotta.</w:t>
      </w:r>
    </w:p>
    <w:p>
      <w:pPr>
        <w:pStyle w:val="Normal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</w:r>
    </w:p>
    <w:p>
      <w:pPr>
        <w:pStyle w:val="Heading"/>
        <w:jc w:val="start"/>
        <w:rPr>
          <w:rFonts w:ascii="Calibri" w:hAnsi="Calibri" w:cs="Calibri"/>
        </w:rPr>
      </w:pPr>
      <w:r>
        <w:rPr>
          <w:rFonts w:cs="Calibri" w:ascii="Calibri" w:hAnsi="Calibri"/>
        </w:rPr>
      </w:r>
    </w:p>
    <w:p>
      <w:pPr>
        <w:pStyle w:val="Normal"/>
        <w:rPr>
          <w:rFonts w:ascii="Calibri" w:hAnsi="Calibri" w:cs="Calibri"/>
        </w:rPr>
      </w:pPr>
      <w:r>
        <w:rPr>
          <w:rFonts w:cs="Calibri" w:ascii="Calibri" w:hAnsi="Calibri"/>
        </w:rPr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Heading"/>
        <w:jc w:val="start"/>
        <w:rPr>
          <w:rFonts w:ascii="Calibri" w:hAnsi="Calibri" w:cs="Calibri"/>
        </w:rPr>
      </w:pPr>
      <w:bookmarkStart w:id="5" w:name="__RefHeading___Toc536546695"/>
      <w:bookmarkEnd w:id="5"/>
      <w:r>
        <w:rPr>
          <w:rFonts w:cs="Calibri" w:ascii="Calibri" w:hAnsi="Calibri"/>
        </w:rPr>
        <w:t>RESPONSABILE SERVIZIO ACQUISTI (ACQ)</w:t>
      </w:r>
    </w:p>
    <w:p>
      <w:pPr>
        <w:pStyle w:val="BodyText"/>
        <w:tabs>
          <w:tab w:val="clear" w:pos="567"/>
          <w:tab w:val="clear" w:pos="1134"/>
          <w:tab w:val="clear" w:pos="1701"/>
          <w:tab w:val="left" w:pos="851" w:leader="none"/>
        </w:tabs>
        <w:rPr>
          <w:rFonts w:ascii="Calibri" w:hAnsi="Calibri" w:cs="Calibri"/>
          <w:caps w:val="false"/>
          <w:smallCaps w:val="false"/>
          <w:sz w:val="20"/>
        </w:rPr>
      </w:pPr>
      <w:r>
        <w:rPr>
          <w:rFonts w:cs="Calibri" w:ascii="Calibri" w:hAnsi="Calibri"/>
          <w:caps w:val="false"/>
          <w:smallCaps w:val="false"/>
          <w:sz w:val="20"/>
        </w:rPr>
      </w:r>
    </w:p>
    <w:p>
      <w:pPr>
        <w:pStyle w:val="BodyText"/>
        <w:tabs>
          <w:tab w:val="clear" w:pos="567"/>
          <w:tab w:val="clear" w:pos="1134"/>
          <w:tab w:val="clear" w:pos="1701"/>
          <w:tab w:val="left" w:pos="851" w:leader="none"/>
        </w:tabs>
        <w:rPr>
          <w:rFonts w:ascii="Calibri" w:hAnsi="Calibri" w:cs="Calibri"/>
          <w:caps w:val="false"/>
          <w:smallCaps w:val="false"/>
          <w:szCs w:val="24"/>
        </w:rPr>
      </w:pPr>
      <w:r>
        <w:rPr>
          <w:rFonts w:cs="Calibri" w:ascii="Calibri" w:hAnsi="Calibri"/>
          <w:caps w:val="false"/>
          <w:smallCaps w:val="false"/>
          <w:szCs w:val="24"/>
        </w:rPr>
        <w:t>Il Responsabile Acquisti ha la responsabilità di:</w:t>
      </w:r>
    </w:p>
    <w:p>
      <w:pPr>
        <w:pStyle w:val="Normal"/>
        <w:numPr>
          <w:ilvl w:val="0"/>
          <w:numId w:val="9"/>
        </w:numPr>
        <w:spacing w:before="120" w:after="0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>valutare, selezionare e monitorare nel tempo i fornitori di materiali, attrezzature e di servizi professionali aventi diretta influenza sulla ambiente dei servizi forniti;</w:t>
      </w:r>
    </w:p>
    <w:p>
      <w:pPr>
        <w:pStyle w:val="Normal"/>
        <w:numPr>
          <w:ilvl w:val="0"/>
          <w:numId w:val="9"/>
        </w:numPr>
        <w:spacing w:before="120" w:after="0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 xml:space="preserve">richiedere preventivi, predisporre, verificare, firmare ed emettere, nel rispetto delle normative di riferimento vigenti e della </w:t>
      </w:r>
      <w:r>
        <w:rPr>
          <w:rFonts w:cs="Calibri" w:ascii="Calibri" w:hAnsi="Calibri"/>
          <w:b/>
          <w:sz w:val="24"/>
          <w:szCs w:val="24"/>
        </w:rPr>
        <w:t>PR 8.4 – Gestione degli Approvvigionamenti-</w:t>
      </w:r>
      <w:r>
        <w:rPr>
          <w:rFonts w:cs="Calibri" w:ascii="Calibri" w:hAnsi="Calibri"/>
          <w:sz w:val="24"/>
          <w:szCs w:val="24"/>
        </w:rPr>
        <w:t>, gli ordini di approvvigionamento e gli eventuali contratti con i fornitori;</w:t>
      </w:r>
    </w:p>
    <w:p>
      <w:pPr>
        <w:pStyle w:val="Normal"/>
        <w:numPr>
          <w:ilvl w:val="0"/>
          <w:numId w:val="9"/>
        </w:numPr>
        <w:spacing w:before="120" w:after="0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 xml:space="preserve">registrare eventuali Non conformità rilevate sul </w:t>
      </w:r>
      <w:r>
        <w:rPr>
          <w:rFonts w:cs="Calibri" w:ascii="Calibri" w:hAnsi="Calibri"/>
          <w:b/>
          <w:sz w:val="24"/>
          <w:szCs w:val="24"/>
        </w:rPr>
        <w:t>Mod. Rapporto di Non Conformità</w:t>
      </w:r>
      <w:r>
        <w:rPr>
          <w:rFonts w:cs="Calibri" w:ascii="Calibri" w:hAnsi="Calibri"/>
          <w:sz w:val="24"/>
          <w:szCs w:val="24"/>
        </w:rPr>
        <w:t xml:space="preserve"> e successivamente di consegnarlo a RSGQ;</w:t>
      </w:r>
    </w:p>
    <w:p>
      <w:pPr>
        <w:pStyle w:val="Normal"/>
        <w:spacing w:before="120" w:after="0"/>
        <w:jc w:val="both"/>
        <w:rPr/>
      </w:pPr>
      <w:r>
        <w:rPr>
          <w:rFonts w:cs="Calibri" w:ascii="Calibri" w:hAnsi="Calibri"/>
          <w:sz w:val="24"/>
          <w:szCs w:val="24"/>
        </w:rPr>
        <w:t>Il Responsabile Acquisti collabora con il servizio commerciale per la predisposizione dei preventivi Clienti / listini prezzi.</w:t>
      </w:r>
    </w:p>
    <w:sectPr>
      <w:headerReference w:type="default" r:id="rId2"/>
      <w:footerReference w:type="default" r:id="rId3"/>
      <w:type w:val="nextPage"/>
      <w:pgSz w:w="11906" w:h="16838"/>
      <w:pgMar w:left="1134" w:right="1134" w:gutter="0" w:header="720" w:top="1418" w:footer="720" w:bottom="1361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iso-8859-1"/>
    <w:family w:val="roman"/>
    <w:pitch w:val="variable"/>
  </w:font>
  <w:font w:name="Tahoma">
    <w:charset w:val="00" w:characterSet="windows-1252"/>
    <w:family w:val="swiss"/>
    <w:pitch w:val="variable"/>
  </w:font>
  <w:font w:name="Calibri">
    <w:charset w:val="00" w:characterSet="windows-1252"/>
    <w:family w:val="swiss"/>
    <w:pitch w:val="variable"/>
  </w:font>
  <w:font w:name="Courier New">
    <w:charset w:val="00" w:characterSet="windows-1252"/>
    <w:family w:val="modern"/>
    <w:pitch w:val="default"/>
  </w:font>
  <w:font w:name="Wingdings">
    <w:charset w:val="02"/>
    <w:family w:val="auto"/>
    <w:pitch w:val="variable"/>
  </w:font>
  <w:font w:name="Cambria">
    <w:charset w:val="00" w:characterSet="windows-1252"/>
    <w:family w:val="roman"/>
    <w:pitch w:val="variable"/>
  </w:font>
  <w:font w:name="Arial Narrow">
    <w:charset w:val="00" w:characterSet="windows-1252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end"/>
      <w:rPr>
        <w:rFonts w:ascii="Tahoma" w:hAnsi="Tahoma" w:cs="Tahoma"/>
      </w:rPr>
    </w:pPr>
    <w:r>
      <w:rPr>
        <w:rFonts w:cs="Tahoma" w:ascii="Tahoma" w:hAnsi="Tahoma"/>
      </w:rPr>
    </w:r>
  </w:p>
  <w:tbl>
    <w:tblPr>
      <w:tblW w:w="9781" w:type="dxa"/>
      <w:jc w:val="start"/>
      <w:tblInd w:w="70" w:type="dxa"/>
      <w:tblLayout w:type="fixed"/>
      <w:tblCellMar>
        <w:top w:w="0" w:type="dxa"/>
        <w:start w:w="70" w:type="dxa"/>
        <w:bottom w:w="0" w:type="dxa"/>
        <w:end w:w="70" w:type="dxa"/>
      </w:tblCellMar>
    </w:tblPr>
    <w:tblGrid>
      <w:gridCol w:w="4535"/>
      <w:gridCol w:w="5246"/>
    </w:tblGrid>
    <w:tr>
      <w:trPr>
        <w:trHeight w:val="426" w:hRule="atLeast"/>
      </w:trPr>
      <w:tc>
        <w:tcPr>
          <w:tcW w:w="4535" w:type="dxa"/>
          <w:tcBorders>
            <w:top w:val="single" w:sz="6" w:space="0" w:color="000000"/>
            <w:start w:val="single" w:sz="6" w:space="0" w:color="000000"/>
            <w:bottom w:val="single" w:sz="6" w:space="0" w:color="000000"/>
            <w:end w:val="single" w:sz="6" w:space="0" w:color="000000"/>
          </w:tcBorders>
        </w:tcPr>
        <w:p>
          <w:pPr>
            <w:pStyle w:val="Footer"/>
            <w:tabs>
              <w:tab w:val="right" w:pos="2835" w:leader="none"/>
              <w:tab w:val="center" w:pos="4819" w:leader="none"/>
              <w:tab w:val="right" w:pos="9638" w:leader="none"/>
            </w:tabs>
            <w:spacing w:before="60" w:after="0"/>
            <w:rPr>
              <w:rFonts w:ascii="Arial" w:hAnsi="Arial" w:cs="Arial"/>
            </w:rPr>
          </w:pPr>
          <w:r>
            <w:rPr>
              <w:rFonts w:cs="Arial" w:ascii="Arial" w:hAnsi="Arial"/>
            </w:rPr>
            <w:t xml:space="preserve">ELABORATO </w:t>
          </w:r>
          <w:r>
            <w:rPr>
              <w:rFonts w:cs="Tahoma" w:ascii="Tahoma" w:hAnsi="Tahoma"/>
              <w:color w:val="000000"/>
            </w:rPr>
            <w:t>My Advisor S.r.l.</w:t>
          </w:r>
        </w:p>
        <w:p>
          <w:pPr>
            <w:pStyle w:val="Footer"/>
            <w:tabs>
              <w:tab w:val="right" w:pos="2835" w:leader="none"/>
              <w:tab w:val="center" w:pos="4819" w:leader="none"/>
              <w:tab w:val="right" w:pos="9638" w:leader="none"/>
            </w:tabs>
            <w:spacing w:before="60" w:after="0"/>
            <w:rPr>
              <w:rFonts w:ascii="Arial" w:hAnsi="Arial" w:cs="Arial"/>
            </w:rPr>
          </w:pPr>
          <w:r>
            <w:rPr>
              <w:rFonts w:cs="Arial" w:ascii="Arial" w:hAnsi="Arial"/>
            </w:rPr>
            <w:t>DATA: 22/01/2019</w:t>
          </w:r>
        </w:p>
      </w:tc>
      <w:tc>
        <w:tcPr>
          <w:tcW w:w="5246" w:type="dxa"/>
          <w:tcBorders>
            <w:top w:val="single" w:sz="6" w:space="0" w:color="000000"/>
            <w:start w:val="single" w:sz="6" w:space="0" w:color="000000"/>
            <w:bottom w:val="single" w:sz="6" w:space="0" w:color="000000"/>
            <w:end w:val="single" w:sz="6" w:space="0" w:color="000000"/>
          </w:tcBorders>
        </w:tcPr>
        <w:p>
          <w:pPr>
            <w:pStyle w:val="Footer"/>
            <w:spacing w:before="60" w:after="0"/>
            <w:rPr>
              <w:rFonts w:ascii="Arial" w:hAnsi="Arial" w:cs="Arial"/>
            </w:rPr>
          </w:pPr>
          <w:r>
            <w:rPr>
              <w:rFonts w:cs="Arial" w:ascii="Arial" w:hAnsi="Arial"/>
            </w:rPr>
            <w:t xml:space="preserve">APPROVATO </w:t>
          </w:r>
          <w:r>
            <w:rPr>
              <w:rFonts w:cs="Tahoma" w:ascii="Tahoma" w:hAnsi="Tahoma"/>
              <w:color w:val="000000"/>
            </w:rPr>
            <w:t>NOME VS. AZIENDA</w:t>
          </w:r>
        </w:p>
        <w:p>
          <w:pPr>
            <w:pStyle w:val="Footer"/>
            <w:spacing w:before="60" w:after="0"/>
            <w:rPr>
              <w:rFonts w:ascii="Arial" w:hAnsi="Arial" w:cs="Arial"/>
            </w:rPr>
          </w:pPr>
          <w:r>
            <w:rPr>
              <w:rFonts w:cs="Arial" w:ascii="Arial" w:hAnsi="Arial"/>
            </w:rPr>
            <w:t>DATA: 22/01/2019</w:t>
          </w:r>
        </w:p>
      </w:tc>
    </w:tr>
  </w:tbl>
  <w:p>
    <w:pPr>
      <w:pStyle w:val="Footer"/>
      <w:rPr>
        <w:rFonts w:ascii="Tahoma" w:hAnsi="Tahoma" w:cs="Tahoma"/>
      </w:rPr>
    </w:pPr>
    <w:r>
      <w:rPr>
        <w:rFonts w:cs="Tahoma" w:ascii="Tahoma" w:hAnsi="Tahoma"/>
      </w:rPr>
    </w:r>
  </w:p>
  <w:p>
    <w:r>
      <w:t>MasterComplianceHSQE by Maurizio Gustinicchi Consulting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start"/>
      <w:tblInd w:w="0" w:type="dxa"/>
      <w:tblLayout w:type="fixed"/>
      <w:tblCellMar>
        <w:top w:w="0" w:type="dxa"/>
        <w:start w:w="70" w:type="dxa"/>
        <w:bottom w:w="0" w:type="dxa"/>
        <w:end w:w="70" w:type="dxa"/>
      </w:tblCellMar>
    </w:tblPr>
    <w:tblGrid>
      <w:gridCol w:w="2642"/>
      <w:gridCol w:w="5079"/>
      <w:gridCol w:w="1917"/>
    </w:tblGrid>
    <w:tr>
      <w:trPr>
        <w:trHeight w:val="1788" w:hRule="atLeast"/>
        <w:cantSplit w:val="true"/>
      </w:trPr>
      <w:tc>
        <w:tcPr>
          <w:tcW w:w="2642" w:type="dxa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  <w:vAlign w:val="center"/>
        </w:tcPr>
        <w:p>
          <w:pPr>
            <w:pStyle w:val="Heading4"/>
            <w:snapToGrid w:val="false"/>
            <w:spacing w:before="240" w:after="60"/>
            <w:ind w:hanging="0" w:start="0"/>
            <w:jc w:val="center"/>
            <w:rPr/>
          </w:pPr>
          <w:r>
            <w:rPr/>
          </w:r>
        </w:p>
      </w:tc>
      <w:tc>
        <w:tcPr>
          <w:tcW w:w="5079" w:type="dxa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  <w:shd w:fill="D9D9D9" w:val="clear"/>
        </w:tcPr>
        <w:p>
          <w:pPr>
            <w:pStyle w:val="Header"/>
            <w:snapToGrid w:val="false"/>
            <w:jc w:val="center"/>
            <w:rPr>
              <w:rFonts w:ascii="Calibri" w:hAnsi="Calibri" w:cs="Calibri"/>
              <w:sz w:val="28"/>
              <w:szCs w:val="28"/>
            </w:rPr>
          </w:pPr>
          <w:r>
            <w:rPr>
              <w:rFonts w:cs="Calibri" w:ascii="Calibri" w:hAnsi="Calibri"/>
              <w:sz w:val="28"/>
              <w:szCs w:val="28"/>
            </w:rPr>
          </w:r>
        </w:p>
        <w:p>
          <w:pPr>
            <w:pStyle w:val="Header"/>
            <w:shd w:fill="D9D9D9" w:val="clear"/>
            <w:jc w:val="center"/>
            <w:rPr>
              <w:rFonts w:ascii="Calibri" w:hAnsi="Calibri" w:cs="Calibri"/>
              <w:b/>
              <w:sz w:val="28"/>
              <w:szCs w:val="28"/>
            </w:rPr>
          </w:pPr>
          <w:r>
            <w:rPr>
              <w:rFonts w:cs="Calibri" w:ascii="Calibri" w:hAnsi="Calibri"/>
              <w:b/>
              <w:sz w:val="28"/>
              <w:szCs w:val="28"/>
            </w:rPr>
          </w:r>
        </w:p>
        <w:p>
          <w:pPr>
            <w:pStyle w:val="Header"/>
            <w:shd w:fill="D9D9D9" w:val="clear"/>
            <w:jc w:val="center"/>
            <w:rPr>
              <w:rFonts w:ascii="Calibri" w:hAnsi="Calibri" w:cs="Calibri"/>
              <w:b/>
              <w:sz w:val="28"/>
              <w:szCs w:val="28"/>
            </w:rPr>
          </w:pPr>
          <w:r>
            <w:rPr>
              <w:rFonts w:cs="Calibri" w:ascii="Calibri" w:hAnsi="Calibri"/>
              <w:b/>
              <w:sz w:val="28"/>
              <w:szCs w:val="28"/>
            </w:rPr>
            <w:t>Mansionario Aziendale</w:t>
          </w:r>
        </w:p>
        <w:p>
          <w:pPr>
            <w:pStyle w:val="Header"/>
            <w:spacing w:before="120" w:after="0"/>
            <w:jc w:val="center"/>
            <w:rPr>
              <w:rFonts w:ascii="Calibri" w:hAnsi="Calibri" w:cs="Calibri"/>
              <w:b/>
              <w:sz w:val="28"/>
              <w:szCs w:val="28"/>
            </w:rPr>
          </w:pPr>
          <w:r>
            <w:rPr>
              <w:rFonts w:cs="Calibri" w:ascii="Calibri" w:hAnsi="Calibri"/>
              <w:b/>
              <w:sz w:val="28"/>
              <w:szCs w:val="28"/>
            </w:rPr>
          </w:r>
        </w:p>
      </w:tc>
      <w:tc>
        <w:tcPr>
          <w:tcW w:w="1917" w:type="dxa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</w:tcPr>
        <w:p>
          <w:pPr>
            <w:pStyle w:val="Header"/>
            <w:snapToGrid w:val="false"/>
            <w:jc w:val="center"/>
            <w:rPr>
              <w:rFonts w:ascii="Calibri" w:hAnsi="Calibri" w:cs="Calibri"/>
              <w:sz w:val="28"/>
              <w:szCs w:val="28"/>
            </w:rPr>
          </w:pPr>
          <w:r>
            <w:rPr>
              <w:rFonts w:cs="Calibri" w:ascii="Calibri" w:hAnsi="Calibri"/>
              <w:sz w:val="28"/>
              <w:szCs w:val="28"/>
            </w:rPr>
          </w:r>
        </w:p>
        <w:p>
          <w:pPr>
            <w:pStyle w:val="Normal"/>
            <w:jc w:val="center"/>
            <w:rPr>
              <w:rFonts w:ascii="Arial Narrow" w:hAnsi="Arial Narrow" w:cs="Arial"/>
              <w:b/>
              <w:sz w:val="22"/>
            </w:rPr>
          </w:pPr>
          <w:r>
            <w:rPr>
              <w:rFonts w:cs="Arial" w:ascii="Arial Narrow" w:hAnsi="Arial Narrow"/>
              <w:b/>
              <w:sz w:val="22"/>
            </w:rPr>
            <w:t>Manuale SGA</w:t>
          </w:r>
        </w:p>
        <w:p>
          <w:pPr>
            <w:pStyle w:val="Header"/>
            <w:rPr>
              <w:rFonts w:ascii="Arial Narrow" w:hAnsi="Arial Narrow" w:cs="Arial"/>
              <w:b/>
              <w:sz w:val="22"/>
            </w:rPr>
          </w:pPr>
          <w:r>
            <w:rPr>
              <w:rFonts w:cs="Arial" w:ascii="Arial Narrow" w:hAnsi="Arial Narrow"/>
              <w:b/>
              <w:sz w:val="22"/>
            </w:rPr>
          </w:r>
        </w:p>
        <w:p>
          <w:pPr>
            <w:pStyle w:val="Header"/>
            <w:jc w:val="center"/>
            <w:rPr/>
          </w:pPr>
          <w:r>
            <w:rPr>
              <w:rFonts w:cs="Arial" w:ascii="Arial Narrow" w:hAnsi="Arial Narrow"/>
              <w:b/>
              <w:sz w:val="22"/>
            </w:rPr>
            <w:t>Ed. 01 Rev. 00</w:t>
          </w:r>
          <w:r>
            <w:rPr>
              <w:rFonts w:cs="Arial" w:ascii="Arial Narrow" w:hAnsi="Arial Narrow"/>
              <w:sz w:val="22"/>
            </w:rPr>
            <w:t xml:space="preserve"> </w:t>
          </w:r>
        </w:p>
        <w:p>
          <w:pPr>
            <w:pStyle w:val="Header"/>
            <w:jc w:val="center"/>
            <w:rPr>
              <w:rFonts w:ascii="Calibri" w:hAnsi="Calibri" w:cs="Calibri"/>
              <w:sz w:val="28"/>
              <w:szCs w:val="28"/>
            </w:rPr>
          </w:pPr>
          <w:r>
            <w:rPr>
              <w:rFonts w:cs="Arial" w:ascii="Arial Narrow" w:hAnsi="Arial Narrow"/>
              <w:sz w:val="22"/>
            </w:rPr>
            <w:t>del 22.01.2019</w:t>
          </w:r>
        </w:p>
      </w:tc>
    </w:tr>
  </w:tbl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pStyle w:val="Heading4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</w:abstractNum>
  <w:abstractNum w:abstractNumId="10">
    <w:lvl w:ilvl="0">
      <w:numFmt w:val="bullet"/>
      <w:lvlText w:val="-"/>
      <w:lvlJc w:val="start"/>
      <w:pPr>
        <w:tabs>
          <w:tab w:val="num" w:pos="0"/>
        </w:tabs>
        <w:ind w:start="786" w:hanging="360"/>
      </w:pPr>
      <w:rPr>
        <w:rFonts w:ascii="Tahoma" w:hAnsi="Tahoma" w:cs="Tahoma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0"/>
      <w:szCs w:val="20"/>
      <w:lang w:val="it-IT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jc w:val="both"/>
      <w:outlineLvl w:val="0"/>
    </w:pPr>
    <w:rPr>
      <w:rFonts w:ascii="Tahoma" w:hAnsi="Tahoma" w:cs="Tahoma"/>
      <w:b/>
      <w:sz w:val="24"/>
    </w:rPr>
  </w:style>
  <w:style w:type="paragraph" w:styleId="Heading2">
    <w:name w:val="Heading 2"/>
    <w:basedOn w:val="Normal"/>
    <w:next w:val="Normal"/>
    <w:qFormat/>
    <w:pPr>
      <w:keepNext w:val="true"/>
      <w:numPr>
        <w:ilvl w:val="1"/>
        <w:numId w:val="1"/>
      </w:numPr>
      <w:spacing w:before="120" w:after="0"/>
      <w:ind w:hanging="0" w:start="567" w:end="0"/>
      <w:jc w:val="both"/>
      <w:outlineLvl w:val="1"/>
    </w:pPr>
    <w:rPr>
      <w:rFonts w:ascii="Tahoma" w:hAnsi="Tahoma" w:cs="Tahoma"/>
      <w:b/>
    </w:rPr>
  </w:style>
  <w:style w:type="paragraph" w:styleId="Heading3">
    <w:name w:val="Heading 3"/>
    <w:basedOn w:val="Normal"/>
    <w:next w:val="Normal"/>
    <w:qFormat/>
    <w:pPr>
      <w:keepNext w:val="true"/>
      <w:numPr>
        <w:ilvl w:val="2"/>
        <w:numId w:val="1"/>
      </w:numPr>
      <w:jc w:val="center"/>
      <w:outlineLvl w:val="2"/>
    </w:pPr>
    <w:rPr>
      <w:rFonts w:ascii="Tahoma" w:hAnsi="Tahoma" w:cs="Tahoma"/>
      <w:b/>
      <w:bCs/>
      <w:i/>
      <w:iCs/>
      <w:sz w:val="24"/>
    </w:rPr>
  </w:style>
  <w:style w:type="paragraph" w:styleId="Heading4">
    <w:name w:val="Heading 4"/>
    <w:basedOn w:val="Normal"/>
    <w:next w:val="Normal"/>
    <w:qFormat/>
    <w:pPr>
      <w:keepNext w:val="true"/>
      <w:numPr>
        <w:ilvl w:val="3"/>
        <w:numId w:val="1"/>
      </w:numPr>
      <w:spacing w:before="240" w:after="60"/>
      <w:outlineLvl w:val="3"/>
    </w:pPr>
    <w:rPr>
      <w:rFonts w:ascii="Calibri" w:hAnsi="Calibri" w:cs="Calibri"/>
      <w:b/>
      <w:bCs/>
      <w:sz w:val="28"/>
      <w:szCs w:val="28"/>
    </w:rPr>
  </w:style>
  <w:style w:type="character" w:styleId="WW8Num1z0">
    <w:name w:val="WW8Num1z0"/>
    <w:qFormat/>
    <w:rPr>
      <w:rFonts w:ascii="Symbol" w:hAnsi="Symbol" w:cs="Symbol"/>
    </w:rPr>
  </w:style>
  <w:style w:type="character" w:styleId="WW8Num2z0">
    <w:name w:val="WW8Num2z0"/>
    <w:qFormat/>
    <w:rPr>
      <w:rFonts w:ascii="Symbol" w:hAnsi="Symbol" w:cs="Symbol"/>
    </w:rPr>
  </w:style>
  <w:style w:type="character" w:styleId="WW8Num3z0">
    <w:name w:val="WW8Num3z0"/>
    <w:qFormat/>
    <w:rPr>
      <w:rFonts w:ascii="Symbol" w:hAnsi="Symbol" w:cs="Symbol"/>
    </w:rPr>
  </w:style>
  <w:style w:type="character" w:styleId="WW8Num4z0">
    <w:name w:val="WW8Num4z0"/>
    <w:qFormat/>
    <w:rPr>
      <w:rFonts w:ascii="Symbol" w:hAnsi="Symbol" w:cs="Symbol"/>
    </w:rPr>
  </w:style>
  <w:style w:type="character" w:styleId="WW8Num5z0">
    <w:name w:val="WW8Num5z0"/>
    <w:qFormat/>
    <w:rPr/>
  </w:style>
  <w:style w:type="character" w:styleId="WW8Num6z0">
    <w:name w:val="WW8Num6z0"/>
    <w:qFormat/>
    <w:rPr>
      <w:rFonts w:ascii="Symbol" w:hAnsi="Symbol" w:cs="Symbol"/>
    </w:rPr>
  </w:style>
  <w:style w:type="character" w:styleId="WW8Num7z0">
    <w:name w:val="WW8Num7z0"/>
    <w:qFormat/>
    <w:rPr>
      <w:rFonts w:ascii="Symbol" w:hAnsi="Symbol" w:cs="Symbol"/>
    </w:rPr>
  </w:style>
  <w:style w:type="character" w:styleId="WW8Num8z0">
    <w:name w:val="WW8Num8z0"/>
    <w:qFormat/>
    <w:rPr>
      <w:rFonts w:ascii="Symbol" w:hAnsi="Symbol" w:cs="Symbol"/>
    </w:rPr>
  </w:style>
  <w:style w:type="character" w:styleId="WW8Num8z1">
    <w:name w:val="WW8Num8z1"/>
    <w:qFormat/>
    <w:rPr>
      <w:rFonts w:ascii="Courier New" w:hAnsi="Courier New" w:cs="Courier New"/>
    </w:rPr>
  </w:style>
  <w:style w:type="character" w:styleId="WW8Num8z2">
    <w:name w:val="WW8Num8z2"/>
    <w:qFormat/>
    <w:rPr>
      <w:rFonts w:ascii="Wingdings" w:hAnsi="Wingdings" w:cs="Wingdings"/>
    </w:rPr>
  </w:style>
  <w:style w:type="character" w:styleId="WW8Num9z0">
    <w:name w:val="WW8Num9z0"/>
    <w:qFormat/>
    <w:rPr>
      <w:rFonts w:ascii="Symbol" w:hAnsi="Symbol" w:cs="Symbol"/>
    </w:rPr>
  </w:style>
  <w:style w:type="character" w:styleId="WW8Num10z0">
    <w:name w:val="WW8Num10z0"/>
    <w:qFormat/>
    <w:rPr/>
  </w:style>
  <w:style w:type="character" w:styleId="WW8Num11z0">
    <w:name w:val="WW8Num11z0"/>
    <w:qFormat/>
    <w:rPr>
      <w:rFonts w:ascii="Wingdings" w:hAnsi="Wingdings" w:cs="Wingdings"/>
    </w:rPr>
  </w:style>
  <w:style w:type="character" w:styleId="WW8Num12z0">
    <w:name w:val="WW8Num12z0"/>
    <w:qFormat/>
    <w:rPr>
      <w:rFonts w:ascii="Symbol" w:hAnsi="Symbol" w:cs="Symbol"/>
    </w:rPr>
  </w:style>
  <w:style w:type="character" w:styleId="WW8Num12z1">
    <w:name w:val="WW8Num12z1"/>
    <w:qFormat/>
    <w:rPr>
      <w:rFonts w:ascii="Courier New" w:hAnsi="Courier New" w:cs="Courier New"/>
    </w:rPr>
  </w:style>
  <w:style w:type="character" w:styleId="WW8Num12z2">
    <w:name w:val="WW8Num12z2"/>
    <w:qFormat/>
    <w:rPr>
      <w:rFonts w:ascii="Wingdings" w:hAnsi="Wingdings" w:cs="Wingdings"/>
    </w:rPr>
  </w:style>
  <w:style w:type="character" w:styleId="WW8Num13z0">
    <w:name w:val="WW8Num13z0"/>
    <w:qFormat/>
    <w:rPr>
      <w:rFonts w:ascii="Symbol" w:hAnsi="Symbol" w:cs="Symbol"/>
    </w:rPr>
  </w:style>
  <w:style w:type="character" w:styleId="WW8Num14z0">
    <w:name w:val="WW8Num14z0"/>
    <w:qFormat/>
    <w:rPr>
      <w:rFonts w:ascii="Symbol" w:hAnsi="Symbol" w:cs="Symbol"/>
    </w:rPr>
  </w:style>
  <w:style w:type="character" w:styleId="WW8Num14z1">
    <w:name w:val="WW8Num14z1"/>
    <w:qFormat/>
    <w:rPr>
      <w:rFonts w:ascii="Courier New" w:hAnsi="Courier New" w:cs="Courier New"/>
    </w:rPr>
  </w:style>
  <w:style w:type="character" w:styleId="WW8Num14z2">
    <w:name w:val="WW8Num14z2"/>
    <w:qFormat/>
    <w:rPr>
      <w:rFonts w:ascii="Wingdings" w:hAnsi="Wingdings" w:cs="Wingdings"/>
    </w:rPr>
  </w:style>
  <w:style w:type="character" w:styleId="WW8Num15z0">
    <w:name w:val="WW8Num15z0"/>
    <w:qFormat/>
    <w:rPr>
      <w:rFonts w:ascii="Symbol" w:hAnsi="Symbol" w:cs="Symbol"/>
    </w:rPr>
  </w:style>
  <w:style w:type="character" w:styleId="WW8Num16z0">
    <w:name w:val="WW8Num16z0"/>
    <w:qFormat/>
    <w:rPr>
      <w:rFonts w:ascii="Symbol" w:hAnsi="Symbol" w:cs="Symbol"/>
    </w:rPr>
  </w:style>
  <w:style w:type="character" w:styleId="WW8Num17z0">
    <w:name w:val="WW8Num17z0"/>
    <w:qFormat/>
    <w:rPr/>
  </w:style>
  <w:style w:type="character" w:styleId="WW8Num18z0">
    <w:name w:val="WW8Num18z0"/>
    <w:qFormat/>
    <w:rPr>
      <w:rFonts w:ascii="Symbol" w:hAnsi="Symbol" w:cs="Symbol"/>
    </w:rPr>
  </w:style>
  <w:style w:type="character" w:styleId="WW8Num19z0">
    <w:name w:val="WW8Num19z0"/>
    <w:qFormat/>
    <w:rPr>
      <w:rFonts w:ascii="Symbol" w:hAnsi="Symbol" w:cs="Symbol"/>
    </w:rPr>
  </w:style>
  <w:style w:type="character" w:styleId="WW8Num20z0">
    <w:name w:val="WW8Num20z0"/>
    <w:qFormat/>
    <w:rPr>
      <w:rFonts w:ascii="Symbol" w:hAnsi="Symbol" w:cs="Symbol"/>
    </w:rPr>
  </w:style>
  <w:style w:type="character" w:styleId="WW8Num21z0">
    <w:name w:val="WW8Num21z0"/>
    <w:qFormat/>
    <w:rPr>
      <w:rFonts w:ascii="Tahoma" w:hAnsi="Tahoma" w:eastAsia="Times New Roman" w:cs="Tahoma"/>
    </w:rPr>
  </w:style>
  <w:style w:type="character" w:styleId="WW8Num21z1">
    <w:name w:val="WW8Num21z1"/>
    <w:qFormat/>
    <w:rPr>
      <w:rFonts w:ascii="Courier New" w:hAnsi="Courier New" w:cs="Courier New"/>
    </w:rPr>
  </w:style>
  <w:style w:type="character" w:styleId="WW8Num21z2">
    <w:name w:val="WW8Num21z2"/>
    <w:qFormat/>
    <w:rPr>
      <w:rFonts w:ascii="Wingdings" w:hAnsi="Wingdings" w:cs="Wingdings"/>
    </w:rPr>
  </w:style>
  <w:style w:type="character" w:styleId="WW8Num21z3">
    <w:name w:val="WW8Num21z3"/>
    <w:qFormat/>
    <w:rPr>
      <w:rFonts w:ascii="Symbol" w:hAnsi="Symbol" w:cs="Symbol"/>
    </w:rPr>
  </w:style>
  <w:style w:type="character" w:styleId="Carpredefinitoparagrafo">
    <w:name w:val="Car. predefinito paragrafo"/>
    <w:qFormat/>
    <w:rPr/>
  </w:style>
  <w:style w:type="character" w:styleId="PageNumber">
    <w:name w:val="Page Number"/>
    <w:basedOn w:val="Carpredefinitoparagrafo"/>
    <w:rPr/>
  </w:style>
  <w:style w:type="character" w:styleId="Hyperlink">
    <w:name w:val="Hyperlink"/>
    <w:rPr>
      <w:color w:val="0000FF"/>
      <w:u w:val="single"/>
    </w:rPr>
  </w:style>
  <w:style w:type="character" w:styleId="TestofumettoCarattere">
    <w:name w:val="Testo fumetto Carattere"/>
    <w:qFormat/>
    <w:rPr>
      <w:rFonts w:ascii="Tahoma" w:hAnsi="Tahoma" w:cs="Tahoma"/>
      <w:sz w:val="16"/>
      <w:szCs w:val="16"/>
    </w:rPr>
  </w:style>
  <w:style w:type="character" w:styleId="TitoloCarattere">
    <w:name w:val="Titolo Carattere"/>
    <w:qFormat/>
    <w:rPr>
      <w:rFonts w:ascii="Cambria" w:hAnsi="Cambria" w:eastAsia="Times New Roman" w:cs="Times New Roman"/>
      <w:b/>
      <w:bCs/>
      <w:kern w:val="2"/>
      <w:sz w:val="32"/>
      <w:szCs w:val="32"/>
    </w:rPr>
  </w:style>
  <w:style w:type="character" w:styleId="PidipaginaCarattere">
    <w:name w:val="Piè di pagina Carattere"/>
    <w:qFormat/>
    <w:rPr/>
  </w:style>
  <w:style w:type="character" w:styleId="Titolo4Carattere">
    <w:name w:val="Titolo 4 Carattere"/>
    <w:basedOn w:val="Carpredefinitoparagrafo"/>
    <w:qFormat/>
    <w:rPr>
      <w:rFonts w:ascii="Calibri" w:hAnsi="Calibri" w:cs="Calibri"/>
      <w:b/>
      <w:bCs/>
      <w:sz w:val="28"/>
      <w:szCs w:val="28"/>
    </w:rPr>
  </w:style>
  <w:style w:type="character" w:styleId="IntestazioneCarattere">
    <w:name w:val="Intestazione Carattere"/>
    <w:qFormat/>
    <w:rPr/>
  </w:style>
  <w:style w:type="character" w:styleId="IndexLink">
    <w:name w:val="Index Link"/>
    <w:qFormat/>
    <w:rPr/>
  </w:style>
  <w:style w:type="paragraph" w:styleId="Heading">
    <w:name w:val="Heading"/>
    <w:basedOn w:val="Normal"/>
    <w:next w:val="Normal"/>
    <w:qFormat/>
    <w:pPr>
      <w:spacing w:before="240" w:after="60"/>
      <w:jc w:val="center"/>
      <w:outlineLvl w:val="0"/>
    </w:pPr>
    <w:rPr>
      <w:rFonts w:ascii="Cambria" w:hAnsi="Cambria" w:cs="Cambria"/>
      <w:b/>
      <w:bCs/>
      <w:kern w:val="2"/>
      <w:sz w:val="32"/>
      <w:szCs w:val="32"/>
      <w:lang w:val="en-US"/>
    </w:rPr>
  </w:style>
  <w:style w:type="paragraph" w:styleId="BodyText">
    <w:name w:val="Body Text"/>
    <w:basedOn w:val="Normal"/>
    <w:pPr>
      <w:tabs>
        <w:tab w:val="clear" w:pos="708"/>
        <w:tab w:val="left" w:pos="567" w:leader="none"/>
        <w:tab w:val="left" w:pos="1134" w:leader="none"/>
        <w:tab w:val="left" w:pos="1701" w:leader="none"/>
      </w:tabs>
      <w:jc w:val="both"/>
    </w:pPr>
    <w:rPr>
      <w:smallCaps/>
      <w:sz w:val="24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8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708"/>
        <w:tab w:val="center" w:pos="4819" w:leader="none"/>
        <w:tab w:val="right" w:pos="9638" w:leader="none"/>
      </w:tabs>
    </w:pPr>
    <w:rPr/>
  </w:style>
  <w:style w:type="paragraph" w:styleId="BodyTextIndent">
    <w:name w:val="Body Text Indent"/>
    <w:basedOn w:val="Normal"/>
    <w:pPr>
      <w:ind w:hanging="0" w:start="426" w:end="0"/>
    </w:pPr>
    <w:rPr>
      <w:rFonts w:ascii="Tahoma" w:hAnsi="Tahoma" w:cs="Tahoma"/>
    </w:rPr>
  </w:style>
  <w:style w:type="paragraph" w:styleId="Corpodeltesto2">
    <w:name w:val="Corpo del testo 2"/>
    <w:basedOn w:val="Normal"/>
    <w:qFormat/>
    <w:pPr/>
    <w:rPr>
      <w:smallCaps/>
      <w:sz w:val="24"/>
    </w:rPr>
  </w:style>
  <w:style w:type="paragraph" w:styleId="TOC2">
    <w:name w:val="TOC 2"/>
    <w:basedOn w:val="Normal"/>
    <w:next w:val="Normal"/>
    <w:pPr>
      <w:spacing w:before="120" w:after="0"/>
      <w:ind w:hanging="0" w:start="200" w:end="0"/>
    </w:pPr>
    <w:rPr>
      <w:b/>
      <w:sz w:val="22"/>
    </w:rPr>
  </w:style>
  <w:style w:type="paragraph" w:styleId="Corpodeltesto3">
    <w:name w:val="Corpo del testo 3"/>
    <w:basedOn w:val="Normal"/>
    <w:qFormat/>
    <w:pPr>
      <w:jc w:val="both"/>
    </w:pPr>
    <w:rPr>
      <w:rFonts w:ascii="Tahoma" w:hAnsi="Tahoma" w:cs="Tahoma"/>
    </w:rPr>
  </w:style>
  <w:style w:type="paragraph" w:styleId="Rientrocorpodeltesto2">
    <w:name w:val="Rientro corpo del testo 2"/>
    <w:basedOn w:val="Normal"/>
    <w:qFormat/>
    <w:pPr>
      <w:spacing w:before="120" w:after="0"/>
      <w:ind w:hanging="0" w:start="567" w:end="0"/>
      <w:jc w:val="both"/>
    </w:pPr>
    <w:rPr>
      <w:rFonts w:ascii="Tahoma" w:hAnsi="Tahoma" w:cs="Tahoma"/>
    </w:rPr>
  </w:style>
  <w:style w:type="paragraph" w:styleId="Rientrocorpodeltesto3">
    <w:name w:val="Rientro corpo del testo 3"/>
    <w:basedOn w:val="Normal"/>
    <w:qFormat/>
    <w:pPr>
      <w:ind w:hanging="0" w:start="567" w:end="0"/>
    </w:pPr>
    <w:rPr>
      <w:rFonts w:ascii="Tahoma" w:hAnsi="Tahoma" w:cs="Tahoma"/>
      <w:sz w:val="24"/>
    </w:rPr>
  </w:style>
  <w:style w:type="paragraph" w:styleId="Index1">
    <w:name w:val="Index 1"/>
    <w:basedOn w:val="Normal"/>
    <w:next w:val="Normal"/>
    <w:pPr>
      <w:ind w:hanging="200" w:start="200" w:end="0"/>
    </w:pPr>
    <w:rPr/>
  </w:style>
  <w:style w:type="paragraph" w:styleId="Index2">
    <w:name w:val="Index 2"/>
    <w:basedOn w:val="Normal"/>
    <w:next w:val="Normal"/>
    <w:pPr>
      <w:ind w:hanging="200" w:start="400" w:end="0"/>
    </w:pPr>
    <w:rPr/>
  </w:style>
  <w:style w:type="paragraph" w:styleId="Index3">
    <w:name w:val="Index 3"/>
    <w:basedOn w:val="Normal"/>
    <w:next w:val="Normal"/>
    <w:pPr>
      <w:ind w:hanging="200" w:start="600" w:end="0"/>
    </w:pPr>
    <w:rPr/>
  </w:style>
  <w:style w:type="paragraph" w:styleId="Indice4">
    <w:name w:val="Indice 4"/>
    <w:basedOn w:val="Normal"/>
    <w:next w:val="Normal"/>
    <w:qFormat/>
    <w:pPr>
      <w:ind w:hanging="200" w:start="800" w:end="0"/>
    </w:pPr>
    <w:rPr/>
  </w:style>
  <w:style w:type="paragraph" w:styleId="Indice5">
    <w:name w:val="Indice 5"/>
    <w:basedOn w:val="Normal"/>
    <w:next w:val="Normal"/>
    <w:qFormat/>
    <w:pPr>
      <w:ind w:hanging="200" w:start="1000" w:end="0"/>
    </w:pPr>
    <w:rPr/>
  </w:style>
  <w:style w:type="paragraph" w:styleId="Indice6">
    <w:name w:val="Indice 6"/>
    <w:basedOn w:val="Normal"/>
    <w:next w:val="Normal"/>
    <w:qFormat/>
    <w:pPr>
      <w:ind w:hanging="200" w:start="1200" w:end="0"/>
    </w:pPr>
    <w:rPr/>
  </w:style>
  <w:style w:type="paragraph" w:styleId="Indice7">
    <w:name w:val="Indice 7"/>
    <w:basedOn w:val="Normal"/>
    <w:next w:val="Normal"/>
    <w:qFormat/>
    <w:pPr>
      <w:ind w:hanging="200" w:start="1400" w:end="0"/>
    </w:pPr>
    <w:rPr/>
  </w:style>
  <w:style w:type="paragraph" w:styleId="Indice8">
    <w:name w:val="Indice 8"/>
    <w:basedOn w:val="Normal"/>
    <w:next w:val="Normal"/>
    <w:qFormat/>
    <w:pPr>
      <w:ind w:hanging="200" w:start="1600" w:end="0"/>
    </w:pPr>
    <w:rPr/>
  </w:style>
  <w:style w:type="paragraph" w:styleId="Indice9">
    <w:name w:val="Indice 9"/>
    <w:basedOn w:val="Normal"/>
    <w:next w:val="Normal"/>
    <w:qFormat/>
    <w:pPr>
      <w:ind w:hanging="200" w:start="1800" w:end="0"/>
    </w:pPr>
    <w:rPr/>
  </w:style>
  <w:style w:type="paragraph" w:styleId="IndexHeading">
    <w:name w:val="Index Heading"/>
    <w:basedOn w:val="Normal"/>
    <w:next w:val="Index1"/>
    <w:pPr/>
    <w:rPr/>
  </w:style>
  <w:style w:type="paragraph" w:styleId="TOC1">
    <w:name w:val="TOC 1"/>
    <w:basedOn w:val="Normal"/>
    <w:next w:val="Normal"/>
    <w:pPr>
      <w:tabs>
        <w:tab w:val="clear" w:pos="708"/>
        <w:tab w:val="right" w:pos="9628" w:leader="dot"/>
      </w:tabs>
    </w:pPr>
    <w:rPr>
      <w:color w:val="000000"/>
      <w:lang w:val="en-US" w:eastAsia="en-US"/>
    </w:rPr>
  </w:style>
  <w:style w:type="paragraph" w:styleId="TOC3">
    <w:name w:val="TOC 3"/>
    <w:basedOn w:val="Normal"/>
    <w:next w:val="Normal"/>
    <w:pPr>
      <w:ind w:hanging="0" w:start="400" w:end="0"/>
    </w:pPr>
    <w:rPr/>
  </w:style>
  <w:style w:type="paragraph" w:styleId="TOC4">
    <w:name w:val="TOC 4"/>
    <w:basedOn w:val="Normal"/>
    <w:next w:val="Normal"/>
    <w:pPr>
      <w:ind w:hanging="0" w:start="600" w:end="0"/>
    </w:pPr>
    <w:rPr/>
  </w:style>
  <w:style w:type="paragraph" w:styleId="TOC5">
    <w:name w:val="TOC 5"/>
    <w:basedOn w:val="Normal"/>
    <w:next w:val="Normal"/>
    <w:pPr>
      <w:ind w:hanging="0" w:start="800" w:end="0"/>
    </w:pPr>
    <w:rPr/>
  </w:style>
  <w:style w:type="paragraph" w:styleId="TOC6">
    <w:name w:val="TOC 6"/>
    <w:basedOn w:val="Normal"/>
    <w:next w:val="Normal"/>
    <w:pPr>
      <w:ind w:hanging="0" w:start="1000" w:end="0"/>
    </w:pPr>
    <w:rPr/>
  </w:style>
  <w:style w:type="paragraph" w:styleId="TOC7">
    <w:name w:val="TOC 7"/>
    <w:basedOn w:val="Normal"/>
    <w:next w:val="Normal"/>
    <w:pPr>
      <w:ind w:hanging="0" w:start="1200" w:end="0"/>
    </w:pPr>
    <w:rPr/>
  </w:style>
  <w:style w:type="paragraph" w:styleId="TOC8">
    <w:name w:val="TOC 8"/>
    <w:basedOn w:val="Normal"/>
    <w:next w:val="Normal"/>
    <w:pPr>
      <w:ind w:hanging="0" w:start="1400" w:end="0"/>
    </w:pPr>
    <w:rPr/>
  </w:style>
  <w:style w:type="paragraph" w:styleId="TOC9">
    <w:name w:val="TOC 9"/>
    <w:basedOn w:val="Normal"/>
    <w:next w:val="Normal"/>
    <w:pPr>
      <w:ind w:hanging="0" w:start="1600" w:end="0"/>
    </w:pPr>
    <w:rPr/>
  </w:style>
  <w:style w:type="paragraph" w:styleId="Testofumetto">
    <w:name w:val="Testo fumetto"/>
    <w:basedOn w:val="Normal"/>
    <w:qFormat/>
    <w:pPr/>
    <w:rPr>
      <w:rFonts w:ascii="Tahoma" w:hAnsi="Tahoma" w:cs="Tahoma"/>
      <w:sz w:val="16"/>
      <w:szCs w:val="16"/>
      <w:lang w:val="en-US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  <w:style w:type="numbering" w:styleId="WW8Num15">
    <w:name w:val="WW8Num15"/>
    <w:qFormat/>
  </w:style>
  <w:style w:type="numbering" w:styleId="WW8Num16">
    <w:name w:val="WW8Num16"/>
    <w:qFormat/>
  </w:style>
  <w:style w:type="numbering" w:styleId="WW8Num17">
    <w:name w:val="WW8Num17"/>
    <w:qFormat/>
  </w:style>
  <w:style w:type="numbering" w:styleId="WW8Num18">
    <w:name w:val="WW8Num18"/>
    <w:qFormat/>
  </w:style>
  <w:style w:type="numbering" w:styleId="WW8Num19">
    <w:name w:val="WW8Num19"/>
    <w:qFormat/>
  </w:style>
  <w:style w:type="numbering" w:styleId="WW8Num20">
    <w:name w:val="WW8Num20"/>
    <w:qFormat/>
  </w:style>
  <w:style w:type="numbering" w:styleId="WW8Num21">
    <w:name w:val="WW8Num21"/>
    <w:qFormat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1267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Word Document</dc:title>
  <cp:lastModifiedBy>python-docx</cp:lastModifiedBy>
  <cp:revision>1</cp:revision>
  <dcterms:modified xsi:type="dcterms:W3CDTF">2026-07-27T07:29:59Z</dcterms:modified>
  <dc:description>MasterComplianceHSQE by Maurizio Gustinicchi Consulting</dc:description>
</cp:coreProperties>
</file>