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/>
        <w:rPr>
          <w:rFonts w:ascii="Arial" w:hAnsi="Arial" w:cs="Arial"/>
          <w:b/>
          <w:sz w:val="28"/>
          <w:szCs w:val="28"/>
          <w:u w:val="single"/>
        </w:rPr>
      </w:pPr>
      <w:r>
        <w:rPr>
          <w:rFonts w:cs="Arial" w:ascii="Arial" w:hAnsi="Arial"/>
          <w:b/>
          <w:sz w:val="28"/>
          <w:szCs w:val="28"/>
          <w:u w:val="single"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sz w:val="28"/>
          <w:szCs w:val="28"/>
        </w:rPr>
        <w:t xml:space="preserve">       </w:t>
      </w:r>
      <w:r>
        <w:rPr>
          <w:rFonts w:cs="Arial" w:ascii="Arial" w:hAnsi="Arial"/>
          <w:b/>
          <w:sz w:val="28"/>
          <w:szCs w:val="28"/>
        </w:rPr>
        <w:t>ISO 14001:2015 Checklist</w:t>
      </w:r>
    </w:p>
    <w:p>
      <w:pPr>
        <w:pStyle w:val="Normal"/>
        <w:ind w:start="-540" w:end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sz w:val="16"/>
          <w:szCs w:val="16"/>
        </w:rPr>
      </w:pPr>
      <w:r>
        <w:rPr>
          <w:rFonts w:cs="Arial" w:ascii="Arial" w:hAnsi="Arial"/>
          <w:b/>
          <w:sz w:val="16"/>
          <w:szCs w:val="16"/>
        </w:rPr>
        <w:t>Instructions: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Highlighted areas are to be completed by the Client Organization prior to the off-site review, or on-site Gap Analysis or Upgrade Audit, and submitted to the NSF-ISR Lead Auditor for review.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The </w:t>
      </w:r>
      <w:r>
        <w:rPr>
          <w:rFonts w:cs="Arial" w:ascii="Arial" w:hAnsi="Arial"/>
          <w:b/>
          <w:sz w:val="16"/>
          <w:szCs w:val="16"/>
        </w:rPr>
        <w:t xml:space="preserve">Annex A - ISO 14001: 2015 vs. ISO 14001: 2004 Comparison Table </w:t>
      </w:r>
      <w:r>
        <w:rPr>
          <w:rFonts w:cs="Arial" w:ascii="Arial" w:hAnsi="Arial"/>
          <w:sz w:val="16"/>
          <w:szCs w:val="16"/>
        </w:rPr>
        <w:t>has been provided at the end of this document for information and reference purposes only.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Completion by the Client Organization should include the final statement of readiness for Upgrade by the Top Management of the Client Organization.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The columns for “Planned Completion Date” and Responsibility” may be used by the Client Organization to develop their plan for upgrading their EMS to the requirements of ISO 14001: 2015.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All other areas of the Checklist are required to be completed by the NSF-ISR Lead Auditor to confirm the effective implementation of the Client Organization’s ISO 14001: 2015 Environmental Management System.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The Lead Auditor shall sign the appropriate sections at the end of the Checklist to indicate: whether the Client Organization is Ready/Not Ready for Upgrade Audit (Off-site review), </w:t>
      </w:r>
      <w:r>
        <w:rPr>
          <w:rFonts w:cs="Arial" w:ascii="Arial" w:hAnsi="Arial"/>
          <w:b/>
          <w:sz w:val="16"/>
          <w:szCs w:val="16"/>
          <w:u w:val="single"/>
        </w:rPr>
        <w:t>AND</w:t>
      </w:r>
      <w:r>
        <w:rPr>
          <w:rFonts w:cs="Arial" w:ascii="Arial" w:hAnsi="Arial"/>
          <w:sz w:val="16"/>
          <w:szCs w:val="16"/>
        </w:rPr>
        <w:t xml:space="preserve"> the final approval of the EMS in meeting the requirements of ISO 14001: 2015 (during the on-site Upgrade Audit)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This checklist shall be submitted by the NSF-ISR Lead Auditor as one of the records of the ISO 14001: 2015 Upgrade for the Client Organization.</w:t>
      </w:r>
    </w:p>
    <w:p>
      <w:pPr>
        <w:pStyle w:val="Normal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tbl>
      <w:tblPr>
        <w:tblW w:w="13318" w:type="dxa"/>
        <w:jc w:val="start"/>
        <w:tblInd w:w="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5051"/>
        <w:gridCol w:w="8267"/>
      </w:tblGrid>
      <w:tr>
        <w:trPr>
          <w:trHeight w:val="360" w:hRule="atLeast"/>
          <w:cantSplit w:val="true"/>
        </w:trPr>
        <w:tc>
          <w:tcPr>
            <w:tcW w:w="50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szCs w:val="20"/>
              </w:rPr>
            </w:pPr>
            <w:r>
              <w:rPr>
                <w:rFonts w:cs="Arial" w:ascii="Arial" w:hAnsi="Arial"/>
                <w:b/>
                <w:szCs w:val="20"/>
              </w:rPr>
              <w:t>Organization Name:</w:t>
            </w:r>
          </w:p>
        </w:tc>
        <w:tc>
          <w:tcPr>
            <w:tcW w:w="8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snapToGrid w:val="false"/>
              <w:ind w:end="60"/>
              <w:rPr>
                <w:rFonts w:ascii="Arial" w:hAnsi="Arial" w:cs="Arial"/>
                <w:b/>
                <w:sz w:val="24"/>
                <w:szCs w:val="20"/>
                <w:lang w:val="fr-FR"/>
              </w:rPr>
            </w:pPr>
            <w:r>
              <w:rPr>
                <w:rFonts w:cs="Arial" w:ascii="Arial" w:hAnsi="Arial"/>
                <w:b/>
                <w:sz w:val="24"/>
                <w:szCs w:val="20"/>
                <w:lang w:val="fr-FR"/>
              </w:rPr>
            </w:r>
          </w:p>
        </w:tc>
      </w:tr>
      <w:tr>
        <w:trPr>
          <w:trHeight w:val="360" w:hRule="atLeast"/>
          <w:cantSplit w:val="true"/>
        </w:trPr>
        <w:tc>
          <w:tcPr>
            <w:tcW w:w="50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szCs w:val="20"/>
              </w:rPr>
            </w:pPr>
            <w:r>
              <w:rPr>
                <w:rFonts w:cs="Arial" w:ascii="Arial" w:hAnsi="Arial"/>
                <w:b/>
                <w:szCs w:val="20"/>
              </w:rPr>
              <w:t>Organization Address:</w:t>
            </w:r>
          </w:p>
        </w:tc>
        <w:tc>
          <w:tcPr>
            <w:tcW w:w="8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snapToGrid w:val="false"/>
              <w:ind w:end="60"/>
              <w:rPr>
                <w:rFonts w:ascii="Arial" w:hAnsi="Arial" w:cs="Arial"/>
                <w:b/>
                <w:szCs w:val="20"/>
                <w:lang w:val="fr-FR"/>
              </w:rPr>
            </w:pPr>
            <w:r>
              <w:rPr>
                <w:rFonts w:cs="Arial" w:ascii="Arial" w:hAnsi="Arial"/>
                <w:b/>
                <w:szCs w:val="20"/>
                <w:lang w:val="fr-FR"/>
              </w:rPr>
            </w:r>
          </w:p>
        </w:tc>
      </w:tr>
      <w:tr>
        <w:trPr>
          <w:trHeight w:val="288" w:hRule="atLeast"/>
          <w:cantSplit w:val="true"/>
        </w:trPr>
        <w:tc>
          <w:tcPr>
            <w:tcW w:w="1331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71" w:end="60"/>
              <w:rPr>
                <w:rFonts w:ascii="Arial" w:hAnsi="Arial" w:cs="Arial"/>
                <w:b/>
                <w:bCs/>
                <w:sz w:val="16"/>
                <w:szCs w:val="16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sz w:val="16"/>
                <w:szCs w:val="16"/>
                <w:lang w:val="it-IT"/>
              </w:rPr>
              <w:t xml:space="preserve">  </w:t>
            </w:r>
            <w:r>
              <w:rPr>
                <w:rFonts w:cs="Arial" w:ascii="Arial" w:hAnsi="Arial"/>
                <w:b/>
                <w:bCs/>
                <w:sz w:val="16"/>
                <w:szCs w:val="16"/>
                <w:lang w:val="it-IT"/>
              </w:rPr>
              <w:t>Referenti: Dott.ssa Sonia D’Alessandro, Dott.ssa MariaGrazia Arosio</w:t>
            </w:r>
          </w:p>
        </w:tc>
      </w:tr>
    </w:tbl>
    <w:p>
      <w:pPr>
        <w:pStyle w:val="Normal"/>
        <w:rPr>
          <w:rFonts w:ascii="Arial" w:hAnsi="Arial" w:cs="Arial"/>
          <w:b/>
          <w:lang w:val="it-IT"/>
        </w:rPr>
      </w:pPr>
      <w:r>
        <w:rPr>
          <w:rFonts w:cs="Arial" w:ascii="Arial" w:hAnsi="Arial"/>
          <w:b/>
          <w:lang w:val="it-IT"/>
        </w:rPr>
      </w:r>
    </w:p>
    <w:p>
      <w:pPr>
        <w:pStyle w:val="Normal"/>
        <w:rPr>
          <w:rFonts w:ascii="Arial" w:hAnsi="Arial" w:cs="Arial"/>
          <w:b/>
          <w:lang w:val="it-IT"/>
        </w:rPr>
      </w:pPr>
      <w:r>
        <w:rPr>
          <w:rFonts w:cs="Arial" w:ascii="Arial" w:hAnsi="Arial"/>
          <w:b/>
          <w:lang w:val="it-IT"/>
        </w:rPr>
      </w:r>
    </w:p>
    <w:p>
      <w:pPr>
        <w:pStyle w:val="Normal"/>
        <w:rPr>
          <w:rFonts w:ascii="Arial" w:hAnsi="Arial" w:cs="Arial"/>
          <w:b/>
          <w:lang w:val="it-IT"/>
        </w:rPr>
      </w:pPr>
      <w:r>
        <w:rPr>
          <w:rFonts w:cs="Arial" w:ascii="Arial" w:hAnsi="Arial"/>
          <w:b/>
          <w:lang w:val="it-IT"/>
        </w:rPr>
      </w:r>
    </w:p>
    <w:tbl>
      <w:tblPr>
        <w:tblW w:w="14051" w:type="dxa"/>
        <w:jc w:val="star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50"/>
        <w:gridCol w:w="1266"/>
        <w:gridCol w:w="1328"/>
        <w:gridCol w:w="1310"/>
        <w:gridCol w:w="2317"/>
        <w:gridCol w:w="4680"/>
      </w:tblGrid>
      <w:tr>
        <w:trPr>
          <w:tblHeader w:val="true"/>
        </w:trPr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cs="Arial" w:ascii="Arial" w:hAnsi="Arial"/>
                <w:b/>
                <w:sz w:val="16"/>
                <w:szCs w:val="16"/>
                <w:u w:val="single"/>
              </w:rPr>
              <w:t>Question / Requirement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cs="Arial" w:ascii="Arial" w:hAnsi="Arial"/>
                <w:b/>
                <w:sz w:val="16"/>
                <w:szCs w:val="16"/>
                <w:u w:val="single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Conforme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cs="Arial" w:ascii="Arial" w:hAnsi="Arial"/>
                <w:b/>
                <w:sz w:val="16"/>
                <w:szCs w:val="16"/>
                <w:u w:val="single"/>
              </w:rPr>
              <w:t>Commenti</w:t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4.  CONTEXT OF ORGANIZATION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Evidence of determination of </w:t>
            </w:r>
            <w:r>
              <w:rPr>
                <w:rFonts w:cs="Arial" w:ascii="Arial" w:hAnsi="Arial"/>
                <w:b/>
                <w:sz w:val="16"/>
                <w:szCs w:val="16"/>
              </w:rPr>
              <w:t>Understanding the Organization and its CONTEXT</w:t>
            </w:r>
            <w:r>
              <w:rPr>
                <w:rFonts w:cs="Arial" w:ascii="Arial" w:hAnsi="Arial"/>
                <w:sz w:val="16"/>
                <w:szCs w:val="16"/>
              </w:rPr>
              <w:t xml:space="preserve"> </w:t>
            </w:r>
            <w:r>
              <w:rPr>
                <w:rFonts w:cs="Arial" w:ascii="Arial" w:hAnsi="Arial"/>
                <w:i/>
                <w:sz w:val="16"/>
                <w:szCs w:val="16"/>
              </w:rPr>
              <w:t>(4.1)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.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determination of INTERESTED PARTIES</w:t>
            </w:r>
            <w:r>
              <w:rPr>
                <w:rFonts w:cs="Arial"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cs="Arial" w:ascii="Arial" w:hAnsi="Arial"/>
                <w:sz w:val="16"/>
                <w:szCs w:val="16"/>
              </w:rPr>
              <w:t xml:space="preserve">and their requirements </w:t>
            </w:r>
            <w:r>
              <w:rPr>
                <w:rFonts w:cs="Arial" w:ascii="Arial" w:hAnsi="Arial"/>
                <w:i/>
                <w:sz w:val="16"/>
                <w:szCs w:val="16"/>
              </w:rPr>
              <w:t>(4.2)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Did you determine the needs and expectations of your interested parties?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Did you identify those that have become compliance obligations (requirements)?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review and verification for SCOPE of environmental management system (4.3)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Did you define and document the scope of your environmental management system (EMS)?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436" w:hRule="atLeast"/>
        </w:trPr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demonstrating environmental management system reflects requirements (4.4)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5. </w:t>
            </w:r>
            <w:r>
              <w:rPr>
                <w:rFonts w:cs="Arial" w:ascii="Arial" w:hAnsi="Arial"/>
                <w:b/>
                <w:szCs w:val="20"/>
              </w:rPr>
              <w:t>LEADERSHIP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Leadership and Commitment of TOP MANAGEMENT (5.1)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Environmental POLICY has been reviewed and is consistent with intent of ISO14001:2015 (5.2)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organizational ROLES, RESPONSIBILITIES &amp; AUTHORITIES have been appropriately assigned, resourced and communicated. (5.3)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6. PLANNING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6.1 ACTIONS TO ADDRESS RISK &amp; OPPORTUNITIES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RISKS AND OPPPORTUNITIES related to environmental aspects, compliance obligations and other issues have been identified and addressed. (6.1.1)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ENVIRONMENTAL ASPECTS of organizations activities, products and services that it has control over and it can influence along with environmental impacts have been determined 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A LIFE CYCLE perspective of the environmental aspects has been considered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Established CRITERIA is documented and utilized to determine significant environmental aspects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SIGNIFICANT environmental aspects have been COMMUNICATED among the various levels and functions of the organization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COMPLIANCE OBLIGATIONS relating to environmental aspects meet requirements of ISO 14001:2015 (6.1.3)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organizations planning takes into consideration actions to address:  significant environmental aspects; compliance obligations; risks and opportunities (6.1.4.a)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organization’s planning process has the EMS integrated and implemented with other business processes (6.1.4.b)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ENVIRONMENTAL OBJECTIVES have been established that are consistent with the environmental policy, are MEASURABLE, MONITORED, COMMUNICATED &amp; UPDATED as appropriate (6.2.1)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of planning actions to achieve ENVIRONMENTAL OBJECTIVES, including:  WHAT will be done; what RESOURCES will be required; WHO will be responsible; WHEN it will be completed; HOW results will be evaluated, including indicators for monitoring progress (6.2.2)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 has INTEGRATED its environmental objective into the organizations business processes. (6.2.2)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7  SUPPORT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 has determined and provided RESOURCES needed for the establishment, implementation, maintenance and continual improvement of EMS (7.1)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organization has a process in place to determine necessary COMPETENCE, necessary training and documented information to support competence supporting requirements of ISO 14001:2015. (7.2)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Documented information supporting AWARENESS of persons working under the organizations control of environmental policy; significant environmental aspects; their contribution toward an effective EMS; understanding the benefits of enhanced environmental performance and implications of not conforming with EMS and fulfilling compliance obligations (7.3)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firstLine="72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process for INTERNAL &amp; EXETERNAL COMMUNICATIONS has been established consistent with ISO 14001:2015 (7.4)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DOCUMENTED INFORMATION is consistent with ISO 14001:2015 (7.5)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8 OPERATION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organization has established processes needed to meet EMS in operating process criteria and control of operating processes (8.1)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organization has environmental requirements and impacts associated with established operational control for planned changes and outsources processes considering each life cycle stage of products, services and activities (8.1)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Controls have been established to ensure Environmental requirements established for design, development processes for products, service, procurement of products and services (8.1. a &amp; b)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Communicated to external providers and contractors relevant environmental requirements? (8.1.c)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Considered need to provide information about potential significant environmental impacts associated with transportation, delivery, use, end of life treatment and final disposal of it products and services (8.1.d)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organization has emergency preparedness and response plans in place per ISO 14001:2015, (8.2)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9 PERFOMANCE EVALUATION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organization is MONITORING, MEASURING, ANALYZING AND EVALUATING environmental performance (9.1)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  <w:highlight w:val="cyan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organization has an effective process for evaluation of compliance obligations fulfillment (9.1.2)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  <w:highlight w:val="cyan"/>
              </w:rPr>
            </w:pPr>
            <w:r>
              <w:rPr>
                <w:rFonts w:cs="Arial" w:ascii="Arial" w:hAnsi="Arial"/>
                <w:sz w:val="16"/>
                <w:szCs w:val="16"/>
                <w:highlight w:val="cyan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Internal Audit Results </w:t>
            </w:r>
            <w:r>
              <w:rPr>
                <w:rFonts w:cs="Arial" w:ascii="Arial" w:hAnsi="Arial"/>
                <w:i/>
                <w:sz w:val="16"/>
                <w:szCs w:val="16"/>
              </w:rPr>
              <w:t>(9.2)</w:t>
            </w:r>
          </w:p>
          <w:p>
            <w:pPr>
              <w:pStyle w:val="Normal"/>
              <w:ind w:end="-108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(using process-approach)</w:t>
            </w:r>
          </w:p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>- Full internal Audit to ISO 14001: 2015</w:t>
            </w:r>
          </w:p>
          <w:p>
            <w:pPr>
              <w:pStyle w:val="Normal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-inputs, outputs, performance to targets, process linkages / interactions.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Records of </w:t>
            </w:r>
            <w:r>
              <w:rPr>
                <w:rFonts w:cs="Arial" w:ascii="Arial" w:hAnsi="Arial"/>
                <w:b/>
                <w:sz w:val="16"/>
                <w:szCs w:val="16"/>
              </w:rPr>
              <w:t>Management Review</w:t>
            </w:r>
            <w:r>
              <w:rPr>
                <w:rFonts w:cs="Arial" w:ascii="Arial" w:hAnsi="Arial"/>
                <w:sz w:val="16"/>
                <w:szCs w:val="16"/>
              </w:rPr>
              <w:t xml:space="preserve"> </w:t>
            </w:r>
            <w:r>
              <w:rPr>
                <w:rFonts w:cs="Arial" w:ascii="Arial" w:hAnsi="Arial"/>
                <w:i/>
                <w:sz w:val="16"/>
                <w:szCs w:val="16"/>
              </w:rPr>
              <w:t>(9.3)</w:t>
            </w:r>
            <w:r>
              <w:rPr>
                <w:rFonts w:cs="Arial" w:ascii="Arial" w:hAnsi="Arial"/>
                <w:sz w:val="16"/>
                <w:szCs w:val="16"/>
              </w:rPr>
              <w:t xml:space="preserve"> Completed to ISO 14001: 2015 requirements after completion of the Internal Audit.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10 IMPROVEMENT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of an effective process for taking action to correct nonconformity and the consequences of adverse environmental impacts (10.2)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effective continuous improvement of EMS to enhance environmental performance (10.2)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Internal Audit Corrective Actions </w:t>
            </w:r>
            <w:r>
              <w:rPr>
                <w:rFonts w:cs="Arial" w:ascii="Arial" w:hAnsi="Arial"/>
                <w:i/>
                <w:sz w:val="16"/>
                <w:szCs w:val="16"/>
              </w:rPr>
              <w:t xml:space="preserve">(10.2 d) completed. </w:t>
            </w:r>
            <w:r>
              <w:rPr>
                <w:rFonts w:cs="Arial" w:ascii="Arial" w:hAnsi="Arial"/>
                <w:sz w:val="16"/>
                <w:szCs w:val="16"/>
              </w:rPr>
              <w:t>(including evidence of closure)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</w:tbl>
    <w:p>
      <w:pPr>
        <w:pStyle w:val="Normal"/>
        <w:rPr>
          <w:rFonts w:ascii="Arial" w:hAnsi="Arial" w:cs="Arial"/>
          <w:lang w:val="it-IT"/>
        </w:rPr>
      </w:pPr>
      <w:r>
        <w:rPr>
          <w:rFonts w:cs="Arial" w:ascii="Arial" w:hAnsi="Arial"/>
          <w:lang w:val="it-IT"/>
        </w:rPr>
      </w:r>
      <w:r>
        <w:br w:type="page"/>
      </w:r>
    </w:p>
    <w:p>
      <w:pPr>
        <w:pStyle w:val="Normal"/>
        <w:rPr>
          <w:rFonts w:ascii="Arial" w:hAnsi="Arial" w:cs="Arial"/>
          <w:lang w:val="it-IT"/>
        </w:rPr>
      </w:pPr>
      <w:r>
        <w:rPr>
          <w:rFonts w:cs="Arial" w:ascii="Arial" w:hAnsi="Arial"/>
          <w:lang w:val="it-IT"/>
        </w:rPr>
      </w:r>
    </w:p>
    <w:tbl>
      <w:tblPr>
        <w:tblW w:w="13986" w:type="dxa"/>
        <w:jc w:val="star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74"/>
        <w:gridCol w:w="4824"/>
        <w:gridCol w:w="3690"/>
        <w:gridCol w:w="1998"/>
      </w:tblGrid>
      <w:tr>
        <w:trPr/>
        <w:tc>
          <w:tcPr>
            <w:tcW w:w="3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Auditors</w:t>
            </w:r>
          </w:p>
        </w:tc>
        <w:tc>
          <w:tcPr>
            <w:tcW w:w="48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Nome</w:t>
            </w:r>
          </w:p>
        </w:tc>
        <w:tc>
          <w:tcPr>
            <w:tcW w:w="3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Firma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Data</w:t>
            </w:r>
          </w:p>
        </w:tc>
      </w:tr>
      <w:tr>
        <w:trPr/>
        <w:tc>
          <w:tcPr>
            <w:tcW w:w="3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Cs w:val="20"/>
              </w:rPr>
            </w:pPr>
            <w:r>
              <w:rPr>
                <w:rFonts w:cs="Arial" w:ascii="Arial" w:hAnsi="Arial"/>
                <w:b/>
                <w:szCs w:val="20"/>
              </w:rPr>
            </w:r>
          </w:p>
        </w:tc>
        <w:tc>
          <w:tcPr>
            <w:tcW w:w="48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3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48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3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sectPr>
          <w:headerReference w:type="default" r:id="rId2"/>
          <w:footerReference w:type="default" r:id="rId3"/>
          <w:type w:val="nextPage"/>
          <w:pgSz w:orient="landscape" w:w="15840" w:h="12240"/>
          <w:pgMar w:left="1080" w:right="1080" w:gutter="0" w:header="720" w:top="1507" w:footer="432" w:bottom="1080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pPr w:vertAnchor="page" w:horzAnchor="margin" w:rightFromText="180" w:tblpX="5" w:tblpY="1741"/>
        <w:tblW w:w="986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0"/>
        <w:gridCol w:w="1095"/>
        <w:gridCol w:w="1095"/>
        <w:gridCol w:w="3839"/>
      </w:tblGrid>
      <w:tr>
        <w:trPr>
          <w:trHeight w:val="288" w:hRule="atLeast"/>
        </w:trPr>
        <w:tc>
          <w:tcPr>
            <w:tcW w:w="493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New or Different in ISO 14001:2015 to ISO 14001:2004</w:t>
            </w:r>
          </w:p>
        </w:tc>
        <w:tc>
          <w:tcPr>
            <w:tcW w:w="4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Covered in ISO 14001:2004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  <w:tc>
          <w:tcPr>
            <w:tcW w:w="109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  <w:tc>
          <w:tcPr>
            <w:tcW w:w="109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  <w:tc>
          <w:tcPr>
            <w:tcW w:w="383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14001:2015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New Section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Old Section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14001:2004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Introduction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Background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Aim of Environmental Management systems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Success Factors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Plan-do-Check-Act Model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Contents of this International Standard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Scope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Scope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Normative References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2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Normative References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&amp; Definitions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Terms &amp; Definitions 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 Related to Organization &amp; Leadership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Related to Planning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Related to Support &amp; Operation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Related to Performance Evaluation &amp; Improvement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Context of the Organization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Understanding the organization &amp; its Context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Understanding the needs &amp; Expectation of Interested parties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Determining the scope of the environmental management system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4.3    </w:t>
              <w:br/>
              <w:t>A.1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Planning                                                                            General Requirements                                                      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Management System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General Requirements                       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Leadership (Title only)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Leadership &amp; Commitment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Policy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4.2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Policy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Organizational roles, responsibilities &amp; authorities</w:t>
            </w:r>
          </w:p>
        </w:tc>
        <w:tc>
          <w:tcPr>
            <w:tcW w:w="1095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5.3</w:t>
            </w:r>
          </w:p>
        </w:tc>
        <w:tc>
          <w:tcPr>
            <w:tcW w:w="1095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hanging="10" w:start="2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4.4.1</w:t>
            </w:r>
          </w:p>
        </w:tc>
        <w:tc>
          <w:tcPr>
            <w:tcW w:w="3839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Resources, Roles, responsibility &amp; authority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(title only)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(title only)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Actions to address risks &amp; opportunities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Significant environmental aspects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Aspects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Compliance Obligations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4.3.2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Legal &amp; Other Requirements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Actions to address Risks associated with threats &amp;  Opportunities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to take Action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Objectives &amp; Planning to achieve them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Objectives, targets &amp; programme(s)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Objectives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6.2.1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Objectives, targets &amp; programme(s)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Actions to achieve environmental objectives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6.2.2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Objectives, targets &amp; programme(s)</w:t>
            </w:r>
          </w:p>
        </w:tc>
      </w:tr>
    </w:tbl>
    <w:p>
      <w:pPr>
        <w:pStyle w:val="Normal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tbl>
      <w:tblPr>
        <w:tblW w:w="101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5"/>
        <w:gridCol w:w="1268"/>
        <w:gridCol w:w="1177"/>
        <w:gridCol w:w="3845"/>
      </w:tblGrid>
      <w:tr>
        <w:trPr>
          <w:trHeight w:val="259" w:hRule="atLeast"/>
        </w:trPr>
        <w:tc>
          <w:tcPr>
            <w:tcW w:w="51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New or Different in                                                                     ISO 14001:2015 to ISO 14001:2004</w:t>
            </w:r>
          </w:p>
        </w:tc>
        <w:tc>
          <w:tcPr>
            <w:tcW w:w="50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Covered in ISO 14001:2004</w:t>
            </w:r>
          </w:p>
        </w:tc>
      </w:tr>
      <w:tr>
        <w:trPr>
          <w:trHeight w:val="144" w:hRule="atLeast"/>
        </w:trPr>
        <w:tc>
          <w:tcPr>
            <w:tcW w:w="10135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  <w:u w:val="single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  <w:u w:val="single"/>
              </w:rPr>
            </w:r>
          </w:p>
        </w:tc>
      </w:tr>
      <w:tr>
        <w:trPr>
          <w:trHeight w:val="350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14001:2015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New Section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Old Section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14001:2004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Support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Implementation &amp; Operation (title only)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Resources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4.4.1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Resources, Roles, responsibility &amp; authority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Competence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4.4.2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Competence, training &amp; awareness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Awareness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4.4.2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Competence, training &amp; awareness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Communications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Internal Communication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External Communication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Documented Information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Creating &amp; Updating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Records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documented Information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4.4.5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Records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Operation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8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Implementation &amp; Operation (title only)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Operational Planning &amp; Control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8.1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4.4.6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Operational Control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Emergency Preparedness &amp; Response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8.2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4.4.7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Emergency Preparedness &amp; Response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Performance Evaluation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Checking (Title Only)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Monitoring, Measurement, analysis &amp;  evaluation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4.5.1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Monitoring &amp; Measurement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9.1.1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4.5.1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Monitoring &amp; Measurement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Evaluation of Compliance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9.1.2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4.5.2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Evaluation of Compliance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Internal Audit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4.5.5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Internal Audit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Management Review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4.6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Management Review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Improvement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10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Nonconformity &amp; Corrective action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10.1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Non conformity, corrective action &amp; preventive action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Continual Improvement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10.2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Annex A:  Guidance on the use of this International Standard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Annex A:  Guidance on the use of this International Standard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Annex B: Correspondence between ISO 14001:2015 and ISO 14001:2004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Correspondence between ISO 14001:2004 &amp; ISO 9001:2000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Bibliography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Bibliography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Alphabetical Index of Terms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</w:tbl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2240" w:h="15840"/>
      <w:pgMar w:left="1080" w:right="1507" w:gutter="0" w:header="720" w:top="1080" w:footer="432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Gotham-Light">
    <w:charset w:val="00" w:characterSet="windows-125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CG Times (WN)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6"/>
      </w:rPr>
    </w:pPr>
    <w:r>
      <w:rPr>
        <w:sz w:val="16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6"/>
      </w:rPr>
    </w:pPr>
    <w:r>
      <w:rPr>
        <w:sz w:val="16"/>
      </w:rPr>
    </w:r>
  </w:p>
  <w:p>
    <w:r>
      <w:t>MasterComplianceHSQE by Maurizio Gustinicchi Consulting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1493520" cy="670560"/>
          <wp:effectExtent l="0" t="0" r="0" b="0"/>
          <wp:docPr id="1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0837" t="24321" r="8825" b="28989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6705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1493520" cy="670560"/>
          <wp:effectExtent l="0" t="0" r="0" b="0"/>
          <wp:docPr id="2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0837" t="24321" r="8825" b="28989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6705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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  <w:sz w:val="22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>
        <w:i w:val="false"/>
        <w:b w:val="false"/>
      </w:rPr>
    </w:lvl>
    <w:lvl w:ilvl="1">
      <w:start w:val="1"/>
      <w:numFmt w:val="decimal"/>
      <w:lvlText w:val="%1.%2"/>
      <w:lvlJc w:val="start"/>
      <w:pPr>
        <w:tabs>
          <w:tab w:val="num" w:pos="900"/>
        </w:tabs>
        <w:ind w:start="900" w:hanging="540"/>
      </w:pPr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540"/>
      </w:pPr>
    </w:lvl>
    <w:lvl w:ilvl="3">
      <w:start w:val="1"/>
      <w:numFmt w:val="decimal"/>
      <w:lvlText w:val="%1.%2.%3.%4"/>
      <w:lvlJc w:val="start"/>
      <w:pPr>
        <w:tabs>
          <w:tab w:val="num" w:pos="2160"/>
        </w:tabs>
        <w:ind w:start="2160" w:hanging="720"/>
      </w:pPr>
    </w:lvl>
    <w:lvl w:ilvl="4">
      <w:start w:val="1"/>
      <w:numFmt w:val="decimal"/>
      <w:lvlText w:val="%1.%2.%3.%4.%5"/>
      <w:lvlJc w:val="start"/>
      <w:pPr>
        <w:tabs>
          <w:tab w:val="num" w:pos="3240"/>
        </w:tabs>
        <w:ind w:start="3240" w:hanging="1080"/>
      </w:pPr>
    </w:lvl>
    <w:lvl w:ilvl="5">
      <w:start w:val="1"/>
      <w:numFmt w:val="decimal"/>
      <w:lvlText w:val="%1.%2.%3.%4.%5.%6"/>
      <w:lvlJc w:val="start"/>
      <w:pPr>
        <w:tabs>
          <w:tab w:val="num" w:pos="4320"/>
        </w:tabs>
        <w:ind w:start="4320" w:hanging="1080"/>
      </w:pPr>
    </w:lvl>
    <w:lvl w:ilvl="6">
      <w:start w:val="1"/>
      <w:numFmt w:val="decimal"/>
      <w:lvlText w:val="%1.%2.%3.%4.%5.%6.%7"/>
      <w:lvlJc w:val="start"/>
      <w:pPr>
        <w:tabs>
          <w:tab w:val="num" w:pos="5400"/>
        </w:tabs>
        <w:ind w:start="5227" w:hanging="907"/>
      </w:pPr>
    </w:lvl>
    <w:lvl w:ilvl="7">
      <w:start w:val="1"/>
      <w:numFmt w:val="decimal"/>
      <w:lvlText w:val="%1.%2.%3.%4.%5.%6.%7.%8"/>
      <w:lvlJc w:val="start"/>
      <w:pPr>
        <w:tabs>
          <w:tab w:val="num" w:pos="6667"/>
        </w:tabs>
        <w:ind w:start="6120" w:hanging="893"/>
      </w:pPr>
    </w:lvl>
    <w:lvl w:ilvl="8">
      <w:start w:val="1"/>
      <w:numFmt w:val="decimal"/>
      <w:lvlText w:val="%1.%2.%3.%4.%5.%6.%7.%8.%9"/>
      <w:lvlJc w:val="start"/>
      <w:pPr>
        <w:tabs>
          <w:tab w:val="num" w:pos="7560"/>
        </w:tabs>
        <w:ind w:start="7200" w:hanging="1080"/>
      </w:p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Liberation Serif" w:hAnsi="Liberation Serif" w:cs="Liberation Serif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Cambria" w:hAnsi="Cambria" w:eastAsia="MS Gothic;ＭＳ ゴシック" w:cs="Cambria"/>
      <w:color w:val="243F60"/>
      <w:sz w:val="24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Arial" w:hAnsi="Arial" w:cs="Aria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1">
    <w:name w:val="WW8Num5z1"/>
    <w:qFormat/>
    <w:rPr>
      <w:rFonts w:ascii="Gotham-Light" w:hAnsi="Gotham-Light" w:eastAsia="Calibri" w:cs="Times New Roman"/>
      <w:sz w:val="22"/>
      <w:szCs w:val="22"/>
    </w:rPr>
  </w:style>
  <w:style w:type="character" w:styleId="WW8Num5z2">
    <w:name w:val="WW8Num5z2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Wingdings"/>
      <w:sz w:val="22"/>
    </w:rPr>
  </w:style>
  <w:style w:type="character" w:styleId="WW8Num6z1">
    <w:name w:val="WW8Num6z1"/>
    <w:qFormat/>
    <w:rPr>
      <w:rFonts w:ascii="Symbol" w:hAnsi="Symbol" w:cs="Symbol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4">
    <w:name w:val="WW8Num6z4"/>
    <w:qFormat/>
    <w:rPr>
      <w:rFonts w:ascii="Courier New" w:hAnsi="Courier New" w:cs="Courier New"/>
    </w:rPr>
  </w:style>
  <w:style w:type="character" w:styleId="WW8Num7z0">
    <w:name w:val="WW8Num7z0"/>
    <w:qFormat/>
    <w:rPr>
      <w:b w:val="false"/>
      <w:i w:val="false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10z0">
    <w:name w:val="WW8Num10z0"/>
    <w:qFormat/>
    <w:rPr>
      <w:rFonts w:ascii="Arial" w:hAnsi="Arial" w:cs="Aria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Arial" w:hAnsi="Arial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Rimandocommento">
    <w:name w:val="Rimando commento"/>
    <w:qFormat/>
    <w:rPr>
      <w:sz w:val="16"/>
      <w:szCs w:val="16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3Carattere">
    <w:name w:val="Titolo 3 Carattere"/>
    <w:qFormat/>
    <w:rPr>
      <w:rFonts w:ascii="Cambria" w:hAnsi="Cambria" w:eastAsia="MS Gothic;ＭＳ ゴシック" w:cs="Times New Roman"/>
      <w:color w:val="243F60"/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DOutline">
    <w:name w:val="CD Outline"/>
    <w:basedOn w:val="Normal"/>
    <w:qFormat/>
    <w:pPr>
      <w:numPr>
        <w:ilvl w:val="0"/>
        <w:numId w:val="3"/>
      </w:numPr>
      <w:spacing w:before="200" w:after="0"/>
      <w:outlineLvl w:val="0"/>
    </w:pPr>
    <w:rPr>
      <w:szCs w:val="20"/>
    </w:rPr>
  </w:style>
  <w:style w:type="paragraph" w:styleId="Index1">
    <w:name w:val="Index 1"/>
    <w:basedOn w:val="Normal"/>
    <w:next w:val="Normal"/>
    <w:pPr>
      <w:numPr>
        <w:ilvl w:val="0"/>
        <w:numId w:val="2"/>
      </w:numPr>
      <w:spacing w:before="110" w:after="0"/>
      <w:jc w:val="both"/>
    </w:pPr>
    <w:rPr>
      <w:sz w:val="22"/>
      <w:szCs w:val="20"/>
    </w:rPr>
  </w:style>
  <w:style w:type="paragraph" w:styleId="Index2">
    <w:name w:val="Index 2"/>
    <w:basedOn w:val="Normal"/>
    <w:next w:val="Normal"/>
    <w:pPr>
      <w:numPr>
        <w:ilvl w:val="0"/>
        <w:numId w:val="4"/>
      </w:numPr>
      <w:spacing w:before="110" w:after="0"/>
      <w:jc w:val="both"/>
    </w:pPr>
    <w:rPr>
      <w:bCs/>
      <w:sz w:val="22"/>
      <w:szCs w:val="20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Testocommento">
    <w:name w:val="Testo commento"/>
    <w:basedOn w:val="Normal"/>
    <w:qFormat/>
    <w:pPr/>
    <w:rPr>
      <w:szCs w:val="20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PRCBULLET">
    <w:name w:val="PRC BULLET"/>
    <w:basedOn w:val="Normal"/>
    <w:qFormat/>
    <w:pPr>
      <w:widowControl w:val="false"/>
      <w:autoSpaceDE w:val="false"/>
      <w:spacing w:before="60" w:after="72"/>
      <w:ind w:hanging="173" w:start="749" w:end="0"/>
    </w:pPr>
    <w:rPr>
      <w:rFonts w:ascii="CG Times (WN)" w:hAnsi="CG Times (WN)" w:cs="CG Times (WN)"/>
      <w:sz w:val="24"/>
    </w:rPr>
  </w:style>
  <w:style w:type="paragraph" w:styleId="Links12N0">
    <w:name w:val="Links 12 (N0)"/>
    <w:basedOn w:val="Normal"/>
    <w:qFormat/>
    <w:pPr>
      <w:overflowPunct w:val="false"/>
      <w:autoSpaceDE w:val="false"/>
      <w:textAlignment w:val="baseline"/>
    </w:pPr>
    <w:rPr>
      <w:rFonts w:ascii="Arial" w:hAnsi="Arial" w:cs="Arial"/>
      <w:sz w:val="24"/>
      <w:szCs w:val="20"/>
      <w:lang w:val="de-DE"/>
    </w:rPr>
  </w:style>
  <w:style w:type="paragraph" w:styleId="ColorfulList-Accent11">
    <w:name w:val="Colorful List - Accent 11"/>
    <w:basedOn w:val="Normal"/>
    <w:qFormat/>
    <w:pPr>
      <w:ind w:hanging="0" w:start="720" w:end="0"/>
    </w:pPr>
    <w:rPr/>
  </w:style>
  <w:style w:type="paragraph" w:styleId="Paragrafoelenco">
    <w:name w:val="Paragrafo elenco"/>
    <w:basedOn w:val="Normal"/>
    <w:qFormat/>
    <w:pPr>
      <w:spacing w:before="0" w:after="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