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OC1"/>
        <w:spacing w:before="120" w:after="0"/>
        <w:rPr>
          <w:rFonts w:ascii="Calibri" w:hAnsi="Calibri" w:cs="Calibri"/>
          <w:i w:val="false"/>
          <w:i w:val="false"/>
          <w:szCs w:val="24"/>
        </w:rPr>
      </w:pPr>
      <w:r>
        <w:rPr>
          <w:rFonts w:cs="Calibri" w:ascii="Calibri" w:hAnsi="Calibri"/>
          <w:i w:val="false"/>
          <w:szCs w:val="24"/>
        </w:rPr>
      </w:r>
    </w:p>
    <w:p>
      <w:pPr>
        <w:pStyle w:val="TOC1"/>
        <w:rPr>
          <w:rFonts w:ascii="Calibri" w:hAnsi="Calibri" w:cs="Calibri"/>
          <w:i w:val="false"/>
          <w:i w:val="false"/>
          <w:szCs w:val="24"/>
        </w:rPr>
      </w:pPr>
      <w:r>
        <w:rPr>
          <w:rFonts w:cs="Calibri" w:ascii="Calibri" w:hAnsi="Calibri"/>
          <w:i w:val="false"/>
          <w:szCs w:val="24"/>
        </w:rPr>
        <w:t>INDICE</w:t>
      </w:r>
    </w:p>
    <w:p>
      <w:pPr>
        <w:pStyle w:val="TOC1"/>
        <w:rPr>
          <w:rFonts w:ascii="Calibri" w:hAnsi="Calibri" w:cs="Calibri"/>
          <w:i w:val="false"/>
          <w:i w:val="false"/>
          <w:szCs w:val="24"/>
        </w:rPr>
      </w:pPr>
      <w:r>
        <w:rPr>
          <w:rFonts w:cs="Calibri" w:ascii="Calibri" w:hAnsi="Calibri"/>
          <w:i w:val="false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jc w:val="start"/>
            <w:rPr>
              <w:rFonts w:ascii="Calibri" w:hAnsi="Calibri" w:cs="Calibri"/>
              <w:b w:val="false"/>
              <w:i w:val="false"/>
              <w:i w:val="false"/>
              <w:szCs w:val="24"/>
              <w:lang w:val="en-US" w:eastAsia="en-US"/>
            </w:rPr>
          </w:pPr>
          <w:r>
            <w:fldChar w:fldCharType="begin"/>
          </w:r>
          <w:r>
            <w:rPr>
              <w:i w:val="false"/>
              <w:b w:val="false"/>
              <w:szCs w:val="24"/>
              <w:rFonts w:cs="Calibri" w:ascii="Calibri" w:hAnsi="Calibri"/>
              <w:lang w:val="en-US" w:eastAsia="en-US"/>
            </w:rPr>
            <w:instrText xml:space="preserve"> TOC \o "1-3" </w:instrText>
          </w:r>
          <w:r>
            <w:rPr>
              <w:i w:val="false"/>
              <w:b w:val="false"/>
              <w:szCs w:val="24"/>
              <w:rFonts w:cs="Calibri" w:ascii="Calibri" w:hAnsi="Calibri"/>
              <w:lang w:val="en-US" w:eastAsia="en-US"/>
            </w:rPr>
            <w:fldChar w:fldCharType="separate"/>
          </w:r>
          <w:r>
            <w:rPr>
              <w:rFonts w:cs="Calibri" w:ascii="Calibri" w:hAnsi="Calibri"/>
              <w:b w:val="false"/>
              <w:i w:val="false"/>
              <w:szCs w:val="24"/>
              <w:lang w:val="en-US" w:eastAsia="en-US"/>
            </w:rPr>
            <w:t>1. SCOPO E GENERALITA</w:t>
            <w:tab/>
          </w:r>
          <w:hyperlink w:anchor="__RefHeading___Toc507054398">
            <w:r>
              <w:rPr>
                <w:rStyle w:val="IndexLink"/>
                <w:rFonts w:cs="Calibri" w:ascii="Calibri" w:hAnsi="Calibri"/>
                <w:b w:val="false"/>
                <w:i w:val="false"/>
                <w:szCs w:val="24"/>
                <w:lang w:val="en-US" w:eastAsia="en-US"/>
              </w:rPr>
              <w:t>2</w:t>
            </w:r>
          </w:hyperlink>
        </w:p>
        <w:p>
          <w:pPr>
            <w:pStyle w:val="TOC1"/>
            <w:jc w:val="start"/>
            <w:rPr>
              <w:rFonts w:ascii="Calibri" w:hAnsi="Calibri" w:cs="Calibri"/>
              <w:b w:val="false"/>
              <w:i w:val="false"/>
              <w:i w:val="false"/>
              <w:szCs w:val="24"/>
              <w:lang w:val="en-US" w:eastAsia="en-US"/>
            </w:rPr>
          </w:pPr>
          <w:r>
            <w:rPr>
              <w:rFonts w:cs="Calibri" w:ascii="Calibri" w:hAnsi="Calibri"/>
              <w:b w:val="false"/>
              <w:i w:val="false"/>
              <w:szCs w:val="24"/>
              <w:lang w:val="en-US" w:eastAsia="en-US"/>
            </w:rPr>
            <w:t>2. DESCRIZIONE DELLE ATTIVITA' E RESPONSABILITA'</w:t>
            <w:tab/>
          </w:r>
          <w:hyperlink w:anchor="__RefHeading___Toc507054399">
            <w:r>
              <w:rPr>
                <w:rStyle w:val="IndexLink"/>
                <w:rFonts w:cs="Calibri" w:ascii="Calibri" w:hAnsi="Calibri"/>
                <w:b w:val="false"/>
                <w:i w:val="false"/>
                <w:szCs w:val="24"/>
                <w:lang w:val="en-US" w:eastAsia="en-US"/>
              </w:rPr>
              <w:t>2</w:t>
            </w:r>
          </w:hyperlink>
        </w:p>
        <w:p>
          <w:pPr>
            <w:pStyle w:val="TOC1"/>
            <w:jc w:val="start"/>
            <w:rPr/>
          </w:pPr>
          <w:r>
            <w:rPr>
              <w:rFonts w:cs="Calibri" w:ascii="Calibri" w:hAnsi="Calibri"/>
              <w:b w:val="false"/>
              <w:i w:val="false"/>
              <w:szCs w:val="24"/>
              <w:lang w:val="en-US" w:eastAsia="en-US"/>
            </w:rPr>
            <w:t>3. ARCHIVIAZIONE E CONSERVAZIONE________________________________________________3</w:t>
          </w:r>
          <w:r>
            <w:rPr>
              <w:i w:val="false"/>
              <w:b w:val="false"/>
              <w:szCs w:val="24"/>
              <w:rFonts w:cs="Calibri" w:ascii="Calibri" w:hAnsi="Calibri"/>
              <w:lang w:val="en-US" w:eastAsia="en-US"/>
            </w:rPr>
            <w:fldChar w:fldCharType="end"/>
          </w:r>
        </w:p>
        <w:p>
          <w:pPr>
            <w:sectPr>
              <w:headerReference w:type="default" r:id="rId2"/>
              <w:headerReference w:type="first" r:id="rId3"/>
              <w:footerReference w:type="default" r:id="rId4"/>
              <w:footerReference w:type="first" r:id="rId5"/>
              <w:type w:val="nextPage"/>
              <w:pgSz w:w="11906" w:h="16838"/>
              <w:pgMar w:left="1134" w:right="1134" w:gutter="0" w:header="720" w:top="1729" w:footer="89" w:bottom="1134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</w:p>
      </w:sdtContent>
    </w:sdt>
    <w:p>
      <w:pPr>
        <w:pStyle w:val="TOC1"/>
        <w:jc w:val="start"/>
        <w:rPr/>
      </w:pPr>
      <w:bookmarkStart w:id="0" w:name="__RefHeading___Toc507054398"/>
      <w:bookmarkEnd w:id="0"/>
      <w:r>
        <w:rPr>
          <w:rFonts w:cs="Calibri" w:ascii="Calibri" w:hAnsi="Calibri"/>
          <w:i w:val="false"/>
          <w:szCs w:val="24"/>
        </w:rPr>
        <w:t xml:space="preserve">1. </w:t>
      </w:r>
      <w:r>
        <w:rPr>
          <w:rFonts w:cs="Calibri" w:ascii="Calibri" w:hAnsi="Calibri"/>
          <w:i w:val="false"/>
          <w:caps/>
          <w:szCs w:val="24"/>
        </w:rPr>
        <w:t>Scopo e generalità</w:t>
      </w:r>
    </w:p>
    <w:p>
      <w:pPr>
        <w:pStyle w:val="Normal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 xml:space="preserve">La presente procedura descrive in forma sintetica le attività collegate alla gestione, conservazione ed archiviazione della documentazione normativa e legislativa. </w:t>
      </w:r>
    </w:p>
    <w:p>
      <w:pPr>
        <w:pStyle w:val="Heading1"/>
        <w:rPr>
          <w:rFonts w:ascii="Calibri" w:hAnsi="Calibri" w:cs="Tahoma"/>
          <w:i w:val="false"/>
          <w:i w:val="false"/>
          <w:sz w:val="24"/>
          <w:szCs w:val="24"/>
        </w:rPr>
      </w:pPr>
      <w:bookmarkStart w:id="1" w:name="__RefHeading___Toc507054399"/>
      <w:r>
        <w:rPr>
          <w:rFonts w:cs="Tahoma" w:ascii="Calibri" w:hAnsi="Calibri"/>
          <w:i w:val="false"/>
          <w:sz w:val="24"/>
          <w:szCs w:val="24"/>
        </w:rPr>
        <w:t xml:space="preserve">2. </w:t>
      </w:r>
      <w:bookmarkEnd w:id="1"/>
      <w:r>
        <w:rPr>
          <w:rFonts w:cs="Tahoma" w:ascii="Calibri" w:hAnsi="Calibri"/>
          <w:i w:val="false"/>
          <w:sz w:val="24"/>
          <w:szCs w:val="24"/>
        </w:rP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1596390</wp:posOffset>
                </wp:positionH>
                <wp:positionV relativeFrom="paragraph">
                  <wp:posOffset>1427480</wp:posOffset>
                </wp:positionV>
                <wp:extent cx="0" cy="270510"/>
                <wp:effectExtent l="38100" t="0" r="38100" b="0"/>
                <wp:wrapNone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7036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5.7pt,112.4pt" to="125.7pt,133.6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  <w:t>DESCRIZIONE DELLE ATTIVITA’ E RESPONSABILITA’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">
                <wp:simplePos x="0" y="0"/>
                <wp:positionH relativeFrom="column">
                  <wp:posOffset>3394710</wp:posOffset>
                </wp:positionH>
                <wp:positionV relativeFrom="paragraph">
                  <wp:posOffset>745490</wp:posOffset>
                </wp:positionV>
                <wp:extent cx="2975610" cy="6344285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5610" cy="634428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tbl>
                            <w:tblPr>
                              <w:tblW w:w="4395" w:type="dxa"/>
                              <w:jc w:val="start"/>
                              <w:tblInd w:w="70" w:type="dxa"/>
                              <w:tblLayout w:type="fixed"/>
                              <w:tblCellMar>
                                <w:top w:w="0" w:type="dxa"/>
                                <w:start w:w="70" w:type="dxa"/>
                                <w:bottom w:w="0" w:type="dxa"/>
                                <w:end w:w="70" w:type="dxa"/>
                              </w:tblCellMar>
                            </w:tblPr>
                            <w:tblGrid>
                              <w:gridCol w:w="1560"/>
                              <w:gridCol w:w="2835"/>
                            </w:tblGrid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Calibri" w:hAnsi="Calibri" w:cs="Calibri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  <w:t>Responsabili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Calibri" w:hAnsi="Calibri" w:cs="Calibri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  <w:t>Attività / Registrazioni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82" w:hRule="atLeast"/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RSGQ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RSGQ raccoglie tutte la documentazione  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43" w:hRule="atLeast"/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RSGQ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Viene predisposto un elenco di tutta la documentazione,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  <w:t>Mod.2.1.1 Elenco /  Archivio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11" w:hRule="atLeast"/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RSGQ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Almeno annualmente viene verificata la validità delle normativa presente in azienda, attraverso consultazione di banche dati, internet e pubblicazioni specializzate</w:t>
                                  </w:r>
                                </w:p>
                              </w:tc>
                            </w:tr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RSGQ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Viene acquistata/reperita la versione aggiornata o nuova della normativa/legge </w:t>
                                  </w:r>
                                </w:p>
                              </w:tc>
                            </w:tr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RSGQ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Viene tolta la versione superata e aggiunta quella nuova all’elenco. </w:t>
                                  </w:r>
                                </w:p>
                              </w:tc>
                            </w:tr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RSGQ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Al termine del controlla firmano l’elenco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  <w:t>Mod. 2.1.1 Elenco e Archivio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jc w:val="center"/>
                              <w:rPr>
                                <w:rFonts w:ascii="Tahoma" w:hAnsi="Tahoma" w:cs="Tahoma"/>
                              </w:rPr>
                            </w:pPr>
                            <w:r>
                              <w:rPr>
                                <w:rFonts w:cs="Tahoma" w:ascii="Tahoma" w:hAnsi="Tahoma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34.3pt;height:499.55pt;mso-wrap-distance-left:9.05pt;mso-wrap-distance-right:9.05pt;mso-wrap-distance-top:0pt;mso-wrap-distance-bottom:0pt;margin-top:58.7pt;mso-position-vertical-relative:text;margin-left:267.3pt;mso-position-horizontal-relative:text">
                <v:textbox inset="0.100694444444444in,0.0506944444444444in,0.100694444444444in,0.0506944444444444in">
                  <w:txbxContent>
                    <w:tbl>
                      <w:tblPr>
                        <w:tblW w:w="4395" w:type="dxa"/>
                        <w:jc w:val="start"/>
                        <w:tblInd w:w="70" w:type="dxa"/>
                        <w:tblLayout w:type="fixed"/>
                        <w:tblCellMar>
                          <w:top w:w="0" w:type="dxa"/>
                          <w:start w:w="70" w:type="dxa"/>
                          <w:bottom w:w="0" w:type="dxa"/>
                          <w:end w:w="70" w:type="dxa"/>
                        </w:tblCellMar>
                      </w:tblPr>
                      <w:tblGrid>
                        <w:gridCol w:w="1560"/>
                        <w:gridCol w:w="2835"/>
                      </w:tblGrid>
                      <w:tr>
                        <w:trPr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Responsabili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Attività / Registrazioni</w:t>
                            </w:r>
                          </w:p>
                        </w:tc>
                      </w:tr>
                      <w:tr>
                        <w:trPr>
                          <w:trHeight w:val="682" w:hRule="atLeast"/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RSGQ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RSGQ raccoglie tutte la documentazione  </w:t>
                            </w:r>
                          </w:p>
                        </w:tc>
                      </w:tr>
                      <w:tr>
                        <w:trPr>
                          <w:trHeight w:val="643" w:hRule="atLeast"/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RSGQ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Viene predisposto un elenco di tutta la documentazione, 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  <w:t>Mod.2.1.1 Elenco /  Archivio</w:t>
                            </w:r>
                          </w:p>
                        </w:tc>
                      </w:tr>
                      <w:tr>
                        <w:trPr>
                          <w:trHeight w:val="1911" w:hRule="atLeast"/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RSGQ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Almeno annualmente viene verificata la validità delle normativa presente in azienda, attraverso consultazione di banche dati, internet e pubblicazioni specializzate</w:t>
                            </w:r>
                          </w:p>
                        </w:tc>
                      </w:tr>
                      <w:tr>
                        <w:trPr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RSGQ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Viene acquistata/reperita la versione aggiornata o nuova della normativa/legge </w:t>
                            </w:r>
                          </w:p>
                        </w:tc>
                      </w:tr>
                      <w:tr>
                        <w:trPr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RSGQ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Viene tolta la versione superata e aggiunta quella nuova all’elenco. </w:t>
                            </w:r>
                          </w:p>
                        </w:tc>
                      </w:tr>
                      <w:tr>
                        <w:trPr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RSGQ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Al termine del controlla firmano l’elenco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  <w:t>Mod. 2.1.1 Elenco e Archivio</w:t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jc w:val="center"/>
                        <w:rPr>
                          <w:rFonts w:ascii="Tahoma" w:hAnsi="Tahoma" w:cs="Tahoma"/>
                        </w:rPr>
                      </w:pPr>
                      <w:r>
                        <w:rPr>
                          <w:rFonts w:cs="Tahoma" w:ascii="Tahoma" w:hAnsi="Tahoma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690245</wp:posOffset>
                </wp:positionH>
                <wp:positionV relativeFrom="paragraph">
                  <wp:posOffset>791845</wp:posOffset>
                </wp:positionV>
                <wp:extent cx="1812290" cy="640080"/>
                <wp:effectExtent l="0" t="0" r="0" b="0"/>
                <wp:wrapNone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2290" cy="64008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Raccolta documentazione tecnica e normativa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42.7pt;height:50.4pt;mso-wrap-distance-left:9.05pt;mso-wrap-distance-right:9.05pt;mso-wrap-distance-top:0pt;mso-wrap-distance-bottom:0pt;margin-top:62.35pt;mso-position-vertical-relative:text;margin-left:54.3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Raccolta documentazione tecnica e normativa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690245</wp:posOffset>
                </wp:positionH>
                <wp:positionV relativeFrom="paragraph">
                  <wp:posOffset>1693545</wp:posOffset>
                </wp:positionV>
                <wp:extent cx="1812290" cy="640080"/>
                <wp:effectExtent l="0" t="0" r="0" b="0"/>
                <wp:wrapNone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2290" cy="64008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Predisposizione elenco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42.7pt;height:50.4pt;mso-wrap-distance-left:9.05pt;mso-wrap-distance-right:9.05pt;mso-wrap-distance-top:0pt;mso-wrap-distance-bottom:0pt;margin-top:133.35pt;mso-position-vertical-relative:text;margin-left:54.3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Predisposizione elenco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i/>
          <w:i/>
          <w:sz w:val="24"/>
          <w:szCs w:val="24"/>
        </w:rPr>
      </w:pPr>
      <w:r>
        <w:rPr>
          <w:rFonts w:cs="Calibri" w:ascii="Calibri" w:hAnsi="Calibri"/>
          <w:i/>
          <w:sz w:val="24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7">
                <wp:simplePos x="0" y="0"/>
                <wp:positionH relativeFrom="column">
                  <wp:posOffset>1596390</wp:posOffset>
                </wp:positionH>
                <wp:positionV relativeFrom="paragraph">
                  <wp:posOffset>43815</wp:posOffset>
                </wp:positionV>
                <wp:extent cx="0" cy="659130"/>
                <wp:effectExtent l="38100" t="0" r="38100" b="0"/>
                <wp:wrapNone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65916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5.7pt,3.45pt" to="125.7pt,55.3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8">
                <wp:simplePos x="0" y="0"/>
                <wp:positionH relativeFrom="column">
                  <wp:posOffset>477520</wp:posOffset>
                </wp:positionH>
                <wp:positionV relativeFrom="paragraph">
                  <wp:posOffset>138430</wp:posOffset>
                </wp:positionV>
                <wp:extent cx="2254250" cy="1532890"/>
                <wp:effectExtent l="8890" t="6350" r="9525" b="6985"/>
                <wp:wrapNone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4320" cy="153288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24"/>
                                <w:szCs w:val="20"/>
                                <w:rFonts w:ascii="Calibri" w:hAnsi="Calibri" w:eastAsia="Times New Roman" w:cs="Calibri"/>
                                <w:color w:val="auto"/>
                                <w:lang w:val="it-IT" w:bidi="ar-SA"/>
                              </w:rPr>
                              <w:t>Valutazione aggiornamento normativa. Tutto Ok?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4" coordsize="21600,21600" o:spt="4" path="m,10800l10800,l21600,10800l10800,21600xe">
                <v:stroke joinstyle="miter"/>
                <v:formulas>
                  <v:f eqn="prod width 3 4"/>
                  <v:f eqn="prod height 3 4"/>
                </v:formulas>
                <v:path gradientshapeok="t" o:connecttype="rect" textboxrect="5400,5400,@0,@1"/>
              </v:shapetype>
              <v:shape id="shape_0" fillcolor="white" stroked="t" o:allowincell="f" style="position:absolute;margin-left:37.6pt;margin-top:10.9pt;width:177.45pt;height:120.65pt;mso-wrap-style:square;v-text-anchor:top" type="_x0000_t4">
                <v:textbox>
                  <w:txbxContent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kern w:val="2"/>
                          <w:sz w:val="24"/>
                          <w:szCs w:val="20"/>
                          <w:rFonts w:ascii="Calibri" w:hAnsi="Calibri" w:eastAsia="Times New Roman" w:cs="Calibri"/>
                          <w:color w:val="auto"/>
                          <w:lang w:val="it-IT" w:bidi="ar-SA"/>
                        </w:rPr>
                        <w:t>Valutazione aggiornamento normativa. Tutto Ok?</w:t>
                      </w:r>
                    </w:p>
                  </w:txbxContent>
                </v:textbox>
                <v:fill o:detectmouseclick="t" type="solid" color2="black"/>
                <v:stroke color="black" weight="9360" joinstyle="miter" endcap="flat"/>
                <w10:wrap type="none"/>
              </v:shape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4">
                <wp:simplePos x="0" y="0"/>
                <wp:positionH relativeFrom="column">
                  <wp:posOffset>-88900</wp:posOffset>
                </wp:positionH>
                <wp:positionV relativeFrom="paragraph">
                  <wp:posOffset>159385</wp:posOffset>
                </wp:positionV>
                <wp:extent cx="591820" cy="0"/>
                <wp:effectExtent l="0" t="5080" r="0" b="5080"/>
                <wp:wrapNone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918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7pt,12.55pt" to="39.55pt,12.55pt" stroked="t" o:allowincell="f" style="position:absolute;flip:x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15">
                <wp:simplePos x="0" y="0"/>
                <wp:positionH relativeFrom="column">
                  <wp:posOffset>-88900</wp:posOffset>
                </wp:positionH>
                <wp:positionV relativeFrom="paragraph">
                  <wp:posOffset>159385</wp:posOffset>
                </wp:positionV>
                <wp:extent cx="8890" cy="3123565"/>
                <wp:effectExtent l="5080" t="635" r="5080" b="635"/>
                <wp:wrapNone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00" cy="3123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7pt,12.55pt" to="-6.35pt,258.4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10">
                <wp:simplePos x="0" y="0"/>
                <wp:positionH relativeFrom="column">
                  <wp:posOffset>1270</wp:posOffset>
                </wp:positionH>
                <wp:positionV relativeFrom="paragraph">
                  <wp:posOffset>120015</wp:posOffset>
                </wp:positionV>
                <wp:extent cx="631190" cy="270510"/>
                <wp:effectExtent l="0" t="0" r="0" b="0"/>
                <wp:wrapNone/>
                <wp:docPr id="9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190" cy="2705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Si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49.7pt;height:21.3pt;mso-wrap-distance-left:9.05pt;mso-wrap-distance-right:9.05pt;mso-wrap-distance-top:0pt;mso-wrap-distance-bottom:0pt;margin-top:9.45pt;mso-position-vertical-relative:text;margin-left:0.1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Si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9">
                <wp:simplePos x="0" y="0"/>
                <wp:positionH relativeFrom="column">
                  <wp:posOffset>1624330</wp:posOffset>
                </wp:positionH>
                <wp:positionV relativeFrom="paragraph">
                  <wp:posOffset>28575</wp:posOffset>
                </wp:positionV>
                <wp:extent cx="0" cy="468630"/>
                <wp:effectExtent l="38100" t="0" r="38100" b="0"/>
                <wp:wrapNone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468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7.9pt,2.25pt" to="127.9pt,39.1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17">
                <wp:simplePos x="0" y="0"/>
                <wp:positionH relativeFrom="column">
                  <wp:posOffset>1804670</wp:posOffset>
                </wp:positionH>
                <wp:positionV relativeFrom="paragraph">
                  <wp:posOffset>135255</wp:posOffset>
                </wp:positionV>
                <wp:extent cx="631190" cy="270510"/>
                <wp:effectExtent l="0" t="0" r="0" b="0"/>
                <wp:wrapNone/>
                <wp:docPr id="11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190" cy="2705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No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49.7pt;height:21.3pt;mso-wrap-distance-left:9.05pt;mso-wrap-distance-right:9.05pt;mso-wrap-distance-top:0pt;mso-wrap-distance-bottom:0pt;margin-top:10.65pt;mso-position-vertical-relative:text;margin-left:142.1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No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6">
                <wp:simplePos x="0" y="0"/>
                <wp:positionH relativeFrom="column">
                  <wp:posOffset>628015</wp:posOffset>
                </wp:positionH>
                <wp:positionV relativeFrom="paragraph">
                  <wp:posOffset>140970</wp:posOffset>
                </wp:positionV>
                <wp:extent cx="1812290" cy="640080"/>
                <wp:effectExtent l="0" t="0" r="0" b="0"/>
                <wp:wrapNone/>
                <wp:docPr id="12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2290" cy="64008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Reperimento nuova versione norma/legge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42.7pt;height:50.4pt;mso-wrap-distance-left:9.05pt;mso-wrap-distance-right:9.05pt;mso-wrap-distance-top:0pt;mso-wrap-distance-bottom:0pt;margin-top:11.1pt;mso-position-vertical-relative:text;margin-left:49.4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Reperimento nuova versione norma/legge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2">
                <wp:simplePos x="0" y="0"/>
                <wp:positionH relativeFrom="column">
                  <wp:posOffset>1611630</wp:posOffset>
                </wp:positionH>
                <wp:positionV relativeFrom="paragraph">
                  <wp:posOffset>41275</wp:posOffset>
                </wp:positionV>
                <wp:extent cx="0" cy="297180"/>
                <wp:effectExtent l="38100" t="0" r="38100" b="0"/>
                <wp:wrapNone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9736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6.9pt,3.25pt" to="126.9pt,26.6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11">
                <wp:simplePos x="0" y="0"/>
                <wp:positionH relativeFrom="column">
                  <wp:posOffset>628015</wp:posOffset>
                </wp:positionH>
                <wp:positionV relativeFrom="paragraph">
                  <wp:posOffset>175260</wp:posOffset>
                </wp:positionV>
                <wp:extent cx="1812290" cy="447040"/>
                <wp:effectExtent l="0" t="0" r="0" b="0"/>
                <wp:wrapNone/>
                <wp:docPr id="14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2290" cy="44704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Aggiornamento Elenco,  aggiornamento archivio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42.7pt;height:35.2pt;mso-wrap-distance-left:9.05pt;mso-wrap-distance-right:9.05pt;mso-wrap-distance-top:0pt;mso-wrap-distance-bottom:0pt;margin-top:13.8pt;mso-position-vertical-relative:text;margin-left:49.4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Aggiornamento Elenco,  aggiornamento archivio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lang w:val="en-US" w:eastAsia="en-US"/>
        </w:rPr>
      </w:pPr>
      <w:r>
        <w:rPr>
          <w:rFonts w:cs="Calibri" w:ascii="Calibri" w:hAnsi="Calibri"/>
          <w:b/>
          <w:szCs w:val="24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8">
                <wp:simplePos x="0" y="0"/>
                <wp:positionH relativeFrom="column">
                  <wp:posOffset>1606550</wp:posOffset>
                </wp:positionH>
                <wp:positionV relativeFrom="paragraph">
                  <wp:posOffset>66040</wp:posOffset>
                </wp:positionV>
                <wp:extent cx="0" cy="366395"/>
                <wp:effectExtent l="38100" t="0" r="38100" b="0"/>
                <wp:wrapNone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3664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6.5pt,5.2pt" to="126.5pt,34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lang w:val="en-US" w:eastAsia="en-US"/>
        </w:rPr>
      </w:pPr>
      <w:r>
        <w:rPr>
          <w:rFonts w:cs="Calibri" w:ascii="Calibri" w:hAnsi="Calibri"/>
          <w:b/>
          <w:szCs w:val="24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lang w:val="en-US" w:eastAsia="en-US"/>
        </w:rPr>
      </w:pPr>
      <w:r>
        <w:rPr>
          <w:rFonts w:cs="Calibri" w:ascii="Calibri" w:hAnsi="Calibri"/>
          <w:b/>
          <w:szCs w:val="24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6">
                <wp:simplePos x="0" y="0"/>
                <wp:positionH relativeFrom="column">
                  <wp:posOffset>-80010</wp:posOffset>
                </wp:positionH>
                <wp:positionV relativeFrom="paragraph">
                  <wp:posOffset>132715</wp:posOffset>
                </wp:positionV>
                <wp:extent cx="721360" cy="0"/>
                <wp:effectExtent l="0" t="38100" r="0" b="38100"/>
                <wp:wrapNone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14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6.3pt,10.45pt" to="50.45pt,10.4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13">
                <wp:simplePos x="0" y="0"/>
                <wp:positionH relativeFrom="column">
                  <wp:posOffset>628015</wp:posOffset>
                </wp:positionH>
                <wp:positionV relativeFrom="paragraph">
                  <wp:posOffset>59690</wp:posOffset>
                </wp:positionV>
                <wp:extent cx="1812290" cy="283210"/>
                <wp:effectExtent l="0" t="0" r="0" b="0"/>
                <wp:wrapNone/>
                <wp:docPr id="17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2290" cy="28321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Firma Elenco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42.7pt;height:22.3pt;mso-wrap-distance-left:9.05pt;mso-wrap-distance-right:9.05pt;mso-wrap-distance-top:0pt;mso-wrap-distance-bottom:0pt;margin-top:4.7pt;mso-position-vertical-relative:text;margin-left:49.4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Firma Elenco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lang w:val="en-US" w:eastAsia="en-US"/>
        </w:rPr>
      </w:pPr>
      <w:r>
        <w:rPr>
          <w:rFonts w:cs="Calibri" w:ascii="Calibri" w:hAnsi="Calibri"/>
          <w:b/>
          <w:szCs w:val="24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lang w:val="en-US" w:eastAsia="en-US"/>
        </w:rPr>
      </w:pPr>
      <w:r>
        <w:rPr>
          <w:rFonts w:cs="Calibri" w:ascii="Calibri" w:hAnsi="Calibri"/>
          <w:b/>
          <w:szCs w:val="24"/>
          <w:lang w:val="en-US" w:eastAsia="en-US"/>
        </w:rPr>
      </w:r>
    </w:p>
    <w:p>
      <w:pPr>
        <w:pStyle w:val="Heading1"/>
        <w:rPr>
          <w:rFonts w:ascii="Calibri" w:hAnsi="Calibri" w:cs="Tahoma"/>
          <w:i w:val="false"/>
          <w:i w:val="false"/>
          <w:sz w:val="24"/>
          <w:szCs w:val="24"/>
        </w:rPr>
      </w:pPr>
      <w:r>
        <w:rPr>
          <w:rFonts w:cs="Tahoma" w:ascii="Calibri" w:hAnsi="Calibri"/>
          <w:i w:val="false"/>
          <w:sz w:val="24"/>
          <w:szCs w:val="24"/>
        </w:rPr>
        <w:t xml:space="preserve">3. ARCHIVIAZIONE E CONSERVAZIONE </w:t>
      </w:r>
    </w:p>
    <w:tbl>
      <w:tblPr>
        <w:tblW w:w="9497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51"/>
        <w:gridCol w:w="567"/>
        <w:gridCol w:w="709"/>
        <w:gridCol w:w="425"/>
        <w:gridCol w:w="850"/>
        <w:gridCol w:w="1134"/>
        <w:gridCol w:w="1134"/>
        <w:gridCol w:w="993"/>
        <w:gridCol w:w="850"/>
        <w:gridCol w:w="992"/>
        <w:gridCol w:w="992"/>
      </w:tblGrid>
      <w:tr>
        <w:trPr/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Descrizione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Registrazione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Origine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Id.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RQ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Resp.</w:t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Approvazione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Registraz ed Archiviaz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Luogo</w:t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Archiviaz ed accesso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Resp. Eliminazione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Tempo di archiviaz.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Protezione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Destinazione</w:t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Finale</w:t>
            </w:r>
          </w:p>
        </w:tc>
      </w:tr>
      <w:tr>
        <w:trPr/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Elenco e archivio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fr-FR" w:eastAsia="it-IT"/>
              </w:rPr>
            </w:pPr>
            <w:r>
              <w:rPr>
                <w:rFonts w:cs="Calibri" w:ascii="Calibri" w:hAnsi="Calibri"/>
                <w:szCs w:val="24"/>
                <w:lang w:val="fr-FR" w:eastAsia="it-IT"/>
              </w:rPr>
              <w:t>INT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fr-FR" w:eastAsia="it-IT"/>
              </w:rPr>
            </w:pPr>
            <w:r>
              <w:rPr>
                <w:rFonts w:cs="Calibri" w:ascii="Calibri" w:hAnsi="Calibri"/>
                <w:szCs w:val="24"/>
                <w:lang w:val="fr-FR" w:eastAsia="it-IT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fr-FR" w:eastAsia="it-IT"/>
              </w:rPr>
            </w:pPr>
            <w:r>
              <w:rPr>
                <w:rFonts w:cs="Calibri" w:ascii="Calibri" w:hAnsi="Calibri"/>
                <w:szCs w:val="24"/>
                <w:lang w:val="fr-FR" w:eastAsia="it-IT"/>
              </w:rPr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  <w:lang w:val="fr-FR"/>
              </w:rPr>
            </w:pPr>
            <w:r>
              <w:rPr>
                <w:rFonts w:cs="Calibri" w:ascii="Calibri" w:hAnsi="Calibri"/>
                <w:szCs w:val="24"/>
                <w:lang w:val="fr-FR"/>
              </w:rPr>
              <w:t>Mod.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  <w:lang w:val="fr-FR"/>
              </w:rPr>
              <w:t>2.1.1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spacing w:before="240" w:after="60"/>
              <w:ind w:hanging="0" w:start="0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  <w:t>X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  <w:lang w:val="fr-FR"/>
              </w:rPr>
            </w:pPr>
            <w:r>
              <w:rPr>
                <w:rFonts w:cs="Calibri" w:ascii="Calibri" w:hAnsi="Calibri"/>
                <w:sz w:val="24"/>
                <w:szCs w:val="24"/>
                <w:lang w:val="fr-FR"/>
              </w:rPr>
            </w:r>
          </w:p>
          <w:p>
            <w:pPr>
              <w:pStyle w:val="Normal"/>
              <w:rPr>
                <w:rFonts w:ascii="Calibri" w:hAnsi="Calibri" w:cs="Calibri"/>
                <w:szCs w:val="24"/>
                <w:lang w:val="fr-FR"/>
              </w:rPr>
            </w:pPr>
            <w:r>
              <w:rPr>
                <w:rFonts w:cs="Calibri" w:ascii="Calibri" w:hAnsi="Calibri"/>
                <w:szCs w:val="24"/>
                <w:lang w:val="fr-FR"/>
              </w:rPr>
              <w:t>RSGQ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Cs w:val="24"/>
                <w:lang w:val="fr-FR"/>
              </w:rPr>
            </w:pPr>
            <w:r>
              <w:rPr>
                <w:rFonts w:cs="Calibri" w:ascii="Calibri" w:hAnsi="Calibri"/>
                <w:szCs w:val="24"/>
                <w:lang w:val="fr-FR"/>
              </w:rPr>
            </w:r>
          </w:p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  <w:lang w:val="fr-FR"/>
              </w:rPr>
              <w:t>RSGQ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 xml:space="preserve">Ufficio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(accesso libero)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snapToGrid w:val="false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fr-FR" w:eastAsia="it-IT"/>
              </w:rPr>
              <w:t>RSGQ</w:t>
            </w:r>
            <w:r>
              <w:rPr>
                <w:rFonts w:cs="Calibri" w:ascii="Calibri" w:hAnsi="Calibri"/>
                <w:szCs w:val="24"/>
                <w:lang w:val="it-IT" w:eastAsia="it-IT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indeterminato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/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operative Riesame</w:t>
            </w:r>
          </w:p>
        </w:tc>
      </w:tr>
    </w:tbl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</w:r>
    </w:p>
    <w:tbl>
      <w:tblPr>
        <w:tblW w:w="9498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7"/>
        <w:gridCol w:w="7111"/>
      </w:tblGrid>
      <w:tr>
        <w:trPr>
          <w:trHeight w:val="414" w:hRule="atLeast"/>
        </w:trPr>
        <w:tc>
          <w:tcPr>
            <w:tcW w:w="2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Responsabile di Processo</w:t>
            </w:r>
          </w:p>
        </w:tc>
        <w:tc>
          <w:tcPr>
            <w:tcW w:w="71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RSGQ</w:t>
            </w:r>
          </w:p>
          <w:p>
            <w:pPr>
              <w:pStyle w:val="Normal"/>
              <w:jc w:val="both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</w:tc>
      </w:tr>
    </w:tbl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u w:val="single"/>
          <w:lang w:val="en-US" w:eastAsia="en-US"/>
        </w:rPr>
      </w:pPr>
      <w:r>
        <w:rPr>
          <w:rFonts w:cs="Calibri" w:ascii="Calibri" w:hAnsi="Calibri"/>
          <w:b/>
          <w:szCs w:val="24"/>
          <w:u w:val="single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u w:val="single"/>
          <w:lang w:val="en-US" w:eastAsia="en-US"/>
        </w:rPr>
      </w:pPr>
      <w:r>
        <w:rPr>
          <w:rFonts w:cs="Calibri" w:ascii="Calibri" w:hAnsi="Calibri"/>
          <w:b/>
          <w:szCs w:val="24"/>
          <w:u w:val="single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Cs w:val="24"/>
          <w:u w:val="single"/>
          <w:lang w:val="en-US" w:eastAsia="en-US"/>
        </w:rPr>
      </w:pPr>
      <w:r>
        <w:rPr>
          <w:rFonts w:cs="Calibri" w:ascii="Calibri" w:hAnsi="Calibri"/>
          <w:b/>
          <w:szCs w:val="24"/>
          <w:u w:val="single"/>
          <w:lang w:val="en-US" w:eastAsia="en-US"/>
        </w:rPr>
      </w:r>
    </w:p>
    <w:p>
      <w:pPr>
        <w:pStyle w:val="Normal"/>
        <w:rPr>
          <w:rFonts w:ascii="Calibri" w:hAnsi="Calibri" w:cs="Calibri"/>
          <w:szCs w:val="24"/>
          <w:lang w:val="en-US" w:eastAsia="en-US"/>
        </w:rPr>
      </w:pPr>
      <w:r>
        <w:rPr>
          <w:rFonts w:cs="Calibri" w:ascii="Calibri" w:hAnsi="Calibri"/>
          <w:szCs w:val="24"/>
          <w:lang w:val="en-US" w:eastAsia="en-US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tabs>
          <w:tab w:val="clear" w:pos="708"/>
          <w:tab w:val="left" w:pos="6975" w:leader="none"/>
        </w:tabs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ab/>
      </w:r>
    </w:p>
    <w:sectPr>
      <w:headerReference w:type="default" r:id="rId6"/>
      <w:headerReference w:type="first" r:id="rId7"/>
      <w:footerReference w:type="default" r:id="rId8"/>
      <w:footerReference w:type="first" r:id="rId9"/>
      <w:type w:val="nextPage"/>
      <w:pgSz w:w="11906" w:h="16838"/>
      <w:pgMar w:left="1134" w:right="1134" w:gutter="0" w:header="720" w:top="1729" w:footer="8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Wingdings">
    <w:charset w:val="02"/>
    <w:family w:val="auto"/>
    <w:pitch w:val="variable"/>
  </w:font>
  <w:font w:name="Monotype Sort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2.1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0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3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4961"/>
      <w:gridCol w:w="3403"/>
      <w:gridCol w:w="1276"/>
    </w:tblGrid>
    <w:tr>
      <w:trPr>
        <w:trHeight w:val="400" w:hRule="atLeast"/>
      </w:trPr>
      <w:tc>
        <w:tcPr>
          <w:tcW w:w="496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en-US" w:eastAsia="it-IT"/>
            </w:rPr>
          </w:pPr>
          <w:r>
            <w:rPr>
              <w:rFonts w:cs="Calibri" w:ascii="Calibri" w:hAnsi="Calibri"/>
              <w:szCs w:val="24"/>
              <w:lang w:val="en-US" w:eastAsia="it-IT"/>
            </w:rPr>
            <w:t xml:space="preserve">ELABORATO </w:t>
          </w:r>
          <w:r>
            <w:rPr>
              <w:rFonts w:cs="Tahoma" w:ascii="Calibri" w:hAnsi="Calibri"/>
              <w:color w:val="000000"/>
              <w:szCs w:val="24"/>
              <w:lang w:val="en-US" w:eastAsia="it-IT"/>
            </w:rPr>
            <w:t>My Advisor S.r.l.</w:t>
          </w:r>
        </w:p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  <w:tc>
        <w:tcPr>
          <w:tcW w:w="4679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 xml:space="preserve">APPROVATO </w:t>
          </w:r>
        </w:p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</w:tr>
    <w:tr>
      <w:trPr>
        <w:trHeight w:val="293" w:hRule="atLeast"/>
      </w:trPr>
      <w:tc>
        <w:tcPr>
          <w:tcW w:w="8364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2.1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27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1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3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2.1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/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3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3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r>
      <w:t>MasterComplianceHSQE by Maurizio Gustinicchi Consulting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2.1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2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3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120"/>
            <w:ind w:hanging="0" w:start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2.1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DELLA DOCUMENTAZIONE NORMATIVA E LEGISLATIVA</w:t>
          </w:r>
        </w:p>
      </w:tc>
    </w:tr>
  </w:tbl>
  <w:p>
    <w:pPr>
      <w:pStyle w:val="Header"/>
      <w:rPr>
        <w:rFonts w:ascii="Tahoma" w:hAnsi="Tahoma" w:cs="Tahoma"/>
      </w:rPr>
    </w:pPr>
    <w:r>
      <w:rPr>
        <w:rFonts w:cs="Tahoma" w:ascii="Tahoma" w:hAnsi="Tahom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120"/>
            <w:ind w:hanging="0" w:start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2.1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DELLA DOCUMENTAZIONE NORMATIVA E LEGISLATIVA</w:t>
          </w:r>
        </w:p>
      </w:tc>
    </w:tr>
  </w:tbl>
  <w:p>
    <w:pPr>
      <w:pStyle w:val="Header"/>
      <w:rPr>
        <w:sz w:val="4"/>
      </w:rPr>
    </w:pPr>
    <w:r>
      <w:rPr>
        <w:sz w:val="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120"/>
            <w:ind w:hanging="0" w:start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2.1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DELLA DOCUMENTAZIONE NORMATIVA E LEGISLATIVA</w:t>
          </w:r>
        </w:p>
      </w:tc>
    </w:tr>
  </w:tbl>
  <w:p>
    <w:pPr>
      <w:pStyle w:val="Header"/>
      <w:rPr>
        <w:rFonts w:ascii="Tahoma" w:hAnsi="Tahoma" w:cs="Tahoma"/>
      </w:rPr>
    </w:pPr>
    <w:r>
      <w:rPr>
        <w:rFonts w:cs="Tahoma" w:ascii="Tahoma" w:hAnsi="Tahoma"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120"/>
            <w:ind w:hanging="0" w:start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2.1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DELLA DOCUMENTAZIONE NORMATIVA E LEGISLATIVA</w:t>
          </w:r>
        </w:p>
      </w:tc>
    </w:tr>
  </w:tbl>
  <w:p>
    <w:pPr>
      <w:pStyle w:val="Header"/>
      <w:rPr>
        <w:sz w:val="4"/>
      </w:rPr>
    </w:pPr>
    <w:r>
      <w:rPr>
        <w:sz w:val="4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z w:val="24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8"/>
        <w:tab w:val="left" w:pos="1418" w:leader="none"/>
      </w:tabs>
      <w:spacing w:before="480" w:after="480"/>
      <w:ind w:hanging="0" w:start="0" w:end="-142"/>
      <w:outlineLvl w:val="0"/>
    </w:pPr>
    <w:rPr>
      <w:rFonts w:ascii="Arial" w:hAnsi="Arial" w:cs="Arial"/>
      <w:b/>
      <w:i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widowControl/>
      <w:numPr>
        <w:ilvl w:val="1"/>
        <w:numId w:val="1"/>
      </w:numPr>
      <w:spacing w:before="240" w:after="120"/>
      <w:jc w:val="both"/>
      <w:outlineLvl w:val="1"/>
    </w:pPr>
    <w:rPr>
      <w:rFonts w:ascii="Arial" w:hAnsi="Arial" w:cs="Arial"/>
      <w:smallCaps/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left" w:pos="1418" w:leader="none"/>
      </w:tabs>
      <w:spacing w:before="360" w:after="360"/>
      <w:ind w:hanging="0" w:start="0" w:end="-142"/>
      <w:jc w:val="both"/>
      <w:outlineLvl w:val="2"/>
    </w:pPr>
    <w:rPr>
      <w:b/>
      <w:i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spacing w:before="240" w:after="120"/>
      <w:outlineLvl w:val="3"/>
    </w:pPr>
    <w:rPr>
      <w:rFonts w:ascii="Arial" w:hAnsi="Arial" w:cs="Arial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widowControl/>
      <w:numPr>
        <w:ilvl w:val="6"/>
        <w:numId w:val="1"/>
      </w:numPr>
      <w:spacing w:before="240" w:after="60"/>
      <w:outlineLvl w:val="6"/>
    </w:pPr>
    <w:rPr>
      <w:rFonts w:ascii="Arial" w:hAnsi="Arial" w:cs="Arial"/>
      <w:sz w:val="20"/>
    </w:rPr>
  </w:style>
  <w:style w:type="paragraph" w:styleId="Heading8">
    <w:name w:val="Heading 8"/>
    <w:basedOn w:val="Normal"/>
    <w:next w:val="Normal"/>
    <w:qFormat/>
    <w:pPr>
      <w:keepNext w:val="true"/>
      <w:widowControl/>
      <w:numPr>
        <w:ilvl w:val="7"/>
        <w:numId w:val="1"/>
      </w:numPr>
      <w:suppressAutoHyphens w:val="true"/>
      <w:spacing w:before="60" w:after="0"/>
      <w:jc w:val="center"/>
      <w:outlineLvl w:val="7"/>
    </w:pPr>
    <w:rPr>
      <w:rFonts w:ascii="Arial" w:hAnsi="Arial" w:cs="Arial"/>
      <w:b/>
      <w:sz w:val="18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suppressAutoHyphens w:val="true"/>
      <w:spacing w:before="60" w:after="0"/>
      <w:ind w:hanging="0" w:start="0" w:end="-70"/>
      <w:jc w:val="center"/>
      <w:outlineLvl w:val="8"/>
    </w:pPr>
    <w:rPr>
      <w:rFonts w:ascii="Arial" w:hAnsi="Arial" w:cs="Arial"/>
      <w:b/>
      <w:sz w:val="18"/>
    </w:rPr>
  </w:style>
  <w:style w:type="character" w:styleId="WW8Num2z0">
    <w:name w:val="WW8Num2z0"/>
    <w:qFormat/>
    <w:rPr>
      <w:rFonts w:ascii="Wingdings" w:hAnsi="Wingdings" w:cs="Wingdings"/>
      <w:color w:val="auto"/>
    </w:rPr>
  </w:style>
  <w:style w:type="character" w:styleId="WW8Num4z0">
    <w:name w:val="WW8Num4z0"/>
    <w:qFormat/>
    <w:rPr>
      <w:rFonts w:ascii="Symbol" w:hAnsi="Symbol" w:cs="Symbol"/>
      <w:sz w:val="28"/>
    </w:rPr>
  </w:style>
  <w:style w:type="character" w:styleId="WW8Num5z0">
    <w:name w:val="WW8Num5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1z0">
    <w:name w:val="WW8Num11z0"/>
    <w:qFormat/>
    <w:rPr>
      <w:rFonts w:ascii="Monotype Sorts" w:hAnsi="Monotype Sorts" w:cs="Monotype Sorts"/>
      <w:b/>
      <w:i w:val="false"/>
      <w:sz w:val="24"/>
    </w:rPr>
  </w:style>
  <w:style w:type="character" w:styleId="WW8Num12z0">
    <w:name w:val="WW8Num12z0"/>
    <w:qFormat/>
    <w:rPr>
      <w:rFonts w:ascii="Wingdings" w:hAnsi="Wingdings" w:cs="Wingdings"/>
      <w:color w:val="auto"/>
    </w:rPr>
  </w:style>
  <w:style w:type="character" w:styleId="WW8Num13z0">
    <w:name w:val="WW8Num13z0"/>
    <w:qFormat/>
    <w:rPr>
      <w:rFonts w:ascii="Symbol" w:hAnsi="Symbol" w:cs="Symbol"/>
      <w:sz w:val="8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St4z0">
    <w:name w:val="WW8NumSt4z0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TestofumettoCarattere">
    <w:name w:val="Testo fumetto Carattere"/>
    <w:qFormat/>
    <w:rPr>
      <w:rFonts w:ascii="Tahoma" w:hAnsi="Tahoma" w:cs="Tahoma"/>
      <w:sz w:val="16"/>
      <w:szCs w:val="16"/>
    </w:rPr>
  </w:style>
  <w:style w:type="character" w:styleId="PidipaginaCarattere">
    <w:name w:val="Piè di pagina Carattere"/>
    <w:qFormat/>
    <w:rPr>
      <w:sz w:val="24"/>
    </w:rPr>
  </w:style>
  <w:style w:type="character" w:styleId="IntestazioneCarattere">
    <w:name w:val="Intestazione Carattere"/>
    <w:qFormat/>
    <w:rPr>
      <w:sz w:val="24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jc w:val="center"/>
    </w:pPr>
    <w:rPr>
      <w:b/>
    </w:rPr>
  </w:style>
  <w:style w:type="paragraph" w:styleId="BodyText">
    <w:name w:val="Body Text"/>
    <w:basedOn w:val="Normal"/>
    <w:pPr>
      <w:widowControl/>
      <w:ind w:hanging="0" w:start="0" w:end="-1"/>
      <w:jc w:val="both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TOC1">
    <w:name w:val="TOC 1"/>
    <w:basedOn w:val="Normal"/>
    <w:next w:val="Normal"/>
    <w:pPr>
      <w:tabs>
        <w:tab w:val="clear" w:pos="708"/>
        <w:tab w:val="right" w:pos="9629" w:leader="underscore"/>
      </w:tabs>
      <w:spacing w:before="120" w:after="0"/>
      <w:jc w:val="center"/>
    </w:pPr>
    <w:rPr>
      <w:rFonts w:ascii="Tahoma" w:hAnsi="Tahoma" w:cs="Tahoma"/>
      <w:b/>
      <w:i/>
    </w:rPr>
  </w:style>
  <w:style w:type="paragraph" w:styleId="TOC2">
    <w:name w:val="TOC 2"/>
    <w:basedOn w:val="Normal"/>
    <w:next w:val="Normal"/>
    <w:pPr>
      <w:spacing w:before="120" w:after="0"/>
      <w:ind w:hanging="0" w:start="240" w:end="0"/>
    </w:pPr>
    <w:rPr>
      <w:b/>
      <w:sz w:val="22"/>
    </w:rPr>
  </w:style>
  <w:style w:type="paragraph" w:styleId="TOC3">
    <w:name w:val="TOC 3"/>
    <w:basedOn w:val="Normal"/>
    <w:next w:val="Normal"/>
    <w:pPr>
      <w:ind w:hanging="0" w:start="480" w:end="0"/>
    </w:pPr>
    <w:rPr>
      <w:sz w:val="20"/>
    </w:rPr>
  </w:style>
  <w:style w:type="paragraph" w:styleId="TOC4">
    <w:name w:val="TOC 4"/>
    <w:basedOn w:val="Normal"/>
    <w:next w:val="Normal"/>
    <w:pPr>
      <w:ind w:hanging="0" w:start="720" w:end="0"/>
    </w:pPr>
    <w:rPr>
      <w:sz w:val="20"/>
    </w:rPr>
  </w:style>
  <w:style w:type="paragraph" w:styleId="TOC5">
    <w:name w:val="TOC 5"/>
    <w:basedOn w:val="Normal"/>
    <w:next w:val="Normal"/>
    <w:pPr>
      <w:ind w:hanging="0" w:start="960" w:end="0"/>
    </w:pPr>
    <w:rPr>
      <w:sz w:val="20"/>
    </w:rPr>
  </w:style>
  <w:style w:type="paragraph" w:styleId="TOC6">
    <w:name w:val="TOC 6"/>
    <w:basedOn w:val="Normal"/>
    <w:next w:val="Normal"/>
    <w:pPr>
      <w:ind w:hanging="0" w:start="1200" w:end="0"/>
    </w:pPr>
    <w:rPr>
      <w:sz w:val="20"/>
    </w:rPr>
  </w:style>
  <w:style w:type="paragraph" w:styleId="TOC7">
    <w:name w:val="TOC 7"/>
    <w:basedOn w:val="Normal"/>
    <w:next w:val="Normal"/>
    <w:pPr>
      <w:ind w:hanging="0" w:start="1440" w:end="0"/>
    </w:pPr>
    <w:rPr>
      <w:sz w:val="20"/>
    </w:rPr>
  </w:style>
  <w:style w:type="paragraph" w:styleId="TOC8">
    <w:name w:val="TOC 8"/>
    <w:basedOn w:val="Normal"/>
    <w:next w:val="Normal"/>
    <w:pPr>
      <w:ind w:hanging="0" w:start="1680" w:end="0"/>
    </w:pPr>
    <w:rPr>
      <w:sz w:val="20"/>
    </w:rPr>
  </w:style>
  <w:style w:type="paragraph" w:styleId="TOC9">
    <w:name w:val="TOC 9"/>
    <w:basedOn w:val="Normal"/>
    <w:next w:val="Normal"/>
    <w:pPr>
      <w:ind w:hanging="0" w:start="1920" w:end="0"/>
    </w:pPr>
    <w:rPr>
      <w:sz w:val="20"/>
    </w:rPr>
  </w:style>
  <w:style w:type="paragraph" w:styleId="Index1">
    <w:name w:val="Index 1"/>
    <w:basedOn w:val="Normal"/>
    <w:next w:val="Normal"/>
    <w:pPr>
      <w:tabs>
        <w:tab w:val="clear" w:pos="708"/>
        <w:tab w:val="right" w:pos="4459" w:leader="dot"/>
      </w:tabs>
      <w:ind w:hanging="240" w:start="240" w:end="0"/>
    </w:pPr>
    <w:rPr>
      <w:sz w:val="20"/>
    </w:rPr>
  </w:style>
  <w:style w:type="paragraph" w:styleId="Index2">
    <w:name w:val="Index 2"/>
    <w:basedOn w:val="Normal"/>
    <w:next w:val="Normal"/>
    <w:pPr>
      <w:tabs>
        <w:tab w:val="clear" w:pos="708"/>
        <w:tab w:val="right" w:pos="4459" w:leader="dot"/>
      </w:tabs>
      <w:ind w:hanging="240" w:start="480" w:end="0"/>
    </w:pPr>
    <w:rPr>
      <w:sz w:val="20"/>
    </w:rPr>
  </w:style>
  <w:style w:type="paragraph" w:styleId="Index3">
    <w:name w:val="Index 3"/>
    <w:basedOn w:val="Normal"/>
    <w:next w:val="Normal"/>
    <w:pPr>
      <w:tabs>
        <w:tab w:val="clear" w:pos="708"/>
        <w:tab w:val="right" w:pos="4459" w:leader="dot"/>
      </w:tabs>
      <w:ind w:hanging="240" w:start="720" w:end="0"/>
    </w:pPr>
    <w:rPr>
      <w:sz w:val="20"/>
    </w:rPr>
  </w:style>
  <w:style w:type="paragraph" w:styleId="Indice4">
    <w:name w:val="Indice 4"/>
    <w:basedOn w:val="Normal"/>
    <w:next w:val="Normal"/>
    <w:qFormat/>
    <w:pPr>
      <w:tabs>
        <w:tab w:val="clear" w:pos="708"/>
        <w:tab w:val="right" w:pos="4459" w:leader="dot"/>
      </w:tabs>
      <w:ind w:hanging="240" w:start="960" w:end="0"/>
    </w:pPr>
    <w:rPr>
      <w:sz w:val="20"/>
    </w:rPr>
  </w:style>
  <w:style w:type="paragraph" w:styleId="Indice5">
    <w:name w:val="Indice 5"/>
    <w:basedOn w:val="Normal"/>
    <w:next w:val="Normal"/>
    <w:qFormat/>
    <w:pPr>
      <w:tabs>
        <w:tab w:val="clear" w:pos="708"/>
        <w:tab w:val="right" w:pos="4459" w:leader="dot"/>
      </w:tabs>
      <w:ind w:hanging="240" w:start="1200" w:end="0"/>
    </w:pPr>
    <w:rPr>
      <w:sz w:val="20"/>
    </w:rPr>
  </w:style>
  <w:style w:type="paragraph" w:styleId="Indice6">
    <w:name w:val="Indice 6"/>
    <w:basedOn w:val="Normal"/>
    <w:next w:val="Normal"/>
    <w:qFormat/>
    <w:pPr>
      <w:tabs>
        <w:tab w:val="clear" w:pos="708"/>
        <w:tab w:val="right" w:pos="4459" w:leader="dot"/>
      </w:tabs>
      <w:ind w:hanging="240" w:start="1440" w:end="0"/>
    </w:pPr>
    <w:rPr>
      <w:sz w:val="20"/>
    </w:rPr>
  </w:style>
  <w:style w:type="paragraph" w:styleId="Indice7">
    <w:name w:val="Indice 7"/>
    <w:basedOn w:val="Normal"/>
    <w:next w:val="Normal"/>
    <w:qFormat/>
    <w:pPr>
      <w:tabs>
        <w:tab w:val="clear" w:pos="708"/>
        <w:tab w:val="right" w:pos="4459" w:leader="dot"/>
      </w:tabs>
      <w:ind w:hanging="240" w:start="1680" w:end="0"/>
    </w:pPr>
    <w:rPr>
      <w:sz w:val="20"/>
    </w:rPr>
  </w:style>
  <w:style w:type="paragraph" w:styleId="Indice8">
    <w:name w:val="Indice 8"/>
    <w:basedOn w:val="Normal"/>
    <w:next w:val="Normal"/>
    <w:qFormat/>
    <w:pPr>
      <w:tabs>
        <w:tab w:val="clear" w:pos="708"/>
        <w:tab w:val="right" w:pos="4459" w:leader="dot"/>
      </w:tabs>
      <w:ind w:hanging="240" w:start="1920" w:end="0"/>
    </w:pPr>
    <w:rPr>
      <w:sz w:val="20"/>
    </w:rPr>
  </w:style>
  <w:style w:type="paragraph" w:styleId="Indice9">
    <w:name w:val="Indice 9"/>
    <w:basedOn w:val="Normal"/>
    <w:next w:val="Normal"/>
    <w:qFormat/>
    <w:pPr>
      <w:tabs>
        <w:tab w:val="clear" w:pos="708"/>
        <w:tab w:val="right" w:pos="4459" w:leader="dot"/>
      </w:tabs>
      <w:ind w:hanging="240" w:start="2160" w:end="0"/>
    </w:pPr>
    <w:rPr>
      <w:sz w:val="20"/>
    </w:rPr>
  </w:style>
  <w:style w:type="paragraph" w:styleId="IndexHeading">
    <w:name w:val="Index Heading"/>
    <w:basedOn w:val="Normal"/>
    <w:next w:val="Index1"/>
    <w:pPr>
      <w:spacing w:before="120" w:after="120"/>
    </w:pPr>
    <w:rPr>
      <w:b/>
      <w:i/>
      <w:sz w:val="20"/>
    </w:rPr>
  </w:style>
  <w:style w:type="paragraph" w:styleId="BodyTextIndent">
    <w:name w:val="Body Text Indent"/>
    <w:basedOn w:val="Normal"/>
    <w:pPr>
      <w:ind w:firstLine="709" w:start="0" w:end="0"/>
      <w:jc w:val="both"/>
    </w:pPr>
    <w:rPr/>
  </w:style>
  <w:style w:type="paragraph" w:styleId="Rientrocorpodeltesto2">
    <w:name w:val="Rientro corpo del testo 2"/>
    <w:basedOn w:val="Normal"/>
    <w:qFormat/>
    <w:pPr>
      <w:ind w:firstLine="709" w:start="0" w:end="0"/>
    </w:pPr>
    <w:rPr/>
  </w:style>
  <w:style w:type="paragraph" w:styleId="Rientrocorpodeltesto3">
    <w:name w:val="Rientro corpo del testo 3"/>
    <w:basedOn w:val="Normal"/>
    <w:qFormat/>
    <w:pPr>
      <w:ind w:firstLine="142" w:start="0" w:end="-142"/>
      <w:jc w:val="both"/>
    </w:pPr>
    <w:rPr>
      <w:smallCaps/>
    </w:rPr>
  </w:style>
  <w:style w:type="paragraph" w:styleId="Corpodeltesto2">
    <w:name w:val="Corpo del testo 2"/>
    <w:basedOn w:val="Normal"/>
    <w:qFormat/>
    <w:pPr>
      <w:jc w:val="center"/>
    </w:pPr>
    <w:rPr>
      <w:rFonts w:ascii="Arial" w:hAnsi="Arial" w:cs="Arial"/>
      <w:sz w:val="18"/>
    </w:rPr>
  </w:style>
  <w:style w:type="paragraph" w:styleId="Corpodeltesto3">
    <w:name w:val="Corpo del testo 3"/>
    <w:basedOn w:val="Normal"/>
    <w:qFormat/>
    <w:pPr>
      <w:jc w:val="center"/>
    </w:pPr>
    <w:rPr>
      <w:sz w:val="20"/>
    </w:rPr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header" Target="header3.xml"/><Relationship Id="rId7" Type="http://schemas.openxmlformats.org/officeDocument/2006/relationships/header" Target="header4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