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OC1"/>
        <w:spacing w:before="120" w:after="0"/>
        <w:rPr>
          <w:rStyle w:val="PageNumber"/>
          <w:rFonts w:ascii="Calibri" w:hAnsi="Calibri" w:cs="Calibri"/>
          <w:b/>
          <w:sz w:val="20"/>
        </w:rPr>
      </w:pPr>
      <w:r>
        <w:rPr/>
      </w:r>
    </w:p>
    <w:p>
      <w:pPr>
        <w:pStyle w:val="Heading6"/>
        <w:ind w:hanging="0" w:start="0"/>
        <w:rPr/>
      </w:pPr>
      <w:r>
        <w:rPr>
          <w:rStyle w:val="PageNumber"/>
          <w:rFonts w:cs="Calibri" w:ascii="Calibri" w:hAnsi="Calibri"/>
          <w:szCs w:val="24"/>
        </w:rPr>
        <w:t>INDICE</w:t>
      </w:r>
    </w:p>
    <w:p>
      <w:pPr>
        <w:pStyle w:val="Normal"/>
        <w:rPr>
          <w:rStyle w:val="PageNumber"/>
          <w:rFonts w:ascii="Calibri" w:hAnsi="Calibri" w:cs="Calibri"/>
          <w:szCs w:val="24"/>
        </w:rPr>
      </w:pPr>
      <w:r>
        <w:rPr/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08"/>
              <w:tab w:val="left" w:pos="720" w:leader="none"/>
              <w:tab w:val="right" w:pos="9629" w:leader="underscore"/>
            </w:tabs>
            <w:rPr>
              <w:rFonts w:ascii="Calibri" w:hAnsi="Calibri" w:cs="Tahoma"/>
              <w:b w:val="false"/>
              <w:caps/>
              <w:sz w:val="24"/>
              <w:szCs w:val="24"/>
              <w:lang w:val="en-US" w:eastAsia="en-US"/>
            </w:rPr>
          </w:pPr>
          <w:r>
            <w:fldChar w:fldCharType="begin"/>
          </w:r>
          <w:r>
            <w:rPr>
              <w:caps/>
              <w:sz w:val="24"/>
              <w:b w:val="false"/>
              <w:szCs w:val="24"/>
              <w:rFonts w:cs="Tahoma" w:ascii="Calibri" w:hAnsi="Calibri"/>
              <w:lang w:val="en-US" w:eastAsia="en-US"/>
            </w:rPr>
            <w:instrText xml:space="preserve"> TOC \o "1-5" \f </w:instrText>
          </w:r>
          <w:r>
            <w:rPr>
              <w:caps/>
              <w:sz w:val="24"/>
              <w:b w:val="false"/>
              <w:szCs w:val="24"/>
              <w:rFonts w:cs="Tahoma" w:ascii="Calibri" w:hAnsi="Calibri"/>
              <w:lang w:val="en-US" w:eastAsia="en-US"/>
            </w:rPr>
            <w:fldChar w:fldCharType="separate"/>
          </w:r>
          <w:r>
            <w:rPr>
              <w:rFonts w:cs="Tahoma" w:ascii="Calibri" w:hAnsi="Calibri"/>
              <w:b w:val="false"/>
              <w:caps/>
              <w:sz w:val="24"/>
              <w:szCs w:val="24"/>
              <w:lang w:val="en-US" w:eastAsia="en-US"/>
            </w:rPr>
            <w:t>1.</w:t>
            <w:tab/>
            <w:t xml:space="preserve"> SCOPO E GENERALITÀ</w:t>
            <w:tab/>
          </w:r>
          <w:hyperlink w:anchor="__RefHeading___Toc442089916">
            <w:r>
              <w:rPr>
                <w:rStyle w:val="IndexLink"/>
                <w:rFonts w:cs="Tahoma" w:ascii="Calibri" w:hAnsi="Calibri"/>
                <w:b w:val="false"/>
                <w:caps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629" w:leader="underscore"/>
            </w:tabs>
            <w:rPr>
              <w:rFonts w:ascii="Calibri" w:hAnsi="Calibri" w:cs="Tahoma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caps/>
              <w:color w:val="000000"/>
              <w:sz w:val="24"/>
              <w:szCs w:val="24"/>
              <w:lang w:val="en-US" w:eastAsia="en-US"/>
            </w:rPr>
            <w:t xml:space="preserve">2.1  </w:t>
          </w:r>
          <w:r>
            <w:rPr>
              <w:rFonts w:cs="Tahoma" w:ascii="Calibri" w:hAnsi="Calibri"/>
              <w:caps/>
              <w:sz w:val="24"/>
              <w:szCs w:val="24"/>
              <w:lang w:val="en-US" w:eastAsia="en-US"/>
            </w:rPr>
            <w:tab/>
          </w:r>
          <w:r>
            <w:rPr>
              <w:rFonts w:cs="Tahoma" w:ascii="Calibri" w:hAnsi="Calibri"/>
              <w:caps/>
              <w:color w:val="000000"/>
              <w:sz w:val="24"/>
              <w:szCs w:val="24"/>
              <w:lang w:val="en-US" w:eastAsia="en-US"/>
            </w:rPr>
            <w:t>APPLICABILITÀ</w:t>
          </w:r>
          <w:r>
            <w:rPr>
              <w:rFonts w:cs="Tahoma" w:ascii="Calibri" w:hAnsi="Calibri"/>
              <w:caps/>
              <w:sz w:val="24"/>
              <w:szCs w:val="24"/>
              <w:lang w:val="en-US" w:eastAsia="en-US"/>
            </w:rPr>
            <w:tab/>
          </w:r>
          <w:hyperlink w:anchor="__RefHeading___Toc442089917">
            <w:r>
              <w:rPr>
                <w:rStyle w:val="IndexLink"/>
                <w:rFonts w:cs="Tahoma" w:ascii="Calibri" w:hAnsi="Calibri"/>
                <w:caps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629" w:leader="underscore"/>
            </w:tabs>
            <w:rPr>
              <w:rFonts w:ascii="Calibri" w:hAnsi="Calibri" w:cs="Tahoma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caps/>
              <w:sz w:val="24"/>
              <w:szCs w:val="24"/>
              <w:lang w:val="en-US" w:eastAsia="en-US"/>
            </w:rPr>
            <w:t xml:space="preserve">2.2  </w:t>
            <w:tab/>
            <w:t>RESPONSABILITÀ</w:t>
            <w:tab/>
          </w:r>
          <w:hyperlink w:anchor="__RefHeading___Toc442089918">
            <w:r>
              <w:rPr>
                <w:rStyle w:val="IndexLink"/>
                <w:rFonts w:cs="Tahoma" w:ascii="Calibri" w:hAnsi="Calibri"/>
                <w:caps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08"/>
              <w:tab w:val="left" w:pos="720" w:leader="none"/>
              <w:tab w:val="right" w:pos="9629" w:leader="underscore"/>
            </w:tabs>
            <w:rPr>
              <w:rFonts w:ascii="Calibri" w:hAnsi="Calibri" w:cs="Tahoma"/>
              <w:b w:val="false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caps/>
              <w:sz w:val="24"/>
              <w:szCs w:val="24"/>
              <w:lang w:val="en-US" w:eastAsia="en-US"/>
            </w:rPr>
            <w:t>3</w:t>
            <w:tab/>
            <w:t xml:space="preserve"> DESCRIZIONE DELLE ATTIVITÀ</w:t>
            <w:tab/>
          </w:r>
          <w:hyperlink w:anchor="__RefHeading___Toc442089919">
            <w:r>
              <w:rPr>
                <w:rStyle w:val="IndexLink"/>
                <w:rFonts w:cs="Tahoma" w:ascii="Calibri" w:hAnsi="Calibri"/>
                <w:b w:val="false"/>
                <w:caps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629" w:leader="underscore"/>
            </w:tabs>
            <w:rPr>
              <w:rFonts w:ascii="Calibri" w:hAnsi="Calibri" w:cs="Tahoma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caps/>
              <w:sz w:val="24"/>
              <w:szCs w:val="24"/>
              <w:lang w:val="en-US" w:eastAsia="en-US"/>
            </w:rPr>
            <w:t>3.1</w:t>
            <w:tab/>
            <w:t>VALUTAZIONE FORNITORI</w:t>
            <w:tab/>
          </w:r>
          <w:hyperlink w:anchor="__RefHeading___Toc442089920">
            <w:r>
              <w:rPr>
                <w:rStyle w:val="IndexLink"/>
                <w:rFonts w:cs="Tahoma" w:ascii="Calibri" w:hAnsi="Calibri"/>
                <w:caps/>
                <w:sz w:val="24"/>
                <w:szCs w:val="24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08"/>
              <w:tab w:val="left" w:pos="960" w:leader="none"/>
              <w:tab w:val="right" w:pos="9629" w:leader="underscore"/>
            </w:tabs>
            <w:rPr>
              <w:rFonts w:ascii="Calibri" w:hAnsi="Calibri" w:cs="Tahoma"/>
              <w:b w:val="false"/>
              <w:caps/>
              <w:sz w:val="24"/>
              <w:szCs w:val="24"/>
              <w:lang w:val="en-US" w:eastAsia="en-US"/>
            </w:rPr>
          </w:pPr>
          <w:r>
            <w:rPr>
              <w:rFonts w:eastAsia="Calibri" w:cs="Calibri" w:ascii="Calibri" w:hAnsi="Calibri"/>
              <w:b w:val="false"/>
              <w:iCs/>
              <w:caps/>
              <w:sz w:val="24"/>
              <w:szCs w:val="24"/>
              <w:lang w:val="en-US" w:eastAsia="en-US"/>
            </w:rPr>
            <w:t xml:space="preserve">     </w:t>
          </w:r>
          <w:r>
            <w:rPr>
              <w:rFonts w:cs="Tahoma" w:ascii="Calibri" w:hAnsi="Calibri"/>
              <w:b w:val="false"/>
              <w:iCs/>
              <w:caps/>
              <w:sz w:val="24"/>
              <w:szCs w:val="24"/>
              <w:lang w:val="en-US" w:eastAsia="en-US"/>
            </w:rPr>
            <w:t>3.2</w:t>
          </w:r>
          <w:r>
            <w:rPr>
              <w:rFonts w:cs="Tahoma" w:ascii="Calibri" w:hAnsi="Calibri"/>
              <w:b w:val="false"/>
              <w:caps/>
              <w:sz w:val="24"/>
              <w:szCs w:val="24"/>
              <w:lang w:val="en-US" w:eastAsia="en-US"/>
            </w:rPr>
            <w:tab/>
            <w:t xml:space="preserve">     </w:t>
          </w:r>
          <w:r>
            <w:rPr>
              <w:rFonts w:cs="Tahoma" w:ascii="Calibri" w:hAnsi="Calibri"/>
              <w:b w:val="false"/>
              <w:iCs/>
              <w:caps/>
              <w:sz w:val="24"/>
              <w:szCs w:val="24"/>
              <w:lang w:val="en-US" w:eastAsia="en-US"/>
            </w:rPr>
            <w:t>DOCUMENTI DI acqUISTO</w:t>
          </w:r>
          <w:r>
            <w:rPr>
              <w:rFonts w:cs="Tahoma" w:ascii="Calibri" w:hAnsi="Calibri"/>
              <w:b w:val="false"/>
              <w:caps/>
              <w:sz w:val="24"/>
              <w:szCs w:val="24"/>
              <w:lang w:val="en-US" w:eastAsia="en-US"/>
            </w:rPr>
            <w:tab/>
          </w:r>
          <w:hyperlink w:anchor="__RefHeading___Toc442089921">
            <w:r>
              <w:rPr>
                <w:rStyle w:val="IndexLink"/>
                <w:rFonts w:cs="Tahoma" w:ascii="Calibri" w:hAnsi="Calibri"/>
                <w:b w:val="false"/>
                <w:caps/>
                <w:sz w:val="24"/>
                <w:szCs w:val="24"/>
                <w:lang w:val="en-US" w:eastAsia="en-US"/>
              </w:rPr>
              <w:t>4</w:t>
            </w:r>
          </w:hyperlink>
        </w:p>
        <w:p>
          <w:pPr>
            <w:pStyle w:val="TOC4"/>
            <w:tabs>
              <w:tab w:val="clear" w:pos="708"/>
              <w:tab w:val="right" w:pos="9629" w:leader="underscore"/>
            </w:tabs>
            <w:rPr>
              <w:rFonts w:ascii="Calibri" w:hAnsi="Calibri" w:cs="Tahoma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caps/>
              <w:sz w:val="24"/>
              <w:szCs w:val="24"/>
              <w:lang w:val="en-US" w:eastAsia="en-US"/>
            </w:rPr>
            <w:t>3.2.1  Richiesta preventivi</w:t>
            <w:tab/>
          </w:r>
          <w:hyperlink w:anchor="__RefHeading___Toc442089922">
            <w:r>
              <w:rPr>
                <w:rStyle w:val="IndexLink"/>
                <w:rFonts w:cs="Tahoma" w:ascii="Calibri" w:hAnsi="Calibri"/>
                <w:caps/>
                <w:sz w:val="24"/>
                <w:szCs w:val="24"/>
                <w:lang w:val="en-US" w:eastAsia="en-US"/>
              </w:rPr>
              <w:t>5</w:t>
            </w:r>
          </w:hyperlink>
        </w:p>
        <w:p>
          <w:pPr>
            <w:pStyle w:val="TOC4"/>
            <w:tabs>
              <w:tab w:val="clear" w:pos="708"/>
              <w:tab w:val="right" w:pos="9629" w:leader="underscore"/>
            </w:tabs>
            <w:rPr>
              <w:rFonts w:ascii="Calibri" w:hAnsi="Calibri" w:cs="Tahoma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caps/>
              <w:sz w:val="24"/>
              <w:szCs w:val="24"/>
              <w:lang w:val="en-US" w:eastAsia="en-US"/>
            </w:rPr>
            <w:t>3.2.2  Emissione dei documenti di ordine</w:t>
            <w:tab/>
          </w:r>
          <w:hyperlink w:anchor="__RefHeading___Toc442089923">
            <w:r>
              <w:rPr>
                <w:rStyle w:val="IndexLink"/>
                <w:rFonts w:cs="Tahoma" w:ascii="Calibri" w:hAnsi="Calibri"/>
                <w:caps/>
                <w:sz w:val="24"/>
                <w:szCs w:val="24"/>
                <w:lang w:val="en-US" w:eastAsia="en-US"/>
              </w:rPr>
              <w:t>5</w:t>
            </w:r>
          </w:hyperlink>
        </w:p>
        <w:p>
          <w:pPr>
            <w:pStyle w:val="TOC3"/>
            <w:tabs>
              <w:tab w:val="clear" w:pos="708"/>
              <w:tab w:val="left" w:pos="1200" w:leader="none"/>
              <w:tab w:val="right" w:pos="9629" w:leader="underscore"/>
            </w:tabs>
            <w:rPr>
              <w:rFonts w:ascii="Calibri" w:hAnsi="Calibri" w:cs="Tahoma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caps/>
              <w:sz w:val="24"/>
              <w:szCs w:val="24"/>
              <w:lang w:val="en-US" w:eastAsia="en-US"/>
            </w:rPr>
            <w:t>3.3</w:t>
            <w:tab/>
            <w:t xml:space="preserve"> CONSERVAZIONE ED ARCHIVIAZIONE</w:t>
            <w:tab/>
          </w:r>
          <w:hyperlink w:anchor="__RefHeading___Toc442089926">
            <w:r>
              <w:rPr>
                <w:rStyle w:val="IndexLink"/>
                <w:rFonts w:cs="Tahoma" w:ascii="Calibri" w:hAnsi="Calibri"/>
                <w:caps/>
                <w:sz w:val="24"/>
                <w:szCs w:val="24"/>
                <w:lang w:val="en-US" w:eastAsia="en-US"/>
              </w:rPr>
              <w:t>7</w:t>
            </w:r>
          </w:hyperlink>
        </w:p>
        <w:p>
          <w:pPr>
            <w:pStyle w:val="TOC2"/>
            <w:tabs>
              <w:tab w:val="clear" w:pos="708"/>
              <w:tab w:val="left" w:pos="720" w:leader="none"/>
              <w:tab w:val="right" w:pos="9629" w:leader="underscore"/>
            </w:tabs>
            <w:rPr>
              <w:rFonts w:ascii="Calibri" w:hAnsi="Calibri" w:cs="Tahoma"/>
              <w:b w:val="false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caps/>
              <w:sz w:val="24"/>
              <w:szCs w:val="24"/>
              <w:lang w:val="en-US" w:eastAsia="en-US"/>
            </w:rPr>
            <w:t>4.</w:t>
            <w:tab/>
            <w:t xml:space="preserve"> TERMINI, DEFINIZIONI ED ABBREVIAZIONI</w:t>
            <w:tab/>
          </w:r>
          <w:hyperlink w:anchor="__RefHeading___Toc442089927">
            <w:r>
              <w:rPr>
                <w:rStyle w:val="IndexLink"/>
                <w:rFonts w:cs="Tahoma" w:ascii="Calibri" w:hAnsi="Calibri"/>
                <w:b w:val="false"/>
                <w:caps/>
                <w:sz w:val="24"/>
                <w:szCs w:val="24"/>
                <w:lang w:val="en-US" w:eastAsia="en-US"/>
              </w:rPr>
              <w:t>7</w:t>
            </w:r>
          </w:hyperlink>
        </w:p>
        <w:p>
          <w:pPr>
            <w:pStyle w:val="TOC2"/>
            <w:tabs>
              <w:tab w:val="clear" w:pos="708"/>
              <w:tab w:val="left" w:pos="720" w:leader="none"/>
              <w:tab w:val="right" w:pos="9629" w:leader="underscore"/>
            </w:tabs>
            <w:rPr>
              <w:rFonts w:ascii="Calibri" w:hAnsi="Calibri" w:cs="Tahoma"/>
              <w:b w:val="false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caps/>
              <w:sz w:val="24"/>
              <w:szCs w:val="24"/>
              <w:lang w:val="en-US" w:eastAsia="en-US"/>
            </w:rPr>
            <w:t>5.</w:t>
            <w:tab/>
            <w:t xml:space="preserve"> DISTRIBUZIONE</w:t>
            <w:tab/>
          </w:r>
          <w:hyperlink w:anchor="__RefHeading___Toc442089928">
            <w:r>
              <w:rPr>
                <w:rStyle w:val="IndexLink"/>
                <w:rFonts w:cs="Tahoma" w:ascii="Calibri" w:hAnsi="Calibri"/>
                <w:b w:val="false"/>
                <w:caps/>
                <w:sz w:val="24"/>
                <w:szCs w:val="24"/>
                <w:lang w:val="en-US" w:eastAsia="en-US"/>
              </w:rPr>
              <w:t>7</w:t>
            </w:r>
          </w:hyperlink>
        </w:p>
        <w:p>
          <w:pPr>
            <w:pStyle w:val="TOC2"/>
            <w:tabs>
              <w:tab w:val="clear" w:pos="708"/>
              <w:tab w:val="left" w:pos="720" w:leader="none"/>
              <w:tab w:val="right" w:pos="9629" w:leader="underscore"/>
            </w:tabs>
            <w:rPr>
              <w:rFonts w:ascii="Calibri" w:hAnsi="Calibri" w:cs="Tahoma"/>
              <w:b w:val="false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caps/>
              <w:sz w:val="24"/>
              <w:szCs w:val="24"/>
              <w:lang w:val="en-US" w:eastAsia="en-US"/>
            </w:rPr>
            <w:t>6.</w:t>
            <w:tab/>
            <w:t xml:space="preserve"> DOCUMENTAZIONE DI RIFERIMENTO</w:t>
            <w:tab/>
          </w:r>
          <w:hyperlink w:anchor="__RefHeading___Toc442089929">
            <w:r>
              <w:rPr>
                <w:rStyle w:val="IndexLink"/>
                <w:rFonts w:cs="Tahoma" w:ascii="Calibri" w:hAnsi="Calibri"/>
                <w:b w:val="false"/>
                <w:caps/>
                <w:sz w:val="24"/>
                <w:szCs w:val="24"/>
                <w:lang w:val="en-US" w:eastAsia="en-US"/>
              </w:rPr>
              <w:t>7</w:t>
            </w:r>
          </w:hyperlink>
        </w:p>
        <w:p>
          <w:pPr>
            <w:pStyle w:val="TOC2"/>
            <w:tabs>
              <w:tab w:val="clear" w:pos="708"/>
              <w:tab w:val="right" w:pos="9629" w:leader="underscore"/>
            </w:tabs>
            <w:rPr>
              <w:rFonts w:ascii="Calibri" w:hAnsi="Calibri" w:cs="Tahoma"/>
              <w:b w:val="false"/>
              <w:caps/>
              <w:sz w:val="24"/>
              <w:szCs w:val="24"/>
              <w:lang w:val="en-US" w:eastAsia="en-US"/>
            </w:rPr>
          </w:pPr>
          <w:r>
            <w:rPr>
              <w:rFonts w:cs="Tahoma" w:ascii="Calibri" w:hAnsi="Calibri"/>
              <w:b w:val="false"/>
              <w:caps/>
              <w:sz w:val="24"/>
              <w:szCs w:val="24"/>
              <w:lang w:val="en-US" w:eastAsia="en-US"/>
            </w:rPr>
            <w:t>7.     ARCHIVIAZIONE E CONSERVAZIONE REGISTRAZIONI</w:t>
            <w:tab/>
          </w:r>
          <w:hyperlink w:anchor="__RefHeading___Toc442089930">
            <w:r>
              <w:rPr>
                <w:rStyle w:val="IndexLink"/>
                <w:rFonts w:cs="Tahoma" w:ascii="Calibri" w:hAnsi="Calibri"/>
                <w:b w:val="false"/>
                <w:caps/>
                <w:sz w:val="24"/>
                <w:szCs w:val="24"/>
                <w:lang w:val="en-US" w:eastAsia="en-US"/>
              </w:rPr>
              <w:t>7</w:t>
            </w:r>
          </w:hyperlink>
          <w:r>
            <w:rPr>
              <w:rStyle w:val="IndexLink"/>
              <w:caps/>
              <w:sz w:val="24"/>
              <w:b w:val="false"/>
              <w:szCs w:val="24"/>
              <w:rFonts w:cs="Tahoma" w:ascii="Calibri" w:hAnsi="Calibri"/>
              <w:lang w:val="en-US" w:eastAsia="en-US"/>
            </w:rPr>
            <w:fldChar w:fldCharType="end"/>
          </w:r>
        </w:p>
      </w:sdtContent>
    </w:sdt>
    <w:p>
      <w:pPr>
        <w:pStyle w:val="TOC2"/>
        <w:tabs>
          <w:tab w:val="clear" w:pos="708"/>
          <w:tab w:val="right" w:pos="8931" w:leader="dot"/>
        </w:tabs>
        <w:rPr>
          <w:rFonts w:ascii="Calibri" w:hAnsi="Calibri" w:cs="Calibri"/>
          <w:b w:val="false"/>
          <w:caps/>
          <w:sz w:val="24"/>
          <w:szCs w:val="24"/>
          <w:lang w:val="en-US" w:eastAsia="en-US"/>
        </w:rPr>
      </w:pPr>
      <w:r>
        <w:rPr>
          <w:rFonts w:cs="Calibri" w:ascii="Calibri" w:hAnsi="Calibri"/>
          <w:b w:val="false"/>
          <w:caps/>
          <w:sz w:val="24"/>
          <w:szCs w:val="24"/>
          <w:lang w:val="en-US" w:eastAsia="en-US"/>
        </w:rPr>
      </w:r>
    </w:p>
    <w:p>
      <w:pPr>
        <w:pStyle w:val="BodyTextIndent"/>
        <w:widowControl/>
        <w:tabs>
          <w:tab w:val="clear" w:pos="708"/>
          <w:tab w:val="right" w:pos="8647" w:leader="none"/>
        </w:tabs>
        <w:ind w:firstLine="142" w:end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Indent"/>
        <w:widowControl/>
        <w:tabs>
          <w:tab w:val="clear" w:pos="708"/>
          <w:tab w:val="right" w:pos="8647" w:leader="none"/>
        </w:tabs>
        <w:ind w:firstLine="142" w:end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BodyTextIndent"/>
        <w:widowControl/>
        <w:tabs>
          <w:tab w:val="clear" w:pos="708"/>
          <w:tab w:val="right" w:pos="8647" w:leader="none"/>
        </w:tabs>
        <w:ind w:firstLine="142" w:end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BodyTextIndent"/>
        <w:widowControl/>
        <w:tabs>
          <w:tab w:val="clear" w:pos="708"/>
          <w:tab w:val="right" w:pos="8647" w:leader="none"/>
        </w:tabs>
        <w:ind w:firstLine="142" w:end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  <w:r>
        <w:br w:type="page"/>
      </w:r>
    </w:p>
    <w:p>
      <w:pPr>
        <w:pStyle w:val="Heading2"/>
        <w:ind w:hanging="0" w:start="0"/>
        <w:rPr/>
      </w:pPr>
      <w:bookmarkStart w:id="0" w:name="__RefHeading___Toc442089916"/>
      <w:bookmarkEnd w:id="0"/>
      <w:r>
        <w:rPr>
          <w:rFonts w:cs="Calibri" w:ascii="Calibri" w:hAnsi="Calibri"/>
          <w:sz w:val="24"/>
          <w:szCs w:val="24"/>
        </w:rPr>
        <w:t>1.</w:t>
        <w:tab/>
        <w:tab/>
        <w:t>SCOPO E GENERALITÀ</w:t>
      </w:r>
    </w:p>
    <w:p>
      <w:pPr>
        <w:pStyle w:val="BodyTextIndent"/>
        <w:widowControl/>
        <w:tabs>
          <w:tab w:val="clear" w:pos="708"/>
          <w:tab w:val="right" w:pos="8647" w:leader="none"/>
        </w:tabs>
        <w:ind w:firstLine="142" w:end="0"/>
        <w:rPr/>
      </w:pPr>
      <w:r>
        <w:rPr>
          <w:rFonts w:cs="Calibri" w:ascii="Calibri" w:hAnsi="Calibri"/>
          <w:szCs w:val="24"/>
        </w:rPr>
        <w:t>L’attività di approvvigionamento effettuata in modo pianificato, documentato e controllato ha la finalità di consentire il miglioramento complessivo della qualità dei prodotti e dei servizi che l’organizzazione va a realizzare, nonché quello di eliminare o minimizzare possibili errori o contenziosi con i Fornitori dovuti a poca chiarezza nella definizione dell’oggetto della fornitura.</w:t>
      </w:r>
    </w:p>
    <w:p>
      <w:pPr>
        <w:pStyle w:val="Normal"/>
        <w:ind w:firstLine="284" w:end="0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ind w:firstLine="284" w:end="0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Scopo di questa procedura è quello di descrivere:</w:t>
      </w:r>
    </w:p>
    <w:p>
      <w:pPr>
        <w:pStyle w:val="Normal"/>
        <w:ind w:firstLine="284" w:end="0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360" w:leader="none"/>
        </w:tabs>
        <w:ind w:firstLine="284" w:start="0" w:end="0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Le modalità operative adottate per garantire che i fornitori siano in grado di rispondere e soddisfare i requisiti richiesti e definiti nella documentazione d’ordine/contratto, attraverso un sistema di valutazione degli stessi;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360" w:leader="none"/>
        </w:tabs>
        <w:ind w:firstLine="284" w:start="0" w:end="0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Le modalità di approvvigionamento attraverso un chiaro sistema di definizione dei dati di acquisto;</w:t>
      </w:r>
    </w:p>
    <w:p>
      <w:pPr>
        <w:pStyle w:val="Normal"/>
        <w:numPr>
          <w:ilvl w:val="0"/>
          <w:numId w:val="6"/>
        </w:numPr>
        <w:ind w:hanging="76" w:start="360" w:end="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color w:val="000000"/>
          <w:szCs w:val="24"/>
        </w:rPr>
        <w:t>Le modalità di verifica del prodotto acquistato al fine di garantire che i prodotti e i servizi oggetto della fornitura, siano conformi alle specifiche d’ordine.</w:t>
      </w:r>
    </w:p>
    <w:p>
      <w:pPr>
        <w:pStyle w:val="Heading3"/>
        <w:widowControl/>
        <w:tabs>
          <w:tab w:val="clear" w:pos="1418"/>
        </w:tabs>
        <w:spacing w:before="240" w:after="120"/>
        <w:ind w:end="0"/>
        <w:jc w:val="start"/>
        <w:rPr>
          <w:rFonts w:ascii="Calibri" w:hAnsi="Calibri" w:cs="Calibri"/>
          <w:i w:val="false"/>
          <w:i w:val="false"/>
          <w:color w:val="000000"/>
          <w:szCs w:val="24"/>
        </w:rPr>
      </w:pPr>
      <w:bookmarkStart w:id="1" w:name="__RefHeading___Toc442089917"/>
      <w:bookmarkEnd w:id="1"/>
      <w:r>
        <w:rPr>
          <w:rFonts w:cs="Calibri" w:ascii="Calibri" w:hAnsi="Calibri"/>
          <w:i w:val="false"/>
          <w:color w:val="000000"/>
          <w:szCs w:val="24"/>
        </w:rPr>
        <w:t xml:space="preserve">2.1  </w:t>
        <w:tab/>
        <w:t>APPLICABILITÀ</w:t>
      </w:r>
    </w:p>
    <w:p>
      <w:pPr>
        <w:pStyle w:val="BodyTextIndent"/>
        <w:widowControl/>
        <w:tabs>
          <w:tab w:val="clear" w:pos="708"/>
          <w:tab w:val="right" w:pos="8647" w:leader="none"/>
        </w:tabs>
        <w:ind w:firstLine="142" w:end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La presente procedura è applicabile a tutti i fornitori di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Materie prime e merci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 xml:space="preserve">Semilavorati 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Materiali di consumo vari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Attrezzature e mezzi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Prestazioni in opera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Servizi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Servizi professionali</w:t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Trasporti</w:t>
      </w:r>
    </w:p>
    <w:p>
      <w:pPr>
        <w:pStyle w:val="BodyTextIndent"/>
        <w:widowControl/>
        <w:tabs>
          <w:tab w:val="clear" w:pos="708"/>
          <w:tab w:val="right" w:pos="8647" w:leader="none"/>
        </w:tabs>
        <w:ind w:firstLine="142" w:end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BodyTextIndent"/>
        <w:widowControl/>
        <w:tabs>
          <w:tab w:val="clear" w:pos="708"/>
          <w:tab w:val="right" w:pos="8647" w:leader="none"/>
        </w:tabs>
        <w:ind w:firstLine="142" w:end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in grado di condizionare direttamente la qualità delle attività svolte.</w:t>
      </w:r>
    </w:p>
    <w:p>
      <w:pPr>
        <w:pStyle w:val="Heading3"/>
        <w:widowControl/>
        <w:tabs>
          <w:tab w:val="clear" w:pos="1418"/>
        </w:tabs>
        <w:spacing w:before="240" w:after="120"/>
        <w:ind w:end="0"/>
        <w:jc w:val="start"/>
        <w:rPr>
          <w:rFonts w:ascii="Calibri" w:hAnsi="Calibri" w:cs="Calibri"/>
          <w:i w:val="false"/>
          <w:i w:val="false"/>
          <w:szCs w:val="24"/>
        </w:rPr>
      </w:pPr>
      <w:bookmarkStart w:id="2" w:name="__RefHeading___Toc442089918"/>
      <w:bookmarkEnd w:id="2"/>
      <w:r>
        <w:rPr>
          <w:rFonts w:cs="Calibri" w:ascii="Calibri" w:hAnsi="Calibri"/>
          <w:i w:val="false"/>
          <w:szCs w:val="24"/>
        </w:rPr>
        <w:t xml:space="preserve">2.2  </w:t>
        <w:tab/>
        <w:t>RESPONSABILITÀ</w:t>
      </w:r>
    </w:p>
    <w:p>
      <w:pPr>
        <w:pStyle w:val="Heading2"/>
        <w:spacing w:before="0" w:after="0"/>
        <w:ind w:hanging="0" w:start="0"/>
        <w:rPr>
          <w:rFonts w:ascii="Calibri" w:hAnsi="Calibri" w:cs="Times New Roman"/>
          <w:b w:val="false"/>
          <w:caps w:val="false"/>
          <w:smallCaps w:val="false"/>
          <w:sz w:val="24"/>
          <w:szCs w:val="24"/>
        </w:rPr>
      </w:pPr>
      <w:bookmarkStart w:id="3" w:name="__RefHeading___Toc442089919"/>
      <w:r>
        <w:rPr>
          <w:rFonts w:cs="Times New Roman" w:ascii="Calibri" w:hAnsi="Calibri"/>
          <w:b w:val="false"/>
          <w:caps w:val="false"/>
          <w:smallCaps w:val="false"/>
          <w:sz w:val="24"/>
          <w:szCs w:val="24"/>
        </w:rPr>
        <w:t>Responsabile Commerciale (COM)</w:t>
      </w:r>
    </w:p>
    <w:p>
      <w:pPr>
        <w:pStyle w:val="Heading2"/>
        <w:spacing w:before="0" w:after="0"/>
        <w:ind w:hanging="0" w:start="0"/>
        <w:rPr/>
      </w:pPr>
      <w:r>
        <w:rPr>
          <w:rFonts w:cs="Times New Roman" w:ascii="Calibri" w:hAnsi="Calibri"/>
          <w:b w:val="false"/>
          <w:caps w:val="false"/>
          <w:smallCaps w:val="false"/>
          <w:sz w:val="24"/>
          <w:szCs w:val="24"/>
        </w:rPr>
        <w:t>Processo Acquisti (ACQ)</w:t>
      </w:r>
    </w:p>
    <w:p>
      <w:pPr>
        <w:pStyle w:val="Heading2"/>
        <w:ind w:hanging="0" w:start="0"/>
        <w:rPr>
          <w:rFonts w:ascii="Calibri" w:hAnsi="Calibri" w:cs="Calibri"/>
          <w:sz w:val="24"/>
          <w:szCs w:val="24"/>
        </w:rPr>
      </w:pPr>
      <w:bookmarkStart w:id="4" w:name="__RefHeading___Toc442089919"/>
      <w:r>
        <w:rPr>
          <w:rFonts w:cs="Calibri" w:ascii="Calibri" w:hAnsi="Calibri"/>
          <w:sz w:val="24"/>
          <w:szCs w:val="24"/>
        </w:rPr>
        <w:t>3</w:t>
        <w:tab/>
        <w:tab/>
        <w:t>DESCRIZIONE DELLE ATTIVITÀ</w:t>
      </w:r>
      <w:bookmarkEnd w:id="4"/>
    </w:p>
    <w:p>
      <w:pPr>
        <w:pStyle w:val="Heading3"/>
        <w:ind w:hanging="1418" w:start="1418" w:end="-142"/>
        <w:rPr>
          <w:rFonts w:ascii="Calibri" w:hAnsi="Calibri" w:cs="Calibri"/>
          <w:i w:val="false"/>
          <w:i w:val="false"/>
          <w:szCs w:val="24"/>
        </w:rPr>
      </w:pPr>
      <w:bookmarkStart w:id="5" w:name="__RefHeading___Toc442089920"/>
      <w:bookmarkEnd w:id="5"/>
      <w:r>
        <w:rPr>
          <w:rFonts w:cs="Calibri" w:ascii="Calibri" w:hAnsi="Calibri"/>
          <w:i w:val="false"/>
          <w:szCs w:val="24"/>
        </w:rPr>
        <w:t>3.1</w:t>
        <w:tab/>
        <w:t>VALUTAZIONE FORNITORI</w:t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ind w:firstLine="142" w:end="0"/>
        <w:jc w:val="both"/>
        <w:rPr/>
      </w:pPr>
      <w:r>
        <w:rPr>
          <w:rFonts w:cs="Calibri" w:ascii="Calibri" w:hAnsi="Calibri"/>
          <w:b/>
          <w:szCs w:val="24"/>
        </w:rPr>
        <w:t xml:space="preserve">NOME VS. AZIENDA </w:t>
      </w:r>
      <w:r>
        <w:rPr>
          <w:rFonts w:cs="Calibri" w:ascii="Calibri" w:hAnsi="Calibri"/>
          <w:szCs w:val="24"/>
        </w:rPr>
        <w:t>definisce due classi di Fornitori accettabili: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right" w:pos="8647" w:leader="none"/>
        </w:tabs>
        <w:ind w:hanging="360" w:start="502" w:end="0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Fornitori operanti con un Sistema Ambientale conforme e certificato secondo la norma della serie ISO 14001:2015;</w:t>
      </w:r>
    </w:p>
    <w:p>
      <w:pPr>
        <w:pStyle w:val="Normal"/>
        <w:widowControl/>
        <w:numPr>
          <w:ilvl w:val="0"/>
          <w:numId w:val="2"/>
        </w:numPr>
        <w:tabs>
          <w:tab w:val="clear" w:pos="708"/>
          <w:tab w:val="right" w:pos="8647" w:leader="none"/>
        </w:tabs>
        <w:ind w:hanging="360" w:start="502" w:end="0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  <w:t>Fornitori che non appartengono alle classi di cui sopra, ma sono in grado di fornire prodotti/servizi in linea con le necessità qualitative aziendali.</w:t>
      </w:r>
    </w:p>
    <w:p>
      <w:pPr>
        <w:pStyle w:val="Normal"/>
        <w:widowControl/>
        <w:tabs>
          <w:tab w:val="clear" w:pos="708"/>
          <w:tab w:val="right" w:pos="8647" w:leader="none"/>
        </w:tabs>
        <w:ind w:firstLine="142" w:end="0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ind w:firstLine="142" w:end="0"/>
        <w:jc w:val="both"/>
        <w:rPr/>
      </w:pPr>
      <w:r>
        <w:rPr>
          <w:rFonts w:cs="Calibri" w:ascii="Calibri" w:hAnsi="Calibri"/>
          <w:color w:val="000000"/>
          <w:szCs w:val="24"/>
        </w:rPr>
        <w:t>La valutazione dei Fornitori e la conseguente Selezione viene effettuata da ACQ, utilizzando i seguenti strumenti fondamentali:</w:t>
      </w:r>
    </w:p>
    <w:p>
      <w:pPr>
        <w:pStyle w:val="Normal"/>
        <w:widowControl/>
        <w:tabs>
          <w:tab w:val="clear" w:pos="708"/>
          <w:tab w:val="right" w:pos="8647" w:leader="none"/>
        </w:tabs>
        <w:ind w:firstLine="142" w:end="0"/>
        <w:jc w:val="both"/>
        <w:rPr>
          <w:rFonts w:ascii="Calibri" w:hAnsi="Calibri" w:cs="Calibri"/>
          <w:color w:val="000000"/>
          <w:szCs w:val="24"/>
        </w:rPr>
      </w:pPr>
      <w:r>
        <w:rPr>
          <w:rFonts w:cs="Calibri" w:ascii="Calibri" w:hAnsi="Calibri"/>
          <w:color w:val="000000"/>
          <w:szCs w:val="24"/>
        </w:rPr>
      </w:r>
    </w:p>
    <w:p>
      <w:pPr>
        <w:pStyle w:val="Normal"/>
        <w:widowControl/>
        <w:numPr>
          <w:ilvl w:val="0"/>
          <w:numId w:val="4"/>
        </w:numPr>
        <w:tabs>
          <w:tab w:val="clear" w:pos="708"/>
          <w:tab w:val="right" w:pos="8647" w:leader="none"/>
        </w:tabs>
        <w:ind w:hanging="360" w:start="502" w:end="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b/>
          <w:caps/>
          <w:szCs w:val="24"/>
          <w:u w:val="single"/>
        </w:rPr>
        <w:t>Mod 8.3.1 Questionario Fornitori</w:t>
      </w:r>
      <w:r>
        <w:rPr>
          <w:rFonts w:cs="Calibri" w:ascii="Calibri" w:hAnsi="Calibri"/>
          <w:szCs w:val="24"/>
        </w:rPr>
        <w:t>;</w:t>
      </w:r>
    </w:p>
    <w:p>
      <w:pPr>
        <w:pStyle w:val="Normal"/>
        <w:widowControl/>
        <w:numPr>
          <w:ilvl w:val="0"/>
          <w:numId w:val="4"/>
        </w:numPr>
        <w:tabs>
          <w:tab w:val="clear" w:pos="708"/>
          <w:tab w:val="right" w:pos="8647" w:leader="none"/>
        </w:tabs>
        <w:ind w:hanging="360" w:start="502" w:end="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Eventuali Audit di seconda parte presso il Fornitore;</w:t>
      </w:r>
    </w:p>
    <w:p>
      <w:pPr>
        <w:pStyle w:val="Normal"/>
        <w:widowControl/>
        <w:numPr>
          <w:ilvl w:val="0"/>
          <w:numId w:val="4"/>
        </w:numPr>
        <w:tabs>
          <w:tab w:val="clear" w:pos="708"/>
          <w:tab w:val="right" w:pos="8647" w:leader="none"/>
        </w:tabs>
        <w:ind w:hanging="360" w:start="502" w:end="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b/>
          <w:caps/>
          <w:szCs w:val="24"/>
          <w:u w:val="single"/>
        </w:rPr>
        <w:t>Mod. 8.3.2 Scheda Valutazione Fornitore</w:t>
      </w:r>
      <w:r>
        <w:rPr>
          <w:rFonts w:cs="Calibri" w:ascii="Calibri" w:hAnsi="Calibri"/>
          <w:szCs w:val="24"/>
        </w:rPr>
        <w:t>;</w:t>
      </w:r>
    </w:p>
    <w:p>
      <w:pPr>
        <w:pStyle w:val="Normal"/>
        <w:widowControl/>
        <w:numPr>
          <w:ilvl w:val="0"/>
          <w:numId w:val="4"/>
        </w:numPr>
        <w:tabs>
          <w:tab w:val="clear" w:pos="708"/>
          <w:tab w:val="right" w:pos="8647" w:leader="none"/>
        </w:tabs>
        <w:ind w:hanging="360" w:start="502" w:end="0"/>
        <w:jc w:val="both"/>
        <w:rPr>
          <w:rFonts w:ascii="Calibri" w:hAnsi="Calibri" w:cs="Calibri"/>
          <w:sz w:val="20"/>
        </w:rPr>
      </w:pPr>
      <w:r>
        <w:rPr>
          <w:rFonts w:cs="Calibri" w:ascii="Calibri" w:hAnsi="Calibri"/>
          <w:szCs w:val="24"/>
        </w:rPr>
        <w:t>Monitoraggio continuo delle Forniture.</w:t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ind w:start="502" w:end="0"/>
        <w:jc w:val="both"/>
        <w:rPr>
          <w:rFonts w:ascii="Calibri" w:hAnsi="Calibri" w:cs="Calibri"/>
          <w:sz w:val="20"/>
          <w:szCs w:val="24"/>
        </w:rPr>
      </w:pPr>
      <w:r>
        <w:rPr>
          <w:rFonts w:cs="Calibri" w:ascii="Calibri" w:hAnsi="Calibri"/>
          <w:sz w:val="20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ind w:start="502" w:end="0"/>
        <w:jc w:val="both"/>
        <w:rPr>
          <w:rFonts w:ascii="Calibri" w:hAnsi="Calibri" w:cs="Calibri"/>
          <w:sz w:val="20"/>
          <w:szCs w:val="24"/>
        </w:rPr>
      </w:pPr>
      <w:r>
        <w:rPr>
          <w:rFonts w:cs="Calibri" w:ascii="Calibri" w:hAnsi="Calibri"/>
          <w:sz w:val="20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 w:val="20"/>
          <w:szCs w:val="24"/>
        </w:rPr>
      </w:pPr>
      <w:r>
        <w:rPr>
          <w:rFonts w:cs="Calibri" w:ascii="Calibri" w:hAnsi="Calibri"/>
          <w:sz w:val="20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right" w:pos="8647" w:leader="none"/>
        </w:tabs>
        <w:spacing w:lineRule="exact" w:line="24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jc w:val="both"/>
        <w:rPr>
          <w:rFonts w:ascii="Calibri" w:hAnsi="Calibri" w:cs="Calibri"/>
          <w:sz w:val="20"/>
          <w:szCs w:val="24"/>
          <w:lang w:val="en-US" w:eastAsia="en-US"/>
        </w:rPr>
      </w:pPr>
      <w:r>
        <w:rPr>
          <w:rFonts w:cs="Calibri" w:ascii="Calibri" w:hAnsi="Calibri"/>
          <w:sz w:val="20"/>
          <w:szCs w:val="24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3486150</wp:posOffset>
                </wp:positionH>
                <wp:positionV relativeFrom="paragraph">
                  <wp:posOffset>105410</wp:posOffset>
                </wp:positionV>
                <wp:extent cx="3017520" cy="689546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68954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tbl>
                            <w:tblPr>
                              <w:tblW w:w="4395" w:type="dxa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70" w:type="dxa"/>
                                <w:bottom w:w="0" w:type="dxa"/>
                                <w:end w:w="70" w:type="dxa"/>
                              </w:tblCellMar>
                            </w:tblPr>
                            <w:tblGrid>
                              <w:gridCol w:w="1560"/>
                              <w:gridCol w:w="2835"/>
                            </w:tblGrid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2F2F2" w:val="clea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</w:rPr>
                                    <w:t>Responsabili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2F2F2" w:val="clea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</w:rPr>
                                    <w:t>Attività / Registrazioni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8" w:hRule="atLeast"/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ACQ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Nel caso in cui non rilevi le informazioni da sito web o brochure commerciali, spedisce a tutti i fornitori nuovi il 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caps/>
                                      <w:szCs w:val="24"/>
                                      <w:u w:val="single"/>
                                    </w:rPr>
                                    <w:t>Mod 8.3.1 Questionario Informativo Fornitori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3" w:hRule="atLeast"/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Corpodeltesto3"/>
                                    <w:spacing w:before="120" w:after="0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</w:rPr>
                                    <w:t>ACQ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Sulla base delle informazioni provenienti dal 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caps/>
                                      <w:szCs w:val="24"/>
                                      <w:u w:val="single"/>
                                    </w:rPr>
                                    <w:t>Mod 8.3.1</w:t>
                                  </w: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 o dai rapporti pregressi (per i fornitori abituali, ACQ compila per ogni fornitore il 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caps/>
                                      <w:szCs w:val="24"/>
                                      <w:u w:val="single"/>
                                    </w:rPr>
                                    <w:t>Mod. 8.3.2 Scheda valutazione fornitore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ed esprime un giudizio, accettato o non accettato. 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1" w:hRule="atLeast"/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ACQ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I fornitori accettati, vengono inseriti nel 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caps/>
                                      <w:szCs w:val="24"/>
                                      <w:u w:val="single"/>
                                    </w:rPr>
                                    <w:t>Mod. 8.3.3 Registro fornitori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sz w:val="20"/>
                                    </w:rPr>
                                    <w:t xml:space="preserve">, 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sz w:val="20"/>
                                    </w:rPr>
                                    <w:t>NOME VS. AZIENDA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sz w:val="18"/>
                                    </w:rPr>
                                    <w:t xml:space="preserve"> EFFETTUA ORDINI SOLO AI FORNITORI INSERITI NEL REGISTRO FORNITORI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8" w:hRule="atLeast"/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ACQ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Nel caso si verifichino delle Non Conformità, ACQ ne  registra i riferimenti sulla Scheda Fornitore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ACQ (R)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caps/>
                                      <w:sz w:val="20"/>
                                    </w:rPr>
                                    <w:t>In assenza di non conformità, ogni 12 mesi rivaluta ogni fornitore</w:t>
                                  </w: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: se risulta essere non accettato ACQ aggiorna la Scheda Fornitori relativa e poi depenna il fornitore in questione dal Registro Fornitori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7.6pt;height:542.95pt;mso-wrap-distance-left:9.05pt;mso-wrap-distance-right:9.05pt;mso-wrap-distance-top:0pt;mso-wrap-distance-bottom:0pt;margin-top:8.3pt;mso-position-vertical-relative:text;margin-left:274.5pt;mso-position-horizontal-relative:text">
                <v:textbox inset="0.100694444444444in,0.0506944444444444in,0.100694444444444in,0.0506944444444444in">
                  <w:txbxContent>
                    <w:tbl>
                      <w:tblPr>
                        <w:tblW w:w="4395" w:type="dxa"/>
                        <w:jc w:val="start"/>
                        <w:tblInd w:w="0" w:type="dxa"/>
                        <w:tblLayout w:type="fixed"/>
                        <w:tblCellMar>
                          <w:top w:w="0" w:type="dxa"/>
                          <w:start w:w="70" w:type="dxa"/>
                          <w:bottom w:w="0" w:type="dxa"/>
                          <w:end w:w="70" w:type="dxa"/>
                        </w:tblCellMar>
                      </w:tblPr>
                      <w:tblGrid>
                        <w:gridCol w:w="1560"/>
                        <w:gridCol w:w="2835"/>
                      </w:tblGrid>
                      <w:tr>
                        <w:trPr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2F2F2" w:val="clea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Responsabili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2F2F2" w:val="clea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Attività / Registrazioni</w:t>
                            </w:r>
                          </w:p>
                        </w:tc>
                      </w:tr>
                      <w:tr>
                        <w:trPr>
                          <w:trHeight w:val="708" w:hRule="atLeast"/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ACQ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>
                                <w:rFonts w:ascii="Calibri" w:hAnsi="Calibri" w:cs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Nel caso in cui non rilevi le informazioni da sito web o brochure commerciali, spedisce a tutti i fornitori nuovi il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caps/>
                                <w:szCs w:val="24"/>
                                <w:u w:val="single"/>
                              </w:rPr>
                              <w:t>Mod 8.3.1 Questionario Informativo Fornitori</w:t>
                            </w:r>
                          </w:p>
                        </w:tc>
                      </w:tr>
                      <w:tr>
                        <w:trPr>
                          <w:trHeight w:val="643" w:hRule="atLeast"/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Corpodeltesto3"/>
                              <w:spacing w:before="120" w:after="0"/>
                              <w:rPr/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ACQ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Sulla base delle informazioni provenienti dal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caps/>
                                <w:szCs w:val="24"/>
                                <w:u w:val="single"/>
                              </w:rPr>
                              <w:t>Mod 8.3.1</w:t>
                            </w: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 o dai rapporti pregressi (per i fornitori abituali, ACQ compila per ogni fornitore il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caps/>
                                <w:szCs w:val="24"/>
                                <w:u w:val="single"/>
                              </w:rPr>
                              <w:t>Mod. 8.3.2 Scheda valutazione fornitore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ed esprime un giudizio, accettato o non accettato. 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91" w:hRule="atLeast"/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ACQ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I fornitori accettati, vengono inseriti nel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caps/>
                                <w:szCs w:val="24"/>
                                <w:u w:val="single"/>
                              </w:rPr>
                              <w:t>Mod. 8.3.3 Registro fornitori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sz w:val="20"/>
                              </w:rPr>
                              <w:t xml:space="preserve">, 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sz w:val="20"/>
                              </w:rPr>
                              <w:t>NOME VS. AZIENDA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sz w:val="18"/>
                              </w:rPr>
                              <w:t xml:space="preserve"> EFFETTUA ORDINI SOLO AI FORNITORI INSERITI NEL REGISTRO FORNITORI</w:t>
                            </w:r>
                          </w:p>
                        </w:tc>
                      </w:tr>
                      <w:tr>
                        <w:trPr>
                          <w:trHeight w:val="1128" w:hRule="atLeast"/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ACQ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Nel caso si verifichino delle Non Conformità, ACQ ne  registra i riferimenti sulla Scheda Fornitore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>
                                <w:rFonts w:ascii="Calibri" w:hAnsi="Calibri" w:cs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ACQ (R)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caps/>
                                <w:sz w:val="20"/>
                              </w:rPr>
                              <w:t>In assenza di non conformità, ogni 12 mesi rivaluta ogni fornitore</w:t>
                            </w: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: se risulta essere non accettato ACQ aggiorna la Scheda Fornitori relativa e poi depenna il fornitore in questione dal Registro Fornitori</w:t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-267335</wp:posOffset>
                </wp:positionH>
                <wp:positionV relativeFrom="paragraph">
                  <wp:posOffset>156210</wp:posOffset>
                </wp:positionV>
                <wp:extent cx="3209290" cy="557530"/>
                <wp:effectExtent l="0" t="0" r="0" b="0"/>
                <wp:wrapSquare wrapText="bothSides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5575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"/>
                              <w:rPr/>
                            </w:pPr>
                            <w:r>
                              <w:rPr>
                                <w:b w:val="false"/>
                                <w:sz w:val="20"/>
                              </w:rPr>
                              <w:t>Rilievo dei requisiti dal sito Web o da brochure commerciali/Invio questionario fornitori + informazioni rapporti pregressi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43.9pt;mso-wrap-distance-left:9.05pt;mso-wrap-distance-right:9.05pt;mso-wrap-distance-top:0pt;mso-wrap-distance-bottom:0pt;margin-top:12.3pt;mso-position-vertical-relative:text;margin-left:-21.05pt;mso-position-horizontal-relative:text">
                <v:textbox>
                  <w:txbxContent>
                    <w:p>
                      <w:pPr>
                        <w:pStyle w:val="Heading"/>
                        <w:rPr/>
                      </w:pPr>
                      <w:r>
                        <w:rPr>
                          <w:b w:val="false"/>
                          <w:sz w:val="20"/>
                        </w:rPr>
                        <w:t>Rilievo dei requisiti dal sito Web o da brochure commerciali/Invio questionario fornitori + informazioni rapporti pregressi</w:t>
                      </w:r>
                    </w:p>
                    <w:p>
                      <w:pPr>
                        <w:pStyle w:val="Normal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both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-2583180</wp:posOffset>
                </wp:positionH>
                <wp:positionV relativeFrom="paragraph">
                  <wp:posOffset>108585</wp:posOffset>
                </wp:positionV>
                <wp:extent cx="0" cy="457200"/>
                <wp:effectExtent l="5080" t="0" r="508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3.4pt,8.55pt" to="-203.4pt,44.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column">
                  <wp:posOffset>921385</wp:posOffset>
                </wp:positionH>
                <wp:positionV relativeFrom="paragraph">
                  <wp:posOffset>42545</wp:posOffset>
                </wp:positionV>
                <wp:extent cx="1837690" cy="648970"/>
                <wp:effectExtent l="0" t="0" r="0" b="0"/>
                <wp:wrapSquare wrapText="bothSides"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6489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Valutazione fornitore e registrazione giudizio ACCETTATO o NON ACCETTATO sulla scheda informatica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4.7pt;height:51.1pt;mso-wrap-distance-left:9.05pt;mso-wrap-distance-right:9.05pt;mso-wrap-distance-top:0pt;mso-wrap-distance-bottom:0pt;margin-top:3.35pt;mso-position-vertical-relative:text;margin-left:72.5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Valutazione fornitore e registrazione giudizio ACCETTATO o NON ACCETTATO sulla scheda informatica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468630</wp:posOffset>
                </wp:positionH>
                <wp:positionV relativeFrom="paragraph">
                  <wp:posOffset>106045</wp:posOffset>
                </wp:positionV>
                <wp:extent cx="457200" cy="0"/>
                <wp:effectExtent l="0" t="38100" r="0" b="3810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9pt,8.35pt" to="72.85pt,8.3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0">
                <wp:simplePos x="0" y="0"/>
                <wp:positionH relativeFrom="column">
                  <wp:posOffset>251460</wp:posOffset>
                </wp:positionH>
                <wp:positionV relativeFrom="paragraph">
                  <wp:posOffset>60960</wp:posOffset>
                </wp:positionV>
                <wp:extent cx="0" cy="1005840"/>
                <wp:effectExtent l="5080" t="0" r="5080" b="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.8pt,4.8pt" to="19.8pt,83.9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2">
                <wp:simplePos x="0" y="0"/>
                <wp:positionH relativeFrom="column">
                  <wp:posOffset>982980</wp:posOffset>
                </wp:positionH>
                <wp:positionV relativeFrom="paragraph">
                  <wp:posOffset>60960</wp:posOffset>
                </wp:positionV>
                <wp:extent cx="0" cy="457200"/>
                <wp:effectExtent l="5080" t="0" r="508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4pt,4.8pt" to="77.4pt,40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2114550</wp:posOffset>
                </wp:positionH>
                <wp:positionV relativeFrom="paragraph">
                  <wp:posOffset>152400</wp:posOffset>
                </wp:positionV>
                <wp:extent cx="1005840" cy="274320"/>
                <wp:effectExtent l="0" t="0" r="0" b="0"/>
                <wp:wrapSquare wrapText="bothSides"/>
                <wp:docPr id="8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743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ACCETTATO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9.2pt;height:21.6pt;mso-wrap-distance-left:9.05pt;mso-wrap-distance-right:9.05pt;mso-wrap-distance-top:0pt;mso-wrap-distance-bottom:0pt;margin-top:12pt;mso-position-vertical-relative:text;margin-left:166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Heading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ACCETTATO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8">
                <wp:simplePos x="0" y="0"/>
                <wp:positionH relativeFrom="column">
                  <wp:posOffset>-80010</wp:posOffset>
                </wp:positionH>
                <wp:positionV relativeFrom="paragraph">
                  <wp:posOffset>60960</wp:posOffset>
                </wp:positionV>
                <wp:extent cx="1005840" cy="457200"/>
                <wp:effectExtent l="0" t="0" r="0" b="0"/>
                <wp:wrapSquare wrapText="bothSides"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457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NON ACCETTATO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9.2pt;height:36pt;mso-wrap-distance-left:9.05pt;mso-wrap-distance-right:9.05pt;mso-wrap-distance-top:0pt;mso-wrap-distance-bottom:0pt;margin-top:4.8pt;mso-position-vertical-relative:text;margin-left:-6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Heading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NON ACCETTATO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39">
                <wp:simplePos x="0" y="0"/>
                <wp:positionH relativeFrom="column">
                  <wp:posOffset>-1554480</wp:posOffset>
                </wp:positionH>
                <wp:positionV relativeFrom="paragraph">
                  <wp:posOffset>137795</wp:posOffset>
                </wp:positionV>
                <wp:extent cx="1280160" cy="1837690"/>
                <wp:effectExtent l="5080" t="5080" r="5715" b="0"/>
                <wp:wrapSquare wrapText="bothSides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1837800"/>
                        </a:xfrm>
                        <a:prstGeom prst="flowChartMultidocumen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Cs w:val="24"/>
                                <w:rFonts w:ascii="Liberation Serif" w:hAnsi="Liberation Serif" w:eastAsia="Noto Serif CJK SC" w:cs="FreeSans"/>
                                <w:lang w:val="en-US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0"/>
                                <w:rFonts w:ascii="Times New Roman" w:hAnsi="Times New Roman" w:eastAsia="Times New Roman" w:cs="Times New Roman"/>
                                <w:color w:val="auto"/>
                                <w:lang w:val="it-IT" w:bidi="ar-SA"/>
                              </w:rPr>
                              <w:t>Archiviazione scheda fornitore: non si effettuerà ordini a questa categoria fornitori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5" coordsize="21600,21600" o:spt="115" path="m,20782c9298,23542,9298,18022,18595,18022l18595,3675l,3675xm1532,3675l1532,1815l20000,1815l20000,16252c19298,16252,18595,16352,18595,16352l18595,3675xm2972,1815l2972,l21600,l21600,14392c20800,14392,20000,14467,20000,14467l20000,1815xnsem,3675l18595,3675l18595,18022c9298,18022,9298,23542,,20782xm1532,3675l1532,1815l20000,1815l20000,16252c19298,16252,18595,16352,18595,16352m2972,1815l2972,l21600,l21600,14392c20800,14392,20000,14467,20000,14467nfem,20782c9298,23542,9298,18022,18595,18022l18595,16352c18595,16352,19298,16252,20000,16252l20000,14467c20000,14467,20800,14392,21600,14392l21600,l2972,l2972,1815l1532,1815l1532,3675l,3675xnsnfe">
                <v:stroke joinstyle="miter"/>
                <v:formulas>
                  <v:f eqn="val 3675"/>
                  <v:f eqn="val 20782"/>
                  <v:f eqn="val 9298"/>
                  <v:f eqn="val 12286"/>
                  <v:f eqn="val 18595"/>
                </v:formulas>
                <v:path gradientshapeok="t" o:connecttype="rect" textboxrect="0,@0,@4,@1"/>
              </v:shapetype>
              <v:shape id="shape_0" fillcolor="white" stroked="t" o:allowincell="f" style="position:absolute;margin-left:-122.4pt;margin-top:10.85pt;width:100.75pt;height:144.65pt;mso-wrap-style:square;v-text-anchor:top" type="_x0000_t115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Cs w:val="24"/>
                          <w:rFonts w:ascii="Liberation Serif" w:hAnsi="Liberation Serif" w:eastAsia="Noto Serif CJK SC" w:cs="FreeSans"/>
                          <w:lang w:val="en-US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kern w:val="2"/>
                          <w:sz w:val="20"/>
                          <w:szCs w:val="20"/>
                          <w:rFonts w:ascii="Times New Roman" w:hAnsi="Times New Roman" w:eastAsia="Times New Roman" w:cs="Times New Roman"/>
                          <w:color w:val="auto"/>
                          <w:lang w:val="it-IT" w:bidi="ar-SA"/>
                        </w:rPr>
                        <w:t>Archiviazione scheda fornitore: non si effettuerà ordini a questa categoria fornitori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3">
                <wp:simplePos x="0" y="0"/>
                <wp:positionH relativeFrom="column">
                  <wp:posOffset>982980</wp:posOffset>
                </wp:positionH>
                <wp:positionV relativeFrom="paragraph">
                  <wp:posOffset>137795</wp:posOffset>
                </wp:positionV>
                <wp:extent cx="91440" cy="182880"/>
                <wp:effectExtent l="4445" t="2540" r="0" b="0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4pt,10.85pt" to="84.55pt,25.2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434340</wp:posOffset>
                </wp:positionH>
                <wp:positionV relativeFrom="paragraph">
                  <wp:posOffset>13970</wp:posOffset>
                </wp:positionV>
                <wp:extent cx="2029460" cy="1280160"/>
                <wp:effectExtent l="9525" t="5715" r="10160" b="6350"/>
                <wp:wrapNone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320" cy="128016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0"/>
                                <w:szCs w:val="20"/>
                                <w:rFonts w:ascii="Times New Roman" w:hAnsi="Times New Roman" w:eastAsia="Times New Roman" w:cs="Times New Roman"/>
                                <w:color w:val="auto"/>
                                <w:lang w:val="it-IT" w:bidi="ar-SA"/>
                              </w:rPr>
                              <w:t>Registrazione fornitore nello elenco fornitori accettati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,10800l10800,l21600,10800l10800,21600xe">
                <v:stroke joinstyle="miter"/>
                <v:formulas>
                  <v:f eqn="prod width 3 4"/>
                  <v:f eqn="prod height 3 4"/>
                </v:formulas>
                <v:path gradientshapeok="t" o:connecttype="rect" textboxrect="5400,5400,@0,@1"/>
              </v:shapetype>
              <v:shape id="shape_0" fillcolor="white" stroked="t" o:allowincell="f" style="position:absolute;margin-left:34.2pt;margin-top:1.1pt;width:159.75pt;height:100.75pt;mso-wrap-style:square;v-text-anchor:top" type="_x0000_t4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20"/>
                          <w:szCs w:val="20"/>
                          <w:rFonts w:ascii="Times New Roman" w:hAnsi="Times New Roman" w:eastAsia="Times New Roman" w:cs="Times New Roman"/>
                          <w:color w:val="auto"/>
                          <w:lang w:val="it-IT" w:bidi="ar-SA"/>
                        </w:rPr>
                        <w:t>Registrazione fornitore nello elenco fornitori accettati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1">
                <wp:simplePos x="0" y="0"/>
                <wp:positionH relativeFrom="column">
                  <wp:posOffset>-22860</wp:posOffset>
                </wp:positionH>
                <wp:positionV relativeFrom="paragraph">
                  <wp:posOffset>73660</wp:posOffset>
                </wp:positionV>
                <wp:extent cx="457200" cy="0"/>
                <wp:effectExtent l="0" t="38100" r="0" b="3810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8pt,5.8pt" to="34.15pt,5.8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-450215</wp:posOffset>
                </wp:positionH>
                <wp:positionV relativeFrom="paragraph">
                  <wp:posOffset>60960</wp:posOffset>
                </wp:positionV>
                <wp:extent cx="3483610" cy="466090"/>
                <wp:effectExtent l="0" t="0" r="0" b="0"/>
                <wp:wrapNone/>
                <wp:docPr id="14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3610" cy="4660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Monitoraggio continuo  fornitore e sue forniture: </w:t>
                            </w:r>
                          </w:p>
                          <w:p>
                            <w:pPr>
                              <w:pStyle w:val="Corpodeltesto3"/>
                              <w:rPr/>
                            </w:pPr>
                            <w:r>
                              <w:rPr/>
                              <w:t>Tutto OK?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4.3pt;height:36.7pt;mso-wrap-distance-left:9.05pt;mso-wrap-distance-right:9.05pt;mso-wrap-distance-top:0pt;mso-wrap-distance-bottom:0pt;margin-top:4.8pt;mso-position-vertical-relative:text;margin-left:-35.4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Monitoraggio continuo  fornitore e sue forniture: </w:t>
                      </w:r>
                    </w:p>
                    <w:p>
                      <w:pPr>
                        <w:pStyle w:val="Corpodeltesto3"/>
                        <w:rPr/>
                      </w:pPr>
                      <w:r>
                        <w:rPr/>
                        <w:t>Tutto OK?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285750</wp:posOffset>
                </wp:positionH>
                <wp:positionV relativeFrom="paragraph">
                  <wp:posOffset>62865</wp:posOffset>
                </wp:positionV>
                <wp:extent cx="0" cy="1645920"/>
                <wp:effectExtent l="38100" t="0" r="38100" b="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459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.5pt,4.95pt" to="22.5pt,134.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b w:val="false"/>
          <w:sz w:val="20"/>
          <w:lang w:val="en-US" w:eastAsia="en-US"/>
        </w:rPr>
      </w:pPr>
      <w:r>
        <w:rPr>
          <w:rFonts w:cs="Calibri" w:ascii="Calibri" w:hAnsi="Calibri"/>
          <w:b w:val="false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834390</wp:posOffset>
                </wp:positionH>
                <wp:positionV relativeFrom="paragraph">
                  <wp:posOffset>635</wp:posOffset>
                </wp:positionV>
                <wp:extent cx="457200" cy="365760"/>
                <wp:effectExtent l="0" t="0" r="0" b="0"/>
                <wp:wrapNone/>
                <wp:docPr id="16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657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No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pt;height:28.8pt;mso-wrap-distance-left:9.05pt;mso-wrap-distance-right:9.05pt;mso-wrap-distance-top:0pt;mso-wrap-distance-bottom:0pt;margin-top:0.05pt;mso-position-vertical-relative:text;margin-left:65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No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2018665</wp:posOffset>
                </wp:positionH>
                <wp:positionV relativeFrom="paragraph">
                  <wp:posOffset>-3810</wp:posOffset>
                </wp:positionV>
                <wp:extent cx="1197610" cy="557530"/>
                <wp:effectExtent l="0" t="0" r="0" b="0"/>
                <wp:wrapNone/>
                <wp:docPr id="17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610" cy="5575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>Emissione Rapporto NC PR 8.7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4.3pt;height:43.9pt;mso-wrap-distance-left:9.05pt;mso-wrap-distance-right:9.05pt;mso-wrap-distance-top:0pt;mso-wrap-distance-bottom:0pt;margin-top:-0.3pt;mso-position-vertical-relative:text;margin-left:158.9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>Emissione Rapporto NC PR 8.7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5">
                <wp:simplePos x="0" y="0"/>
                <wp:positionH relativeFrom="column">
                  <wp:posOffset>79375</wp:posOffset>
                </wp:positionH>
                <wp:positionV relativeFrom="paragraph">
                  <wp:posOffset>8890</wp:posOffset>
                </wp:positionV>
                <wp:extent cx="457200" cy="365760"/>
                <wp:effectExtent l="0" t="0" r="0" b="0"/>
                <wp:wrapNone/>
                <wp:docPr id="18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657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Sì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pt;height:28.8pt;mso-wrap-distance-left:9.05pt;mso-wrap-distance-right:9.05pt;mso-wrap-distance-top:0pt;mso-wrap-distance-bottom:0pt;margin-top:0.7pt;mso-position-vertical-relative:text;margin-left:6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Sì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1074420</wp:posOffset>
                </wp:positionH>
                <wp:positionV relativeFrom="paragraph">
                  <wp:posOffset>30480</wp:posOffset>
                </wp:positionV>
                <wp:extent cx="731520" cy="0"/>
                <wp:effectExtent l="0" t="38100" r="0" b="38100"/>
                <wp:wrapNone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6pt,2.4pt" to="142.15pt,2.4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982980</wp:posOffset>
                </wp:positionH>
                <wp:positionV relativeFrom="paragraph">
                  <wp:posOffset>59690</wp:posOffset>
                </wp:positionV>
                <wp:extent cx="0" cy="1188720"/>
                <wp:effectExtent l="38100" t="0" r="38100" b="0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88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4pt,4.7pt" to="77.4pt,98.2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8">
                <wp:simplePos x="0" y="0"/>
                <wp:positionH relativeFrom="column">
                  <wp:posOffset>2571750</wp:posOffset>
                </wp:positionH>
                <wp:positionV relativeFrom="paragraph">
                  <wp:posOffset>27940</wp:posOffset>
                </wp:positionV>
                <wp:extent cx="0" cy="182880"/>
                <wp:effectExtent l="38100" t="0" r="38100" b="0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5pt,2.2pt" to="202.5pt,16.5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1744345</wp:posOffset>
                </wp:positionH>
                <wp:positionV relativeFrom="paragraph">
                  <wp:posOffset>52705</wp:posOffset>
                </wp:positionV>
                <wp:extent cx="1654810" cy="557530"/>
                <wp:effectExtent l="0" t="0" r="0" b="0"/>
                <wp:wrapNone/>
                <wp:docPr id="22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810" cy="5575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Corpodeltesto3"/>
                              <w:rPr/>
                            </w:pPr>
                            <w:r>
                              <w:rPr/>
                              <w:t>Segnalazione sulla scheda fornitore relativa, nello specchietto “NOTE”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0.3pt;height:43.9pt;mso-wrap-distance-left:9.05pt;mso-wrap-distance-right:9.05pt;mso-wrap-distance-top:0pt;mso-wrap-distance-bottom:0pt;margin-top:4.15pt;mso-position-vertical-relative:text;margin-left:137.35pt;mso-position-horizontal-relative:text">
                <v:textbox>
                  <w:txbxContent>
                    <w:p>
                      <w:pPr>
                        <w:pStyle w:val="Corpodeltesto3"/>
                        <w:rPr/>
                      </w:pPr>
                      <w:r>
                        <w:rPr/>
                        <w:t>Segnalazione sulla scheda fornitore relativa, nello specchietto “NOTE”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Heading2"/>
        <w:numPr>
          <w:ilvl w:val="0"/>
          <w:numId w:val="0"/>
        </w:numPr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651510</wp:posOffset>
                </wp:positionH>
                <wp:positionV relativeFrom="paragraph">
                  <wp:posOffset>1122045</wp:posOffset>
                </wp:positionV>
                <wp:extent cx="0" cy="182880"/>
                <wp:effectExtent l="38100" t="0" r="38100" b="0"/>
                <wp:wrapNone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3pt,88.35pt" to="51.3pt,102.7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2571750</wp:posOffset>
                </wp:positionH>
                <wp:positionV relativeFrom="paragraph">
                  <wp:posOffset>299085</wp:posOffset>
                </wp:positionV>
                <wp:extent cx="0" cy="274320"/>
                <wp:effectExtent l="38100" t="0" r="38100" b="0"/>
                <wp:wrapNone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5pt,23.55pt" to="202.5pt,45.1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2023110</wp:posOffset>
                </wp:positionH>
                <wp:positionV relativeFrom="paragraph">
                  <wp:posOffset>1122045</wp:posOffset>
                </wp:positionV>
                <wp:extent cx="365760" cy="466090"/>
                <wp:effectExtent l="3810" t="3175" r="0" b="0"/>
                <wp:wrapNone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466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3pt,88.35pt" to="188.05pt,12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1">
                <wp:simplePos x="0" y="0"/>
                <wp:positionH relativeFrom="column">
                  <wp:posOffset>3303270</wp:posOffset>
                </wp:positionH>
                <wp:positionV relativeFrom="paragraph">
                  <wp:posOffset>1771015</wp:posOffset>
                </wp:positionV>
                <wp:extent cx="365760" cy="0"/>
                <wp:effectExtent l="0" t="38100" r="0" b="38100"/>
                <wp:wrapNone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.1pt,139.45pt" to="288.85pt,139.4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6" w:name="__RefHeading___Toc442089921"/>
      <w:bookmarkStart w:id="7" w:name="__RefHeading___Toc442089921"/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-358775</wp:posOffset>
                </wp:positionH>
                <wp:positionV relativeFrom="paragraph">
                  <wp:posOffset>568960</wp:posOffset>
                </wp:positionV>
                <wp:extent cx="3666490" cy="466090"/>
                <wp:effectExtent l="0" t="0" r="0" b="0"/>
                <wp:wrapNone/>
                <wp:docPr id="27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6490" cy="4660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Ogni  anno rivalutazione e aggiornamento Scheda Fornitore :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accettato o non accettato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88.7pt;height:36.7pt;mso-wrap-distance-left:9.05pt;mso-wrap-distance-right:9.05pt;mso-wrap-distance-top:0pt;mso-wrap-distance-bottom:0pt;margin-top:44.8pt;mso-position-vertical-relative:text;margin-left:-28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Ogni  anno rivalutazione e aggiornamento Scheda Fornitore :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accettato o non accettato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column">
                  <wp:posOffset>-171450</wp:posOffset>
                </wp:positionH>
                <wp:positionV relativeFrom="paragraph">
                  <wp:posOffset>1122045</wp:posOffset>
                </wp:positionV>
                <wp:extent cx="914400" cy="274320"/>
                <wp:effectExtent l="0" t="0" r="0" b="0"/>
                <wp:wrapSquare wrapText="bothSides"/>
                <wp:docPr id="28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accettato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21.6pt;mso-wrap-distance-left:9.05pt;mso-wrap-distance-right:9.05pt;mso-wrap-distance-top:0pt;mso-wrap-distance-bottom:0pt;margin-top:88.35pt;mso-position-vertical-relative:text;margin-left:-13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accettato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4">
                <wp:simplePos x="0" y="0"/>
                <wp:positionH relativeFrom="column">
                  <wp:posOffset>-358775</wp:posOffset>
                </wp:positionH>
                <wp:positionV relativeFrom="paragraph">
                  <wp:posOffset>1391920</wp:posOffset>
                </wp:positionV>
                <wp:extent cx="1197610" cy="466090"/>
                <wp:effectExtent l="0" t="0" r="0" b="0"/>
                <wp:wrapNone/>
                <wp:docPr id="29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610" cy="4660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Aggiornamento Scheda Fornitore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4.3pt;height:36.7pt;mso-wrap-distance-left:9.05pt;mso-wrap-distance-right:9.05pt;mso-wrap-distance-top:0pt;mso-wrap-distance-bottom:0pt;margin-top:109.6pt;mso-position-vertical-relative:text;margin-left:-28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Aggiornamento Scheda Fornitore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6">
                <wp:simplePos x="0" y="0"/>
                <wp:positionH relativeFrom="column">
                  <wp:posOffset>1200150</wp:posOffset>
                </wp:positionH>
                <wp:positionV relativeFrom="paragraph">
                  <wp:posOffset>1122045</wp:posOffset>
                </wp:positionV>
                <wp:extent cx="914400" cy="443865"/>
                <wp:effectExtent l="0" t="0" r="0" b="0"/>
                <wp:wrapSquare wrapText="bothSides"/>
                <wp:docPr id="3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38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Non accettato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2pt;height:34.95pt;mso-wrap-distance-left:9.05pt;mso-wrap-distance-right:9.05pt;mso-wrap-distance-top:0pt;mso-wrap-distance-bottom:0pt;margin-top:88.35pt;mso-position-vertical-relative:text;margin-left:94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Non accettato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9">
                <wp:simplePos x="0" y="0"/>
                <wp:positionH relativeFrom="column">
                  <wp:posOffset>2110105</wp:posOffset>
                </wp:positionH>
                <wp:positionV relativeFrom="paragraph">
                  <wp:posOffset>1583690</wp:posOffset>
                </wp:positionV>
                <wp:extent cx="1197610" cy="466090"/>
                <wp:effectExtent l="0" t="0" r="0" b="0"/>
                <wp:wrapNone/>
                <wp:docPr id="3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610" cy="4660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Aggiornamento Scheda Fornitore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4.3pt;height:36.7pt;mso-wrap-distance-left:9.05pt;mso-wrap-distance-right:9.05pt;mso-wrap-distance-top:0pt;mso-wrap-distance-bottom:0pt;margin-top:124.7pt;mso-position-vertical-relative:text;margin-left:166.1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Aggiornamento Scheda Fornitore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0">
                <wp:simplePos x="0" y="0"/>
                <wp:positionH relativeFrom="column">
                  <wp:posOffset>3664585</wp:posOffset>
                </wp:positionH>
                <wp:positionV relativeFrom="paragraph">
                  <wp:posOffset>1583690</wp:posOffset>
                </wp:positionV>
                <wp:extent cx="2203450" cy="466090"/>
                <wp:effectExtent l="0" t="0" r="0" b="0"/>
                <wp:wrapNone/>
                <wp:docPr id="32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4660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Depennamento dal Registro fornitori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73.5pt;height:36.7pt;mso-wrap-distance-left:9.05pt;mso-wrap-distance-right:9.05pt;mso-wrap-distance-top:0pt;mso-wrap-distance-bottom:0pt;margin-top:124.7pt;mso-position-vertical-relative:text;margin-left:288.5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Depennamento dal Registro fornitori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2"/>
        <w:ind w:hanging="0" w:start="0"/>
        <w:rPr/>
      </w:pPr>
      <w:bookmarkStart w:id="8" w:name="__RefHeading___Toc442089921"/>
      <w:r>
        <w:rPr>
          <w:rStyle w:val="Emphasis"/>
          <w:rFonts w:cs="Calibri" w:ascii="Calibri" w:hAnsi="Calibri"/>
          <w:i w:val="false"/>
          <w:sz w:val="24"/>
          <w:szCs w:val="24"/>
        </w:rPr>
        <w:t>3.2</w:t>
        <w:tab/>
        <w:t>DOCUMENTI DI ACQUISTO</w:t>
      </w:r>
      <w:bookmarkEnd w:id="8"/>
    </w:p>
    <w:p>
      <w:pPr>
        <w:pStyle w:val="Normal"/>
        <w:jc w:val="both"/>
        <w:rPr>
          <w:rStyle w:val="Emphasis"/>
          <w:rFonts w:ascii="Calibri" w:hAnsi="Calibri" w:cs="Calibri"/>
          <w:b/>
          <w:i w:val="false"/>
          <w:i w:val="false"/>
          <w:sz w:val="24"/>
          <w:szCs w:val="24"/>
        </w:rPr>
      </w:pPr>
      <w:r>
        <w:rPr/>
      </w:r>
    </w:p>
    <w:p>
      <w:pPr>
        <w:pStyle w:val="BodyTextIndent"/>
        <w:widowControl/>
        <w:tabs>
          <w:tab w:val="clear" w:pos="708"/>
          <w:tab w:val="right" w:pos="8647" w:leader="none"/>
        </w:tabs>
        <w:ind w:firstLine="142" w:end="0"/>
        <w:rPr/>
      </w:pPr>
      <w:r>
        <w:rPr>
          <w:rFonts w:cs="Calibri" w:ascii="Calibri" w:hAnsi="Calibri"/>
          <w:b/>
          <w:szCs w:val="24"/>
        </w:rPr>
        <w:t>Gli ordini/contratti di approvvigionamenti devono essere effettuati a fornitori preventivamente valutati</w:t>
      </w:r>
      <w:r>
        <w:rPr>
          <w:rFonts w:cs="Calibri" w:ascii="Calibri" w:hAnsi="Calibri"/>
          <w:szCs w:val="24"/>
        </w:rPr>
        <w:t xml:space="preserve"> secondo le modalità indicate nel punto 3.1 della presente procedura </w:t>
      </w:r>
      <w:r>
        <w:rPr>
          <w:rFonts w:cs="Calibri" w:ascii="Calibri" w:hAnsi="Calibri"/>
          <w:b/>
          <w:szCs w:val="24"/>
        </w:rPr>
        <w:t>e indicati nel Registro Fornitori.</w:t>
      </w:r>
    </w:p>
    <w:p>
      <w:pPr>
        <w:pStyle w:val="BodyTextIndent"/>
        <w:widowControl/>
        <w:tabs>
          <w:tab w:val="clear" w:pos="708"/>
          <w:tab w:val="right" w:pos="8647" w:leader="none"/>
        </w:tabs>
        <w:spacing w:lineRule="exact" w:line="240"/>
        <w:ind w:firstLine="142" w:end="0"/>
        <w:rPr>
          <w:rFonts w:ascii="Calibri" w:hAnsi="Calibri" w:cs="Calibri"/>
          <w:b/>
          <w:szCs w:val="24"/>
        </w:rPr>
      </w:pPr>
      <w:r>
        <w:rPr>
          <w:rFonts w:cs="Calibri" w:ascii="Calibri" w:hAnsi="Calibri"/>
          <w:b/>
          <w:szCs w:val="24"/>
        </w:rPr>
      </w:r>
    </w:p>
    <w:p>
      <w:pPr>
        <w:pStyle w:val="Heading3"/>
        <w:ind w:hanging="1418" w:start="1418" w:end="-142"/>
        <w:rPr/>
      </w:pPr>
      <w:bookmarkStart w:id="9" w:name="__RefHeading___Toc442089922"/>
      <w:bookmarkEnd w:id="9"/>
      <w:r>
        <w:rPr>
          <w:rFonts w:cs="Calibri" w:ascii="Calibri" w:hAnsi="Calibri"/>
          <w:i w:val="false"/>
          <w:szCs w:val="24"/>
        </w:rPr>
        <w:t>3.2.1          Richiesta preventivi</w:t>
      </w:r>
    </w:p>
    <w:p>
      <w:pPr>
        <w:pStyle w:val="Normal"/>
        <w:ind w:firstLine="142" w:end="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>La procedura prevede che in fase di offerta e di analisi di fattibilità tecnico economica o in fase contrattuale, COM indica il nome del fornitore e ACQ si attiva per richiedere i preventivi: per ogni tipologia di fornitura viene contattato almeno un fornitore. I preventivi raccolti sono archiviati a cura di ACQ nel &lt;faldone pratica cliente&gt;.</w:t>
      </w:r>
    </w:p>
    <w:p>
      <w:pPr>
        <w:pStyle w:val="Heading3"/>
        <w:ind w:hanging="1418" w:start="1418" w:end="-142"/>
        <w:rPr/>
      </w:pPr>
      <w:bookmarkStart w:id="10" w:name="__RefHeading___Toc442089923"/>
      <w:bookmarkEnd w:id="10"/>
      <w:r>
        <w:rPr>
          <w:rFonts w:cs="Calibri" w:ascii="Calibri" w:hAnsi="Calibri"/>
          <w:i w:val="false"/>
          <w:szCs w:val="24"/>
        </w:rPr>
        <w:t>3.2.2          Emissione dei documenti di ordine</w:t>
      </w:r>
    </w:p>
    <w:p>
      <w:pPr>
        <w:pStyle w:val="Normal"/>
        <w:jc w:val="both"/>
        <w:rPr>
          <w:rFonts w:ascii="Calibri" w:hAnsi="Calibri" w:cs="Tahoma"/>
          <w:szCs w:val="24"/>
        </w:rPr>
      </w:pPr>
      <w:r>
        <w:rPr>
          <w:rFonts w:cs="Tahoma" w:ascii="Calibri" w:hAnsi="Calibri"/>
          <w:szCs w:val="24"/>
        </w:rPr>
        <w:t>APPROVIGIONAMENTO DI MATERIALI, PRODOTTI IN GENERE E TRASPORTI</w:t>
      </w:r>
    </w:p>
    <w:p>
      <w:pPr>
        <w:pStyle w:val="Normal"/>
        <w:jc w:val="both"/>
        <w:rPr/>
      </w:pPr>
      <w:r>
        <w:rPr>
          <w:rFonts w:cs="Tahoma" w:ascii="Calibri" w:hAnsi="Calibri"/>
          <w:szCs w:val="24"/>
        </w:rPr>
        <w:t>Gli ordini a fornitore accompagnano ogni e qualsiasi acquisto fatto dalla nostra Azienda e sono la naturale conseguenza dell’attivita’ di preventivazione.</w:t>
      </w:r>
    </w:p>
    <w:p>
      <w:pPr>
        <w:pStyle w:val="Normal"/>
        <w:jc w:val="both"/>
        <w:rPr>
          <w:rFonts w:ascii="Calibri" w:hAnsi="Calibri" w:cs="Tahoma"/>
          <w:szCs w:val="24"/>
        </w:rPr>
      </w:pPr>
      <w:r>
        <w:rPr>
          <w:rFonts w:cs="Tahoma" w:ascii="Calibri" w:hAnsi="Calibri"/>
          <w:szCs w:val="24"/>
        </w:rPr>
      </w:r>
    </w:p>
    <w:p>
      <w:pPr>
        <w:pStyle w:val="Normal"/>
        <w:jc w:val="both"/>
        <w:rPr/>
      </w:pPr>
      <w:r>
        <w:rPr>
          <w:rFonts w:cs="Tahoma" w:ascii="Calibri" w:hAnsi="Calibri"/>
          <w:szCs w:val="24"/>
        </w:rPr>
        <w:t>Gli ordini possono essere emessi da ACQ e possono essere costituiti da:</w:t>
      </w:r>
    </w:p>
    <w:p>
      <w:pPr>
        <w:pStyle w:val="Normal"/>
        <w:jc w:val="both"/>
        <w:rPr/>
      </w:pPr>
      <w:r>
        <w:rPr>
          <w:rFonts w:cs="Tahoma" w:ascii="Calibri" w:hAnsi="Calibri"/>
          <w:szCs w:val="24"/>
        </w:rPr>
        <w:t>•</w:t>
      </w:r>
      <w:r>
        <w:rPr>
          <w:rFonts w:cs="Tahoma" w:ascii="Calibri" w:hAnsi="Calibri"/>
          <w:szCs w:val="24"/>
        </w:rPr>
        <w:tab/>
        <w:t>documento  interno (Ordine Fornitore a sistema di gestione) emesso mediante il sistema informativo interno.</w:t>
      </w:r>
    </w:p>
    <w:p>
      <w:pPr>
        <w:pStyle w:val="Normal"/>
        <w:jc w:val="both"/>
        <w:rPr/>
      </w:pPr>
      <w:r>
        <w:rPr>
          <w:rFonts w:cs="Tahoma" w:ascii="Calibri" w:hAnsi="Calibri"/>
          <w:szCs w:val="24"/>
        </w:rPr>
        <w:t>•</w:t>
      </w:r>
      <w:r>
        <w:rPr>
          <w:rFonts w:cs="Tahoma" w:ascii="Calibri" w:hAnsi="Calibri"/>
          <w:szCs w:val="24"/>
        </w:rPr>
        <w:tab/>
        <w:t>preventivo fornitore controfirmato per accettazione da ACQ, qualora il documento contenga tutte le informazioni necessarie (almeno oggetto fornitura, prezzo e condizioni pagamento).</w:t>
      </w:r>
    </w:p>
    <w:p>
      <w:pPr>
        <w:pStyle w:val="Normal"/>
        <w:jc w:val="both"/>
        <w:rPr>
          <w:rFonts w:ascii="Calibri" w:hAnsi="Calibri" w:cs="Tahoma"/>
          <w:szCs w:val="24"/>
        </w:rPr>
      </w:pPr>
      <w:r>
        <w:rPr>
          <w:rFonts w:cs="Tahoma" w:ascii="Calibri" w:hAnsi="Calibri"/>
          <w:szCs w:val="24"/>
        </w:rPr>
      </w:r>
    </w:p>
    <w:p>
      <w:pPr>
        <w:pStyle w:val="Normal"/>
        <w:jc w:val="both"/>
        <w:rPr/>
      </w:pPr>
      <w:r>
        <w:rPr>
          <w:rFonts w:cs="Tahoma" w:ascii="Calibri" w:hAnsi="Calibri"/>
          <w:szCs w:val="24"/>
        </w:rPr>
        <w:t xml:space="preserve">Dopo essere stato verificato e firmato da ACQ, l’ordine viene inviato al fornitore. </w:t>
      </w:r>
    </w:p>
    <w:p>
      <w:pPr>
        <w:pStyle w:val="Normal"/>
        <w:jc w:val="both"/>
        <w:rPr/>
      </w:pPr>
      <w:r>
        <w:rPr>
          <w:rFonts w:cs="Tahoma" w:ascii="Calibri" w:hAnsi="Calibri"/>
          <w:szCs w:val="24"/>
        </w:rPr>
        <w:t>La distribuzione degli ordini all’interno dell’azienda viene gestita da ACQ.</w:t>
      </w:r>
    </w:p>
    <w:p>
      <w:pPr>
        <w:pStyle w:val="Normal"/>
        <w:jc w:val="both"/>
        <w:rPr>
          <w:rFonts w:ascii="Calibri" w:hAnsi="Calibri" w:cs="Tahoma"/>
          <w:szCs w:val="24"/>
        </w:rPr>
      </w:pPr>
      <w:r>
        <w:rPr>
          <w:rFonts w:cs="Tahoma" w:ascii="Calibri" w:hAnsi="Calibri"/>
          <w:szCs w:val="24"/>
        </w:rPr>
      </w:r>
    </w:p>
    <w:p>
      <w:pPr>
        <w:pStyle w:val="Normal"/>
        <w:jc w:val="both"/>
        <w:rPr>
          <w:rFonts w:ascii="Calibri" w:hAnsi="Calibri" w:cs="Tahoma"/>
          <w:szCs w:val="24"/>
        </w:rPr>
      </w:pPr>
      <w:r>
        <w:rPr>
          <w:rFonts w:cs="Tahoma" w:ascii="Calibri" w:hAnsi="Calibri"/>
          <w:szCs w:val="24"/>
        </w:rPr>
        <w:t>APPROVIGIONAMENTO DI SERVIZI D’OPERA E PROFESSIONALI</w:t>
      </w:r>
    </w:p>
    <w:p>
      <w:pPr>
        <w:pStyle w:val="Normal"/>
        <w:jc w:val="both"/>
        <w:rPr/>
      </w:pPr>
      <w:r>
        <w:rPr>
          <w:rFonts w:cs="Tahoma" w:ascii="Calibri" w:hAnsi="Calibri"/>
          <w:szCs w:val="24"/>
        </w:rPr>
        <w:t xml:space="preserve">In tal caso vengono stipulati dei contratti di fornitura tra </w:t>
      </w:r>
      <w:r>
        <w:rPr>
          <w:rFonts w:cs="Tahoma" w:ascii="Calibri" w:hAnsi="Calibri"/>
          <w:b/>
          <w:szCs w:val="24"/>
        </w:rPr>
        <w:t xml:space="preserve">NOME VS. AZIENDA </w:t>
      </w:r>
      <w:r>
        <w:rPr>
          <w:rFonts w:cs="Tahoma" w:ascii="Calibri" w:hAnsi="Calibri"/>
          <w:szCs w:val="24"/>
        </w:rPr>
        <w:t>ed il fornitore con le ovvie caratterizzazioni del caso.</w:t>
      </w:r>
    </w:p>
    <w:p>
      <w:pPr>
        <w:pStyle w:val="Normal"/>
        <w:jc w:val="both"/>
        <w:rPr>
          <w:rFonts w:ascii="Calibri" w:hAnsi="Calibri" w:cs="Calibri"/>
          <w:szCs w:val="24"/>
        </w:rPr>
      </w:pPr>
      <w:r>
        <w:rPr>
          <w:rFonts w:cs="Tahoma" w:ascii="Calibri" w:hAnsi="Calibri"/>
          <w:szCs w:val="24"/>
        </w:rPr>
        <w:t xml:space="preserve">I contratti in questo caso sono approvati e firmati da DGE e conservati presso l’Amministrazione. Nel caso di prestatori d’opera e professionali, eventuali documenti a corredo di quelli contrattuali verranno richiesti e poi archiviati a cura di ACQ nelle modalità previste dalla </w:t>
      </w:r>
      <w:r>
        <w:rPr>
          <w:rFonts w:cs="Calibri" w:ascii="Calibri" w:hAnsi="Calibri"/>
          <w:b/>
          <w:caps/>
          <w:szCs w:val="24"/>
          <w:u w:val="single"/>
        </w:rPr>
        <w:t>PR 7.1.2 Gestione delle Risorse Umane</w:t>
      </w:r>
      <w:r>
        <w:rPr>
          <w:rFonts w:cs="Tahoma" w:ascii="Calibri" w:hAnsi="Calibri"/>
          <w:b/>
          <w:szCs w:val="24"/>
        </w:rPr>
        <w:t>.</w:t>
      </w:r>
    </w:p>
    <w:p>
      <w:pPr>
        <w:pStyle w:val="Normal"/>
        <w:rPr>
          <w:rFonts w:ascii="Calibri" w:hAnsi="Calibri" w:cs="Tahoma"/>
          <w:b/>
          <w:szCs w:val="24"/>
        </w:rPr>
      </w:pPr>
      <w:r>
        <w:rPr>
          <w:rFonts w:cs="Tahoma" w:ascii="Calibri" w:hAnsi="Calibri"/>
          <w:b/>
          <w:szCs w:val="24"/>
        </w:rPr>
      </w:r>
    </w:p>
    <w:p>
      <w:pPr>
        <w:pStyle w:val="Normal"/>
        <w:jc w:val="both"/>
        <w:rPr>
          <w:rFonts w:ascii="Calibri" w:hAnsi="Calibri" w:cs="Calibri"/>
          <w:b/>
          <w:caps/>
          <w:sz w:val="20"/>
          <w:szCs w:val="24"/>
        </w:rPr>
      </w:pPr>
      <w:r>
        <w:rPr>
          <w:rFonts w:cs="Calibri" w:ascii="Calibri" w:hAnsi="Calibri"/>
          <w:b/>
          <w:caps/>
          <w:sz w:val="20"/>
          <w:szCs w:val="24"/>
        </w:rPr>
      </w:r>
    </w:p>
    <w:p>
      <w:pPr>
        <w:pStyle w:val="Normal"/>
        <w:jc w:val="both"/>
        <w:rPr>
          <w:rFonts w:ascii="Calibri" w:hAnsi="Calibri" w:cs="Calibri"/>
          <w:b/>
          <w:caps/>
          <w:sz w:val="20"/>
        </w:rPr>
      </w:pPr>
      <w:r>
        <w:rPr>
          <w:rFonts w:cs="Calibri" w:ascii="Calibri" w:hAnsi="Calibri"/>
          <w:b/>
          <w:caps/>
          <w:sz w:val="20"/>
        </w:rPr>
      </w:r>
    </w:p>
    <w:p>
      <w:pPr>
        <w:pStyle w:val="Normal"/>
        <w:jc w:val="both"/>
        <w:rPr>
          <w:rFonts w:ascii="Calibri" w:hAnsi="Calibri" w:cs="Calibri"/>
          <w:b/>
          <w:caps/>
          <w:sz w:val="20"/>
        </w:rPr>
      </w:pPr>
      <w:r>
        <w:rPr>
          <w:rFonts w:cs="Calibri" w:ascii="Calibri" w:hAnsi="Calibri"/>
          <w:b/>
          <w:caps/>
          <w:sz w:val="20"/>
        </w:rPr>
      </w:r>
    </w:p>
    <w:p>
      <w:pPr>
        <w:pStyle w:val="Normal"/>
        <w:jc w:val="both"/>
        <w:rPr>
          <w:rFonts w:ascii="Calibri" w:hAnsi="Calibri" w:cs="Calibri"/>
          <w:b/>
          <w:caps/>
          <w:sz w:val="20"/>
        </w:rPr>
      </w:pPr>
      <w:r>
        <w:rPr>
          <w:rFonts w:cs="Calibri" w:ascii="Calibri" w:hAnsi="Calibri"/>
          <w:b/>
          <w:caps/>
          <w:sz w:val="20"/>
        </w:rPr>
      </w:r>
    </w:p>
    <w:p>
      <w:pPr>
        <w:pStyle w:val="Normal"/>
        <w:jc w:val="both"/>
        <w:rPr>
          <w:rFonts w:ascii="Calibri" w:hAnsi="Calibri" w:cs="Calibri"/>
          <w:b/>
          <w:caps/>
          <w:sz w:val="20"/>
        </w:rPr>
      </w:pPr>
      <w:r>
        <w:rPr>
          <w:rFonts w:cs="Calibri" w:ascii="Calibri" w:hAnsi="Calibri"/>
          <w:b/>
          <w:caps/>
          <w:sz w:val="20"/>
        </w:rPr>
      </w:r>
    </w:p>
    <w:p>
      <w:pPr>
        <w:pStyle w:val="Normal"/>
        <w:jc w:val="both"/>
        <w:rPr>
          <w:rFonts w:ascii="Calibri" w:hAnsi="Calibri" w:cs="Calibri"/>
          <w:b/>
          <w:caps/>
          <w:sz w:val="20"/>
        </w:rPr>
      </w:pPr>
      <w:r>
        <w:rPr>
          <w:rFonts w:cs="Calibri" w:ascii="Calibri" w:hAnsi="Calibri"/>
          <w:b/>
          <w:caps/>
          <w:sz w:val="20"/>
        </w:rPr>
      </w:r>
    </w:p>
    <w:p>
      <w:pPr>
        <w:pStyle w:val="Normal"/>
        <w:jc w:val="both"/>
        <w:rPr>
          <w:rFonts w:ascii="Calibri" w:hAnsi="Calibri" w:cs="Calibri"/>
          <w:b/>
          <w:caps/>
          <w:sz w:val="20"/>
        </w:rPr>
      </w:pPr>
      <w:r>
        <w:rPr>
          <w:rFonts w:cs="Calibri" w:ascii="Calibri" w:hAnsi="Calibri"/>
          <w:b/>
          <w:caps/>
          <w:sz w:val="20"/>
        </w:rPr>
      </w:r>
    </w:p>
    <w:p>
      <w:pPr>
        <w:pStyle w:val="Normal"/>
        <w:jc w:val="both"/>
        <w:rPr>
          <w:rFonts w:ascii="Calibri" w:hAnsi="Calibri" w:cs="Calibri"/>
          <w:b/>
          <w:caps/>
          <w:sz w:val="20"/>
        </w:rPr>
      </w:pPr>
      <w:r>
        <w:rPr>
          <w:rFonts w:cs="Calibri" w:ascii="Calibri" w:hAnsi="Calibri"/>
          <w:b/>
          <w:caps/>
          <w:sz w:val="20"/>
        </w:rPr>
      </w:r>
    </w:p>
    <w:p>
      <w:pPr>
        <w:pStyle w:val="Normal"/>
        <w:jc w:val="both"/>
        <w:rPr/>
      </w:pPr>
      <w:r>
        <w:rPr>
          <w:rFonts w:eastAsia="Calibri" w:cs="Calibri" w:ascii="Calibri" w:hAnsi="Calibri"/>
          <w:b/>
          <w:caps/>
          <w:szCs w:val="24"/>
        </w:rPr>
        <w:t xml:space="preserve"> </w:t>
      </w:r>
      <w:r>
        <w:rPr>
          <w:rFonts w:cs="Calibri" w:ascii="Calibri" w:hAnsi="Calibri"/>
          <w:b/>
          <w:caps/>
          <w:szCs w:val="24"/>
        </w:rPr>
        <w:t>Verifica prodotti ACQuistati</w:t>
      </w:r>
    </w:p>
    <w:p>
      <w:pPr>
        <w:pStyle w:val="Heading"/>
        <w:rPr>
          <w:rFonts w:ascii="Calibri" w:hAnsi="Calibri" w:cs="Calibri"/>
          <w:b w:val="false"/>
          <w:caps/>
          <w:color w:val="008080"/>
          <w:sz w:val="20"/>
          <w:szCs w:val="24"/>
        </w:rPr>
      </w:pPr>
      <w:r>
        <w:rPr>
          <w:rFonts w:cs="Calibri" w:ascii="Calibri" w:hAnsi="Calibri"/>
          <w:b w:val="false"/>
          <w:caps/>
          <w:color w:val="008080"/>
          <w:sz w:val="20"/>
          <w:szCs w:val="24"/>
        </w:rPr>
      </w:r>
    </w:p>
    <w:p>
      <w:pPr>
        <w:pStyle w:val="Heading"/>
        <w:rPr>
          <w:rFonts w:ascii="Calibri" w:hAnsi="Calibri" w:cs="Calibri"/>
          <w:color w:val="008080"/>
          <w:sz w:val="20"/>
          <w:lang w:val="en-US" w:eastAsia="en-US"/>
        </w:rPr>
      </w:pPr>
      <w:r>
        <w:rPr>
          <w:rFonts w:cs="Calibri" w:ascii="Calibri" w:hAnsi="Calibri"/>
          <w:color w:val="008080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281305</wp:posOffset>
                </wp:positionH>
                <wp:positionV relativeFrom="paragraph">
                  <wp:posOffset>15240</wp:posOffset>
                </wp:positionV>
                <wp:extent cx="2294890" cy="466090"/>
                <wp:effectExtent l="0" t="0" r="0" b="0"/>
                <wp:wrapNone/>
                <wp:docPr id="33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890" cy="4660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 xml:space="preserve">Ordine fornitore e consegna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80.7pt;height:36.7pt;mso-wrap-distance-left:9.05pt;mso-wrap-distance-right:9.05pt;mso-wrap-distance-top:0pt;mso-wrap-distance-bottom:0pt;margin-top:1.2pt;mso-position-vertical-relative:text;margin-left:22.1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 xml:space="preserve">Ordine fornitore e consegna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3669030</wp:posOffset>
                </wp:positionH>
                <wp:positionV relativeFrom="paragraph">
                  <wp:posOffset>49530</wp:posOffset>
                </wp:positionV>
                <wp:extent cx="2651760" cy="4764405"/>
                <wp:effectExtent l="0" t="0" r="0" b="0"/>
                <wp:wrapNone/>
                <wp:docPr id="34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47644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tbl>
                            <w:tblPr>
                              <w:tblW w:w="3402" w:type="dxa"/>
                              <w:jc w:val="start"/>
                              <w:tblInd w:w="354" w:type="dxa"/>
                              <w:tblLayout w:type="fixed"/>
                              <w:tblCellMar>
                                <w:top w:w="0" w:type="dxa"/>
                                <w:start w:w="70" w:type="dxa"/>
                                <w:bottom w:w="0" w:type="dxa"/>
                                <w:end w:w="70" w:type="dxa"/>
                              </w:tblCellMar>
                            </w:tblPr>
                            <w:tblGrid>
                              <w:gridCol w:w="1276"/>
                              <w:gridCol w:w="2126"/>
                            </w:tblGrid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2F2F2" w:val="clea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Responsabili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shd w:fill="F2F2F2" w:val="clea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Attività / Registrazioni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8" w:hRule="atLeast"/>
                                <w:cantSplit w:val="true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ACQ (R)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Ordine di Acquisto/ preventivo controfirmato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66" w:hRule="atLeast"/>
                                <w:cantSplit w:val="true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rpodeltesto3"/>
                                    <w:spacing w:before="120" w:after="0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</w:rPr>
                                    <w:t>ACQ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Inserimento a sistema dell’ordine 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ACQ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Nel caso si verifichino dei problemi di fornitura con il fornitore, RSGQ emette un Rapporto di NC 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caps/>
                                      <w:szCs w:val="24"/>
                                      <w:u w:val="single"/>
                                    </w:rPr>
                                    <w:t>Mod 8.7.1</w:t>
                                  </w: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rPr>
                                <w:cantSplit w:val="true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>ACQ (R)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center"/>
                                    <w:rPr>
                                      <w:rFonts w:ascii="Calibri" w:hAnsi="Calibri" w:cs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0"/>
                                    </w:rPr>
                                    <w:t xml:space="preserve">Se il controllo è positivo firma il ddT relativo e poi lo consegna in Amministrazione 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20" w:after="0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b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8.8pt;height:375.15pt;mso-wrap-distance-left:9.05pt;mso-wrap-distance-right:9.05pt;mso-wrap-distance-top:0pt;mso-wrap-distance-bottom:0pt;margin-top:3.9pt;mso-position-vertical-relative:text;margin-left:288.9pt;mso-position-horizontal-relative:text">
                <v:textbox inset="0.100694444444444in,0.0506944444444444in,0.100694444444444in,0.0506944444444444in">
                  <w:txbxContent>
                    <w:tbl>
                      <w:tblPr>
                        <w:tblW w:w="3402" w:type="dxa"/>
                        <w:jc w:val="start"/>
                        <w:tblInd w:w="354" w:type="dxa"/>
                        <w:tblLayout w:type="fixed"/>
                        <w:tblCellMar>
                          <w:top w:w="0" w:type="dxa"/>
                          <w:start w:w="70" w:type="dxa"/>
                          <w:bottom w:w="0" w:type="dxa"/>
                          <w:end w:w="70" w:type="dxa"/>
                        </w:tblCellMar>
                      </w:tblPr>
                      <w:tblGrid>
                        <w:gridCol w:w="1276"/>
                        <w:gridCol w:w="2126"/>
                      </w:tblGrid>
                      <w:tr>
                        <w:trPr>
                          <w:cantSplit w:val="true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2F2F2" w:val="clea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Responsabili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shd w:fill="F2F2F2" w:val="clea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Attività / Registrazioni</w:t>
                            </w:r>
                          </w:p>
                        </w:tc>
                      </w:tr>
                      <w:tr>
                        <w:trPr>
                          <w:trHeight w:val="708" w:hRule="atLeast"/>
                          <w:cantSplit w:val="true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ACQ (R)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Ordine di Acquisto/ preventivo controfirmato</w:t>
                            </w:r>
                          </w:p>
                        </w:tc>
                      </w:tr>
                      <w:tr>
                        <w:trPr>
                          <w:trHeight w:val="1166" w:hRule="atLeast"/>
                          <w:cantSplit w:val="true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Corpodeltesto3"/>
                              <w:spacing w:before="120" w:after="0"/>
                              <w:rPr/>
                            </w:pPr>
                            <w:r>
                              <w:rPr>
                                <w:rFonts w:cs="Calibri" w:ascii="Calibri" w:hAnsi="Calibri"/>
                              </w:rPr>
                              <w:t>ACQ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>
                                <w:rFonts w:ascii="Calibri" w:hAnsi="Calibri" w:cs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Inserimento a sistema dell’ordine 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ACQ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Nel caso si verifichino dei problemi di fornitura con il fornitore, RSGQ emette un Rapporto di NC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caps/>
                                <w:szCs w:val="24"/>
                                <w:u w:val="single"/>
                              </w:rPr>
                              <w:t>Mod 8.7.1</w:t>
                            </w: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rPr>
                          <w:cantSplit w:val="true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>ACQ (R)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center"/>
                              <w:rPr>
                                <w:rFonts w:ascii="Calibri" w:hAnsi="Calibri" w:cs="Calibri"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sz w:val="20"/>
                              </w:rPr>
                              <w:t xml:space="preserve">Se il controllo è positivo firma il ddT relativo e poi lo consegna in Amministrazione 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jc w:val="both"/>
                              <w:rPr>
                                <w:rFonts w:ascii="Calibri" w:hAnsi="Calibri" w:cs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5">
                <wp:simplePos x="0" y="0"/>
                <wp:positionH relativeFrom="column">
                  <wp:posOffset>1383030</wp:posOffset>
                </wp:positionH>
                <wp:positionV relativeFrom="paragraph">
                  <wp:posOffset>27305</wp:posOffset>
                </wp:positionV>
                <wp:extent cx="0" cy="274320"/>
                <wp:effectExtent l="38100" t="0" r="38100" b="0"/>
                <wp:wrapNone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2.15pt" to="108.9pt,23.7pt" stroked="t" o:allowincell="f" style="position:absolute">
                <v:stroke color="black" weight="1908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column">
                  <wp:posOffset>-175895</wp:posOffset>
                </wp:positionH>
                <wp:positionV relativeFrom="paragraph">
                  <wp:posOffset>133985</wp:posOffset>
                </wp:positionV>
                <wp:extent cx="3209290" cy="374650"/>
                <wp:effectExtent l="0" t="0" r="0" b="0"/>
                <wp:wrapSquare wrapText="bothSides"/>
                <wp:docPr id="36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374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"/>
                              <w:rPr>
                                <w:b w:val="false"/>
                                <w:sz w:val="20"/>
                              </w:rPr>
                            </w:pPr>
                            <w:r>
                              <w:rPr>
                                <w:b w:val="false"/>
                                <w:sz w:val="20"/>
                              </w:rPr>
                              <w:t>ARRIVO MATERIALE FORNITORE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29.5pt;mso-wrap-distance-left:9.05pt;mso-wrap-distance-right:9.05pt;mso-wrap-distance-top:0pt;mso-wrap-distance-bottom:0pt;margin-top:10.55pt;mso-position-vertical-relative:text;margin-left:-13.85pt;mso-position-horizontal-relative:text">
                <v:textbox>
                  <w:txbxContent>
                    <w:p>
                      <w:pPr>
                        <w:pStyle w:val="Heading"/>
                        <w:rPr>
                          <w:b w:val="false"/>
                          <w:sz w:val="20"/>
                        </w:rPr>
                      </w:pPr>
                      <w:r>
                        <w:rPr>
                          <w:b w:val="false"/>
                          <w:sz w:val="20"/>
                        </w:rPr>
                        <w:t>ARRIVO MATERIALE FORNITORE</w:t>
                      </w:r>
                    </w:p>
                    <w:p>
                      <w:pPr>
                        <w:pStyle w:val="Normal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-1760220</wp:posOffset>
                </wp:positionH>
                <wp:positionV relativeFrom="paragraph">
                  <wp:posOffset>53975</wp:posOffset>
                </wp:positionV>
                <wp:extent cx="0" cy="274320"/>
                <wp:effectExtent l="38100" t="0" r="38100" b="0"/>
                <wp:wrapNone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38.6pt,4.25pt" to="-138.6pt,25.8pt" stroked="t" o:allowincell="f" style="position:absolute">
                <v:stroke color="black" weight="1908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column">
                  <wp:posOffset>738505</wp:posOffset>
                </wp:positionH>
                <wp:positionV relativeFrom="paragraph">
                  <wp:posOffset>17145</wp:posOffset>
                </wp:positionV>
                <wp:extent cx="1289050" cy="557530"/>
                <wp:effectExtent l="0" t="0" r="0" b="0"/>
                <wp:wrapSquare wrapText="bothSides"/>
                <wp:docPr id="38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5575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>Addetto al controllo: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ahoma" w:hAnsi="Tahoma" w:cs="Tahoma"/>
                                <w:sz w:val="20"/>
                              </w:rPr>
                            </w:pPr>
                            <w:r>
                              <w:rPr>
                                <w:rFonts w:cs="Tahoma" w:ascii="Tahoma" w:hAnsi="Tahoma"/>
                                <w:sz w:val="20"/>
                              </w:rPr>
                              <w:t>ACQ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1.5pt;height:43.9pt;mso-wrap-distance-left:9.05pt;mso-wrap-distance-right:9.05pt;mso-wrap-distance-top:0pt;mso-wrap-distance-bottom:0pt;margin-top:1.35pt;mso-position-vertical-relative:text;margin-left:58.1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>Addetto al controllo: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ahoma" w:hAnsi="Tahoma" w:cs="Tahoma"/>
                          <w:sz w:val="20"/>
                        </w:rPr>
                      </w:pPr>
                      <w:r>
                        <w:rPr>
                          <w:rFonts w:cs="Tahoma" w:ascii="Tahoma" w:hAnsi="Tahoma"/>
                          <w:sz w:val="20"/>
                        </w:rPr>
                        <w:t>ACQ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4">
                <wp:simplePos x="0" y="0"/>
                <wp:positionH relativeFrom="column">
                  <wp:posOffset>1383030</wp:posOffset>
                </wp:positionH>
                <wp:positionV relativeFrom="paragraph">
                  <wp:posOffset>110490</wp:posOffset>
                </wp:positionV>
                <wp:extent cx="0" cy="274320"/>
                <wp:effectExtent l="38100" t="0" r="38100" b="0"/>
                <wp:wrapNone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pt,8.7pt" to="108.9pt,30.25pt" stroked="t" o:allowincell="f" style="position:absolute">
                <v:stroke color="black" weight="1908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-175895</wp:posOffset>
                </wp:positionH>
                <wp:positionV relativeFrom="paragraph">
                  <wp:posOffset>93345</wp:posOffset>
                </wp:positionV>
                <wp:extent cx="3483610" cy="1471930"/>
                <wp:effectExtent l="0" t="0" r="0" b="0"/>
                <wp:wrapNone/>
                <wp:docPr id="40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3610" cy="14719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Corpodeltesto3"/>
                              <w:rPr/>
                            </w:pPr>
                            <w:r>
                              <w:rPr>
                                <w:u w:val="single"/>
                              </w:rPr>
                              <w:t>Esecuzione controlli</w:t>
                            </w:r>
                            <w:r>
                              <w:rPr/>
                              <w:t>:</w:t>
                            </w:r>
                          </w:p>
                          <w:p>
                            <w:pPr>
                              <w:pStyle w:val="Header"/>
                              <w:numPr>
                                <w:ilvl w:val="0"/>
                                <w:numId w:val="3"/>
                              </w:num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Verificare lo stato degli imballi del materiale consegnato al fine di constatare la presenza di eventuali danni dovuti al trasporto;</w:t>
                            </w:r>
                          </w:p>
                          <w:p>
                            <w:pPr>
                              <w:pStyle w:val="Header"/>
                              <w:numPr>
                                <w:ilvl w:val="0"/>
                                <w:numId w:val="3"/>
                              </w:num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Verificare la congruenza tipologica e quantitativa tra il materiale/attrezzatura/mezzo consegnato e quanto riportato nel documento di accompagnamento merci (documento di trasporto-Ddt) e nel documento d'ordine fatto al fornitore.</w:t>
                            </w:r>
                          </w:p>
                          <w:p>
                            <w:pPr>
                              <w:pStyle w:val="Header"/>
                              <w:numPr>
                                <w:ilvl w:val="0"/>
                                <w:numId w:val="3"/>
                              </w:num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Verificare la presenza ed </w:t>
                            </w:r>
                            <w:r>
                              <w:rPr>
                                <w:sz w:val="18"/>
                                <w:lang w:val="it-IT"/>
                              </w:rPr>
                              <w:t>Acq</w:t>
                            </w:r>
                            <w:r>
                              <w:rPr>
                                <w:sz w:val="18"/>
                              </w:rPr>
                              <w:t xml:space="preserve">uisire l'eventuale documentazione certificativa a corredo della fornitura e richiamata nell'Ordine di </w:t>
                            </w:r>
                            <w:r>
                              <w:rPr>
                                <w:sz w:val="18"/>
                                <w:lang w:val="it-IT"/>
                              </w:rPr>
                              <w:t>acq</w:t>
                            </w:r>
                            <w:r>
                              <w:rPr>
                                <w:sz w:val="18"/>
                              </w:rPr>
                              <w:t>uisto.</w:t>
                            </w:r>
                          </w:p>
                          <w:p>
                            <w:pPr>
                              <w:pStyle w:val="Header"/>
                              <w:rPr>
                                <w:rFonts w:ascii="Tahoma" w:hAnsi="Tahoma" w:cs="Tahoma"/>
                                <w:sz w:val="20"/>
                              </w:rPr>
                            </w:pPr>
                            <w:r>
                              <w:rPr>
                                <w:rFonts w:cs="Tahoma" w:ascii="Tahoma" w:hAnsi="Tahoma"/>
                                <w:sz w:val="20"/>
                              </w:rPr>
                            </w:r>
                          </w:p>
                          <w:p>
                            <w:pPr>
                              <w:pStyle w:val="Corpodeltesto3"/>
                              <w:rPr>
                                <w:rFonts w:ascii="Tahoma" w:hAnsi="Tahoma" w:cs="Tahoma"/>
                                <w:sz w:val="20"/>
                              </w:rPr>
                            </w:pPr>
                            <w:r>
                              <w:rPr>
                                <w:rFonts w:cs="Tahoma" w:ascii="Tahoma" w:hAnsi="Tahoma"/>
                                <w:sz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4.3pt;height:115.9pt;mso-wrap-distance-left:9.05pt;mso-wrap-distance-right:9.05pt;mso-wrap-distance-top:0pt;mso-wrap-distance-bottom:0pt;margin-top:7.35pt;mso-position-vertical-relative:text;margin-left:-13.85pt;mso-position-horizontal-relative:text">
                <v:textbox>
                  <w:txbxContent>
                    <w:p>
                      <w:pPr>
                        <w:pStyle w:val="Corpodeltesto3"/>
                        <w:rPr/>
                      </w:pPr>
                      <w:r>
                        <w:rPr>
                          <w:u w:val="single"/>
                        </w:rPr>
                        <w:t>Esecuzione controlli</w:t>
                      </w:r>
                      <w:r>
                        <w:rPr/>
                        <w:t>:</w:t>
                      </w:r>
                    </w:p>
                    <w:p>
                      <w:pPr>
                        <w:pStyle w:val="Header"/>
                        <w:numPr>
                          <w:ilvl w:val="0"/>
                          <w:numId w:val="3"/>
                        </w:num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Verificare lo stato degli imballi del materiale consegnato al fine di constatare la presenza di eventuali danni dovuti al trasporto;</w:t>
                      </w:r>
                    </w:p>
                    <w:p>
                      <w:pPr>
                        <w:pStyle w:val="Header"/>
                        <w:numPr>
                          <w:ilvl w:val="0"/>
                          <w:numId w:val="3"/>
                        </w:num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Verificare la congruenza tipologica e quantitativa tra il materiale/attrezzatura/mezzo consegnato e quanto riportato nel documento di accompagnamento merci (documento di trasporto-Ddt) e nel documento d'ordine fatto al fornitore.</w:t>
                      </w:r>
                    </w:p>
                    <w:p>
                      <w:pPr>
                        <w:pStyle w:val="Header"/>
                        <w:numPr>
                          <w:ilvl w:val="0"/>
                          <w:numId w:val="3"/>
                        </w:num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Verificare la presenza ed </w:t>
                      </w:r>
                      <w:r>
                        <w:rPr>
                          <w:sz w:val="18"/>
                          <w:lang w:val="it-IT"/>
                        </w:rPr>
                        <w:t>Acq</w:t>
                      </w:r>
                      <w:r>
                        <w:rPr>
                          <w:sz w:val="18"/>
                        </w:rPr>
                        <w:t xml:space="preserve">uisire l'eventuale documentazione certificativa a corredo della fornitura e richiamata nell'Ordine di </w:t>
                      </w:r>
                      <w:r>
                        <w:rPr>
                          <w:sz w:val="18"/>
                          <w:lang w:val="it-IT"/>
                        </w:rPr>
                        <w:t>acq</w:t>
                      </w:r>
                      <w:r>
                        <w:rPr>
                          <w:sz w:val="18"/>
                        </w:rPr>
                        <w:t>uisto.</w:t>
                      </w:r>
                    </w:p>
                    <w:p>
                      <w:pPr>
                        <w:pStyle w:val="Header"/>
                        <w:rPr>
                          <w:rFonts w:ascii="Tahoma" w:hAnsi="Tahoma" w:cs="Tahoma"/>
                          <w:sz w:val="20"/>
                        </w:rPr>
                      </w:pPr>
                      <w:r>
                        <w:rPr>
                          <w:rFonts w:cs="Tahoma" w:ascii="Tahoma" w:hAnsi="Tahoma"/>
                          <w:sz w:val="20"/>
                        </w:rPr>
                      </w:r>
                    </w:p>
                    <w:p>
                      <w:pPr>
                        <w:pStyle w:val="Corpodeltesto3"/>
                        <w:rPr>
                          <w:rFonts w:ascii="Tahoma" w:hAnsi="Tahoma" w:cs="Tahoma"/>
                          <w:sz w:val="20"/>
                        </w:rPr>
                      </w:pPr>
                      <w:r>
                        <w:rPr>
                          <w:rFonts w:cs="Tahoma" w:ascii="Tahoma" w:hAnsi="Tahoma"/>
                          <w:sz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5">
                <wp:simplePos x="0" y="0"/>
                <wp:positionH relativeFrom="column">
                  <wp:posOffset>3566160</wp:posOffset>
                </wp:positionH>
                <wp:positionV relativeFrom="paragraph">
                  <wp:posOffset>62865</wp:posOffset>
                </wp:positionV>
                <wp:extent cx="11430" cy="1351280"/>
                <wp:effectExtent l="5080" t="635" r="5080" b="635"/>
                <wp:wrapNone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520" cy="1351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Dot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8pt,4.95pt" to="281.65pt,111.3pt" stroked="t" o:allowincell="f" style="position:absolute;flip:y">
                <v:stroke color="black" weight="9360" dashstyle="longdashdotdot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6">
                <wp:simplePos x="0" y="0"/>
                <wp:positionH relativeFrom="column">
                  <wp:posOffset>3303270</wp:posOffset>
                </wp:positionH>
                <wp:positionV relativeFrom="paragraph">
                  <wp:posOffset>62865</wp:posOffset>
                </wp:positionV>
                <wp:extent cx="274320" cy="0"/>
                <wp:effectExtent l="0" t="38100" r="0" b="38100"/>
                <wp:wrapNone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DotDot"/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.1pt,4.95pt" to="281.65pt,4.95pt" stroked="t" o:allowincell="f" style="position:absolute;flip:x">
                <v:stroke color="black" weight="9360" dashstyle="longdashdotdot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377190</wp:posOffset>
                </wp:positionH>
                <wp:positionV relativeFrom="paragraph">
                  <wp:posOffset>27940</wp:posOffset>
                </wp:positionV>
                <wp:extent cx="0" cy="2041525"/>
                <wp:effectExtent l="38100" t="0" r="38100" b="0"/>
                <wp:wrapNone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415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7pt,2.2pt" to="29.7pt,162.9pt" stroked="t" o:allowincell="f" style="position:absolute">
                <v:stroke color="black" weight="1908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2937510</wp:posOffset>
                </wp:positionH>
                <wp:positionV relativeFrom="paragraph">
                  <wp:posOffset>8255</wp:posOffset>
                </wp:positionV>
                <wp:extent cx="0" cy="368300"/>
                <wp:effectExtent l="5080" t="5080" r="5080" b="5080"/>
                <wp:wrapNone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828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3pt,0.65pt" to="231.3pt,29.6pt" stroked="t" o:allowincell="f" style="position:absolute">
                <v:stroke color="black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  <w:t>NO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921385</wp:posOffset>
                </wp:positionH>
                <wp:positionV relativeFrom="paragraph">
                  <wp:posOffset>125095</wp:posOffset>
                </wp:positionV>
                <wp:extent cx="1654810" cy="557530"/>
                <wp:effectExtent l="0" t="0" r="0" b="0"/>
                <wp:wrapNone/>
                <wp:docPr id="45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810" cy="5575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Tahoma" w:ascii="Tahoma" w:hAnsi="Tahoma"/>
                                <w:sz w:val="20"/>
                              </w:rPr>
                              <w:t>ACQ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emette un Mod 8.7.1 e prende accordi con fornitore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0.3pt;height:43.9pt;mso-wrap-distance-left:9.05pt;mso-wrap-distance-right:9.05pt;mso-wrap-distance-top:0pt;mso-wrap-distance-bottom:0pt;margin-top:9.85pt;mso-position-vertical-relative:text;margin-left:72.5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cs="Tahoma" w:ascii="Tahoma" w:hAnsi="Tahoma"/>
                          <w:sz w:val="20"/>
                        </w:rPr>
                        <w:t>ACQ</w:t>
                      </w: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emette un Mod 8.7.1 e prende accordi con fornitore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"/>
        <w:rPr>
          <w:rFonts w:ascii="Calibri" w:hAnsi="Calibri" w:cs="Calibri"/>
          <w:sz w:val="20"/>
          <w:lang w:val="en-US" w:eastAsia="en-US"/>
        </w:rPr>
      </w:pPr>
      <w:r>
        <w:rPr>
          <w:rFonts w:cs="Calibri" w:ascii="Calibri" w:hAnsi="Calibri"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2571750</wp:posOffset>
                </wp:positionH>
                <wp:positionV relativeFrom="paragraph">
                  <wp:posOffset>69850</wp:posOffset>
                </wp:positionV>
                <wp:extent cx="365760" cy="0"/>
                <wp:effectExtent l="0" t="38100" r="0" b="38100"/>
                <wp:wrapNone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5pt,5.5pt" to="231.25pt,5.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7">
                <wp:simplePos x="0" y="0"/>
                <wp:positionH relativeFrom="column">
                  <wp:posOffset>2663190</wp:posOffset>
                </wp:positionH>
                <wp:positionV relativeFrom="paragraph">
                  <wp:posOffset>55245</wp:posOffset>
                </wp:positionV>
                <wp:extent cx="914400" cy="0"/>
                <wp:effectExtent l="0" t="5080" r="0" b="5080"/>
                <wp:wrapNone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Dot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7pt,4.35pt" to="281.65pt,4.35pt" stroked="t" o:allowincell="f" style="position:absolute">
                <v:stroke color="black" weight="9360" dashstyle="longdashdotdot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" w:ascii="Calibri" w:hAnsi="Calibri"/>
          <w:b/>
          <w:sz w:val="20"/>
          <w:lang w:val="en-US" w:eastAsia="en-US"/>
        </w:rPr>
        <w:t>OK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1748790</wp:posOffset>
                </wp:positionH>
                <wp:positionV relativeFrom="paragraph">
                  <wp:posOffset>64770</wp:posOffset>
                </wp:positionV>
                <wp:extent cx="0" cy="548640"/>
                <wp:effectExtent l="38100" t="5080" r="38100" b="0"/>
                <wp:wrapNone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7pt,5.1pt" to="137.7pt,48.25pt" stroked="t" o:allowincell="f" style="position:absolute">
                <v:stroke color="black" weight="9360" dashstyle="shortdot" endarrow="block" endarrowwidth="medium" endarrowlength="medium" joinstyle="miter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1012825</wp:posOffset>
                </wp:positionH>
                <wp:positionV relativeFrom="paragraph">
                  <wp:posOffset>136525</wp:posOffset>
                </wp:positionV>
                <wp:extent cx="1289050" cy="431800"/>
                <wp:effectExtent l="0" t="0" r="0" b="0"/>
                <wp:wrapNone/>
                <wp:docPr id="49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4318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20"/>
                              </w:rPr>
                              <w:t>Consegna Mod 8.7.1 a RSGQ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01.5pt;height:34pt;mso-wrap-distance-left:9.05pt;mso-wrap-distance-right:9.05pt;mso-wrap-distance-top:0pt;mso-wrap-distance-bottom:0pt;margin-top:10.75pt;mso-position-vertical-relative:text;margin-left:79.7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20"/>
                        </w:rPr>
                        <w:t>Consegna Mod 8.7.1 a RSGQ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2750185</wp:posOffset>
                </wp:positionH>
                <wp:positionV relativeFrom="paragraph">
                  <wp:posOffset>136525</wp:posOffset>
                </wp:positionV>
                <wp:extent cx="1106170" cy="558165"/>
                <wp:effectExtent l="0" t="0" r="0" b="0"/>
                <wp:wrapNone/>
                <wp:docPr id="50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55816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20"/>
                              </w:rPr>
                              <w:t>RSGI registra nel mod 8.7.2 la NC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7.1pt;height:43.95pt;mso-wrap-distance-left:9.05pt;mso-wrap-distance-right:9.05pt;mso-wrap-distance-top:0pt;mso-wrap-distance-bottom:0pt;margin-top:10.75pt;mso-position-vertical-relative:text;margin-left:216.5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20"/>
                        </w:rPr>
                        <w:t>RSGI registra nel mod 8.7.2 la NC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3">
                <wp:simplePos x="0" y="0"/>
                <wp:positionH relativeFrom="column">
                  <wp:posOffset>4316095</wp:posOffset>
                </wp:positionH>
                <wp:positionV relativeFrom="paragraph">
                  <wp:posOffset>138430</wp:posOffset>
                </wp:positionV>
                <wp:extent cx="1714500" cy="633730"/>
                <wp:effectExtent l="0" t="0" r="0" b="0"/>
                <wp:wrapNone/>
                <wp:docPr id="51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337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20"/>
                              </w:rPr>
                              <w:t>Aggiornamento della Scheda Fornitore relativa.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5pt;height:49.9pt;mso-wrap-distance-left:9.05pt;mso-wrap-distance-right:9.05pt;mso-wrap-distance-top:0pt;mso-wrap-distance-bottom:0pt;margin-top:10.9pt;mso-position-vertical-relative:text;margin-left:339.8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20"/>
                        </w:rPr>
                        <w:t>Aggiornamento della Scheda Fornitore relativa.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3">
                <wp:simplePos x="0" y="0"/>
                <wp:positionH relativeFrom="column">
                  <wp:posOffset>2297430</wp:posOffset>
                </wp:positionH>
                <wp:positionV relativeFrom="paragraph">
                  <wp:posOffset>17145</wp:posOffset>
                </wp:positionV>
                <wp:extent cx="365760" cy="0"/>
                <wp:effectExtent l="5080" t="38100" r="0" b="38100"/>
                <wp:wrapNone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0.9pt,1.35pt" to="209.65pt,1.35pt" stroked="t" o:allowincell="f" style="position:absolute">
                <v:stroke color="black" weight="9360" dashstyle="shortdot" endarrow="block" endarrowwidth="medium" endarrowlength="medium" joinstyle="miter" endcap="round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2">
                <wp:simplePos x="0" y="0"/>
                <wp:positionH relativeFrom="column">
                  <wp:posOffset>3888105</wp:posOffset>
                </wp:positionH>
                <wp:positionV relativeFrom="paragraph">
                  <wp:posOffset>13335</wp:posOffset>
                </wp:positionV>
                <wp:extent cx="365760" cy="0"/>
                <wp:effectExtent l="5080" t="38100" r="0" b="38100"/>
                <wp:wrapNone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6.15pt,1.05pt" to="334.9pt,1.05pt" stroked="t" o:allowincell="f" style="position:absolute">
                <v:stroke color="black" weight="9360" dashstyle="shortdot" endarrow="block" endarrowwidth="medium" endarrowlength="medium" joinstyle="miter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-358775</wp:posOffset>
                </wp:positionH>
                <wp:positionV relativeFrom="paragraph">
                  <wp:posOffset>129540</wp:posOffset>
                </wp:positionV>
                <wp:extent cx="4123690" cy="374650"/>
                <wp:effectExtent l="0" t="0" r="0" b="0"/>
                <wp:wrapNone/>
                <wp:docPr id="54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690" cy="374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FIRMA Ddt e Consegna (con l’ordine allegato) in Amministrazione per le successive attività controllo DDT/fattura/ordine e pagamenti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24.7pt;height:29.5pt;mso-wrap-distance-left:9.05pt;mso-wrap-distance-right:9.05pt;mso-wrap-distance-top:0pt;mso-wrap-distance-bottom:0pt;margin-top:10.2pt;mso-position-vertical-relative:text;margin-left:-28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FIRMA Ddt e Consegna (con l’ordine allegato) in Amministrazione per le successive attività controllo DDT/fattura/ordine e pagamenti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-1701" w:leader="none"/>
          <w:tab w:val="left" w:pos="-1560" w:leader="none"/>
          <w:tab w:val="left" w:pos="3686" w:leader="none"/>
        </w:tabs>
        <w:ind w:firstLine="142" w:start="0" w:end="0"/>
        <w:jc w:val="both"/>
        <w:rPr>
          <w:rFonts w:ascii="Calibri" w:hAnsi="Calibri" w:cs="Calibri"/>
          <w:b/>
          <w:sz w:val="20"/>
          <w:lang w:val="en-US" w:eastAsia="en-US"/>
        </w:rPr>
      </w:pPr>
      <w:r>
        <w:rPr>
          <w:rFonts w:cs="Calibri" w:ascii="Calibri" w:hAnsi="Calibri"/>
          <w:b/>
          <w:sz w:val="20"/>
          <w:lang w:val="en-US" w:eastAsia="en-US"/>
        </w:rPr>
      </w:r>
    </w:p>
    <w:p>
      <w:pPr>
        <w:pStyle w:val="Header"/>
        <w:rPr>
          <w:rFonts w:ascii="Calibri" w:hAnsi="Calibri" w:cs="Calibri"/>
          <w:sz w:val="20"/>
        </w:rPr>
      </w:pPr>
      <w:r>
        <w:rPr>
          <w:rFonts w:cs="Calibri" w:ascii="Calibri" w:hAnsi="Calibri"/>
          <w:b/>
          <w:sz w:val="20"/>
          <w:lang w:val="en-US" w:eastAsia="en-US"/>
        </w:rPr>
        <w:t>Legenda</w:t>
      </w:r>
      <w:r>
        <w:rPr>
          <w:rFonts w:cs="Calibri" w:ascii="Calibri" w:hAnsi="Calibri"/>
          <w:sz w:val="20"/>
          <w:lang w:val="en-US" w:eastAsia="en-US"/>
        </w:rPr>
        <w:t xml:space="preserve"> </w:t>
      </w:r>
      <w:r>
        <w:rPr>
          <w:rFonts w:cs="Calibri" w:ascii="Calibri" w:hAnsi="Calibri"/>
          <w:b/>
          <w:sz w:val="20"/>
          <w:lang w:val="en-US" w:eastAsia="en-US"/>
        </w:rPr>
        <w:t>R</w:t>
      </w:r>
      <w:r>
        <w:rPr>
          <w:rFonts w:cs="Calibri" w:ascii="Calibri" w:hAnsi="Calibri"/>
          <w:sz w:val="20"/>
          <w:lang w:val="en-US" w:eastAsia="en-US"/>
        </w:rPr>
        <w:t xml:space="preserve"> = Responsabile  </w:t>
      </w:r>
      <w:r>
        <w:rPr>
          <w:rFonts w:cs="Calibri" w:ascii="Calibri" w:hAnsi="Calibri"/>
          <w:b/>
          <w:sz w:val="20"/>
          <w:lang w:val="en-US" w:eastAsia="en-US"/>
        </w:rPr>
        <w:t>A</w:t>
      </w:r>
      <w:r>
        <w:rPr>
          <w:rFonts w:cs="Calibri" w:ascii="Calibri" w:hAnsi="Calibri"/>
          <w:sz w:val="20"/>
          <w:lang w:val="en-US" w:eastAsia="en-US"/>
        </w:rPr>
        <w:t xml:space="preserve"> = Assistente</w:t>
      </w:r>
    </w:p>
    <w:p>
      <w:pPr>
        <w:pStyle w:val="Header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er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p>
      <w:pPr>
        <w:pStyle w:val="Header"/>
        <w:rPr>
          <w:rFonts w:ascii="Calibri" w:hAnsi="Calibri" w:cs="Calibri"/>
          <w:sz w:val="20"/>
          <w:szCs w:val="24"/>
        </w:rPr>
      </w:pPr>
      <w:r>
        <w:rPr>
          <w:rFonts w:cs="Calibri" w:ascii="Calibri" w:hAnsi="Calibri"/>
          <w:sz w:val="20"/>
          <w:szCs w:val="24"/>
        </w:rPr>
      </w:r>
    </w:p>
    <w:p>
      <w:pPr>
        <w:pStyle w:val="Heading3"/>
        <w:rPr/>
      </w:pPr>
      <w:bookmarkStart w:id="11" w:name="__RefHeading___Toc442089926"/>
      <w:bookmarkEnd w:id="11"/>
      <w:r>
        <w:rPr>
          <w:rFonts w:cs="Calibri" w:ascii="Calibri" w:hAnsi="Calibri"/>
          <w:i w:val="false"/>
          <w:szCs w:val="24"/>
        </w:rPr>
        <w:t>3.3</w:t>
        <w:tab/>
        <w:t>CONSERVAZIONE ED ARCHIVIAZIONE</w:t>
      </w:r>
    </w:p>
    <w:p>
      <w:pPr>
        <w:pStyle w:val="Normal"/>
        <w:widowControl/>
        <w:tabs>
          <w:tab w:val="clear" w:pos="708"/>
          <w:tab w:val="left" w:pos="1134" w:leader="none"/>
        </w:tabs>
        <w:jc w:val="both"/>
        <w:rPr/>
      </w:pPr>
      <w:r>
        <w:rPr>
          <w:rFonts w:cs="Calibri" w:ascii="Calibri" w:hAnsi="Calibri"/>
          <w:szCs w:val="24"/>
        </w:rPr>
        <w:t>Gli ordini di acquisto, se specifici a commesse cliente, devono essere archiviati, a cura di ACQ</w:t>
      </w:r>
      <w:r>
        <w:rPr>
          <w:rFonts w:cs="Calibri" w:ascii="Calibri" w:hAnsi="Calibri"/>
          <w:i/>
          <w:szCs w:val="24"/>
          <w:u w:val="single"/>
        </w:rPr>
        <w:t>,</w:t>
      </w:r>
      <w:r>
        <w:rPr>
          <w:rFonts w:cs="Calibri" w:ascii="Calibri" w:hAnsi="Calibri"/>
          <w:szCs w:val="24"/>
        </w:rPr>
        <w:t xml:space="preserve"> nelle apposite cartelle &lt;</w:t>
      </w:r>
      <w:r>
        <w:rPr>
          <w:rFonts w:cs="Calibri" w:ascii="Calibri" w:hAnsi="Calibri"/>
          <w:b/>
          <w:szCs w:val="24"/>
        </w:rPr>
        <w:t>cartella commessa cliente</w:t>
      </w:r>
      <w:r>
        <w:rPr>
          <w:rFonts w:cs="Calibri" w:ascii="Calibri" w:hAnsi="Calibri"/>
          <w:szCs w:val="24"/>
        </w:rPr>
        <w:t xml:space="preserve">&gt; per il successivo controllo con i documenti che accompagnano i prodotti acquistati. </w:t>
      </w:r>
    </w:p>
    <w:p>
      <w:pPr>
        <w:pStyle w:val="Normal"/>
        <w:widowControl/>
        <w:tabs>
          <w:tab w:val="clear" w:pos="708"/>
          <w:tab w:val="left" w:pos="1134" w:leader="none"/>
        </w:tabs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widowControl/>
        <w:tabs>
          <w:tab w:val="clear" w:pos="708"/>
          <w:tab w:val="left" w:pos="1134" w:leader="none"/>
        </w:tabs>
        <w:jc w:val="both"/>
        <w:rPr/>
      </w:pPr>
      <w:r>
        <w:rPr>
          <w:rFonts w:cs="Calibri" w:ascii="Calibri" w:hAnsi="Calibri"/>
          <w:szCs w:val="24"/>
        </w:rPr>
        <w:t>Tutta la documentazione relativa alla valutazione e selezione fornitori è conservata da ACQ presso il Proprio Ufficio a tempo indeterminato e include anche la documentazione relativa a fornitori accreditati da clienti.</w:t>
      </w:r>
    </w:p>
    <w:p>
      <w:pPr>
        <w:pStyle w:val="Heading2"/>
        <w:ind w:hanging="0" w:start="0"/>
        <w:rPr/>
      </w:pPr>
      <w:bookmarkStart w:id="12" w:name="__RefHeading___Toc442089927"/>
      <w:bookmarkEnd w:id="12"/>
      <w:r>
        <w:rPr>
          <w:rFonts w:cs="Calibri" w:ascii="Calibri" w:hAnsi="Calibri"/>
          <w:sz w:val="24"/>
          <w:szCs w:val="24"/>
        </w:rPr>
        <w:t>4.</w:t>
        <w:tab/>
        <w:tab/>
        <w:t>TERMINI, DEFINIZIONI ED ABBREVIAZIONI</w:t>
      </w:r>
    </w:p>
    <w:p>
      <w:pPr>
        <w:pStyle w:val="Normal"/>
        <w:ind w:firstLine="142" w:end="0"/>
        <w:jc w:val="both"/>
        <w:rPr/>
      </w:pPr>
      <w:r>
        <w:rPr>
          <w:rFonts w:cs="Calibri" w:ascii="Calibri" w:hAnsi="Calibri"/>
          <w:szCs w:val="24"/>
        </w:rPr>
        <w:t xml:space="preserve">Per i termini, le definizioni e le abbreviazioni utilizzate in questa procedura si fa riferimento alla norma UNI EN ISO 14001:2015 ed al Manuale Ambientale di </w:t>
      </w:r>
      <w:r>
        <w:rPr>
          <w:rFonts w:cs="Calibri" w:ascii="Calibri" w:hAnsi="Calibri"/>
          <w:b/>
          <w:szCs w:val="24"/>
        </w:rPr>
        <w:t xml:space="preserve">NOME VS. AZIENDA </w:t>
      </w:r>
      <w:r>
        <w:rPr>
          <w:rFonts w:cs="Calibri" w:ascii="Calibri" w:hAnsi="Calibri"/>
          <w:szCs w:val="24"/>
        </w:rPr>
        <w:t>.</w:t>
      </w:r>
    </w:p>
    <w:p>
      <w:pPr>
        <w:pStyle w:val="Normal"/>
        <w:ind w:firstLine="142" w:end="0"/>
        <w:jc w:val="both"/>
        <w:rPr>
          <w:rFonts w:ascii="Calibri" w:hAnsi="Calibri" w:cs="Calibri"/>
          <w:szCs w:val="24"/>
          <w:lang w:val="en-US"/>
        </w:rPr>
      </w:pPr>
      <w:r>
        <w:rPr>
          <w:rFonts w:cs="Calibri" w:ascii="Calibri" w:hAnsi="Calibri"/>
          <w:szCs w:val="24"/>
          <w:lang w:val="en-US"/>
        </w:rPr>
      </w:r>
    </w:p>
    <w:p>
      <w:pPr>
        <w:pStyle w:val="Heading2"/>
        <w:ind w:hanging="0" w:start="0"/>
        <w:rPr/>
      </w:pPr>
      <w:bookmarkStart w:id="13" w:name="__RefHeading___Toc442089928"/>
      <w:bookmarkEnd w:id="13"/>
      <w:r>
        <w:rPr>
          <w:rFonts w:cs="Calibri" w:ascii="Calibri" w:hAnsi="Calibri"/>
          <w:sz w:val="24"/>
          <w:szCs w:val="24"/>
        </w:rPr>
        <w:t>5.</w:t>
        <w:tab/>
        <w:tab/>
        <w:t>DISTRIBUZIONE</w:t>
      </w:r>
    </w:p>
    <w:p>
      <w:pPr>
        <w:pStyle w:val="Normal"/>
        <w:ind w:firstLine="142" w:end="0"/>
        <w:jc w:val="center"/>
        <w:rPr>
          <w:rFonts w:ascii="Calibri" w:hAnsi="Calibri" w:cs="Calibri"/>
          <w:szCs w:val="24"/>
          <w:lang w:val="en-US"/>
        </w:rPr>
      </w:pPr>
      <w:r>
        <w:rPr>
          <w:rFonts w:cs="Calibri" w:ascii="Calibri" w:hAnsi="Calibri"/>
          <w:szCs w:val="24"/>
          <w:lang w:val="en-US"/>
        </w:rPr>
        <w:t xml:space="preserve">DGE      ACQ      AMM       COM            </w:t>
      </w:r>
    </w:p>
    <w:p>
      <w:pPr>
        <w:pStyle w:val="Heading2"/>
        <w:ind w:hanging="0" w:start="0"/>
        <w:rPr/>
      </w:pPr>
      <w:bookmarkStart w:id="14" w:name="__RefHeading___Toc442089929"/>
      <w:bookmarkEnd w:id="14"/>
      <w:r>
        <w:rPr>
          <w:rFonts w:cs="Calibri" w:ascii="Calibri" w:hAnsi="Calibri"/>
          <w:sz w:val="24"/>
          <w:szCs w:val="24"/>
        </w:rPr>
        <w:t>6.</w:t>
        <w:tab/>
        <w:tab/>
        <w:t>DOCUMENTAZIONE DI RIFERIMENTO</w:t>
      </w:r>
    </w:p>
    <w:p>
      <w:pPr>
        <w:pStyle w:val="Normal"/>
        <w:numPr>
          <w:ilvl w:val="0"/>
          <w:numId w:val="0"/>
        </w:numPr>
        <w:ind w:firstLine="142" w:start="0" w:end="0"/>
        <w:jc w:val="both"/>
        <w:rPr/>
      </w:pPr>
      <w:r>
        <w:rPr>
          <w:rFonts w:cs="Calibri" w:ascii="Calibri" w:hAnsi="Calibri"/>
          <w:b/>
          <w:caps/>
          <w:szCs w:val="24"/>
          <w:u w:val="single"/>
        </w:rPr>
        <w:t>Mod. 8.3.1 - Questionario Informativo Fornitori;</w:t>
      </w:r>
    </w:p>
    <w:p>
      <w:pPr>
        <w:pStyle w:val="Normal"/>
        <w:numPr>
          <w:ilvl w:val="0"/>
          <w:numId w:val="0"/>
        </w:numPr>
        <w:ind w:firstLine="142" w:start="0" w:end="0"/>
        <w:jc w:val="both"/>
        <w:rPr/>
      </w:pPr>
      <w:r>
        <w:rPr>
          <w:rFonts w:cs="Calibri" w:ascii="Calibri" w:hAnsi="Calibri"/>
          <w:b/>
          <w:caps/>
          <w:szCs w:val="24"/>
          <w:u w:val="single"/>
        </w:rPr>
        <w:t>Mod. 8.3.2 - Scheda Valutazione Fornitore;</w:t>
      </w:r>
    </w:p>
    <w:p>
      <w:pPr>
        <w:pStyle w:val="Normal"/>
        <w:numPr>
          <w:ilvl w:val="0"/>
          <w:numId w:val="0"/>
        </w:numPr>
        <w:ind w:firstLine="142" w:start="0" w:end="0"/>
        <w:jc w:val="both"/>
        <w:rPr/>
      </w:pPr>
      <w:r>
        <w:rPr>
          <w:rFonts w:cs="Calibri" w:ascii="Calibri" w:hAnsi="Calibri"/>
          <w:b/>
          <w:caps/>
          <w:szCs w:val="24"/>
          <w:u w:val="single"/>
        </w:rPr>
        <w:t>Mod. 8.3.3 - Registro Fornitori;</w:t>
      </w:r>
    </w:p>
    <w:p>
      <w:pPr>
        <w:pStyle w:val="Normal"/>
        <w:ind w:start="142" w:end="0"/>
        <w:rPr>
          <w:rFonts w:ascii="Calibri" w:hAnsi="Calibri" w:cs="Calibri"/>
          <w:b/>
          <w:caps/>
          <w:szCs w:val="24"/>
          <w:u w:val="single"/>
        </w:rPr>
      </w:pPr>
      <w:r>
        <w:rPr>
          <w:rFonts w:cs="Calibri" w:ascii="Calibri" w:hAnsi="Calibri"/>
          <w:b/>
          <w:caps/>
          <w:szCs w:val="24"/>
          <w:u w:val="single"/>
        </w:rPr>
        <w:t xml:space="preserve">PR 7.5 Gestione della documentazione del sistema AMBIENTALE, dei documenti per la registrazione DELL’AMBIENTE; </w:t>
      </w:r>
    </w:p>
    <w:p>
      <w:pPr>
        <w:pStyle w:val="Normal"/>
        <w:ind w:start="142" w:end="0"/>
        <w:rPr/>
      </w:pPr>
      <w:r>
        <w:rPr>
          <w:rFonts w:cs="Calibri" w:ascii="Calibri" w:hAnsi="Calibri"/>
          <w:b/>
          <w:caps/>
          <w:szCs w:val="24"/>
          <w:u w:val="single"/>
        </w:rPr>
        <w:t xml:space="preserve">PR 7.5.2 Gestione informazioni e documenti  di commessa </w:t>
      </w:r>
    </w:p>
    <w:p>
      <w:pPr>
        <w:pStyle w:val="Normal"/>
        <w:ind w:firstLine="142" w:end="0"/>
        <w:rPr/>
      </w:pPr>
      <w:r>
        <w:rPr>
          <w:rFonts w:cs="Calibri" w:ascii="Calibri" w:hAnsi="Calibri"/>
          <w:b/>
          <w:caps/>
          <w:szCs w:val="24"/>
          <w:u w:val="single"/>
        </w:rPr>
        <w:t>PR 8.7 Gestione NC e Reclami</w:t>
      </w:r>
    </w:p>
    <w:p>
      <w:pPr>
        <w:pStyle w:val="Normal"/>
        <w:rPr>
          <w:rFonts w:ascii="Calibri" w:hAnsi="Calibri" w:cs="Calibri"/>
          <w:b/>
          <w:caps/>
          <w:szCs w:val="24"/>
          <w:u w:val="single"/>
        </w:rPr>
      </w:pPr>
      <w:r>
        <w:rPr>
          <w:rFonts w:cs="Calibri" w:ascii="Calibri" w:hAnsi="Calibri"/>
          <w:b/>
          <w:caps/>
          <w:szCs w:val="24"/>
          <w:u w:val="single"/>
        </w:rPr>
      </w:r>
    </w:p>
    <w:p>
      <w:pPr>
        <w:pStyle w:val="Heading2"/>
        <w:ind w:hanging="0" w:start="0"/>
        <w:rPr>
          <w:rFonts w:ascii="Calibri" w:hAnsi="Calibri" w:cs="Calibri"/>
          <w:color w:val="000000"/>
          <w:sz w:val="24"/>
          <w:szCs w:val="24"/>
        </w:rPr>
      </w:pPr>
      <w:bookmarkStart w:id="15" w:name="__RefHeading___Toc442089930"/>
      <w:bookmarkEnd w:id="15"/>
      <w:r>
        <w:rPr>
          <w:rFonts w:cs="Calibri" w:ascii="Calibri" w:hAnsi="Calibri"/>
          <w:sz w:val="24"/>
          <w:szCs w:val="24"/>
        </w:rPr>
        <w:t>7.                         ARCHIVIAZIONE E CONSERVAZIONE REGISTRAZIONI</w:t>
      </w:r>
    </w:p>
    <w:p>
      <w:pPr>
        <w:pStyle w:val="Normal"/>
        <w:tabs>
          <w:tab w:val="clear" w:pos="708"/>
          <w:tab w:val="left" w:pos="-1701" w:leader="none"/>
          <w:tab w:val="left" w:pos="-1560" w:leader="none"/>
          <w:tab w:val="left" w:pos="3544" w:leader="none"/>
          <w:tab w:val="left" w:pos="3686" w:leader="none"/>
        </w:tabs>
        <w:ind w:end="-1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cs="Calibri" w:ascii="Calibri" w:hAnsi="Calibri"/>
          <w:color w:val="000000"/>
          <w:sz w:val="24"/>
          <w:szCs w:val="24"/>
        </w:rPr>
      </w:r>
    </w:p>
    <w:tbl>
      <w:tblPr>
        <w:tblW w:w="9639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76"/>
        <w:gridCol w:w="567"/>
        <w:gridCol w:w="709"/>
        <w:gridCol w:w="425"/>
        <w:gridCol w:w="1134"/>
        <w:gridCol w:w="851"/>
        <w:gridCol w:w="992"/>
        <w:gridCol w:w="850"/>
        <w:gridCol w:w="993"/>
        <w:gridCol w:w="779"/>
        <w:gridCol w:w="1063"/>
      </w:tblGrid>
      <w:tr>
        <w:trPr/>
        <w:tc>
          <w:tcPr>
            <w:tcW w:w="9639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8"/>
              <w:spacing w:before="60" w:after="0"/>
              <w:ind w:hanging="0" w:start="0"/>
              <w:rPr>
                <w:rFonts w:ascii="Calibri" w:hAnsi="Calibri" w:cs="Calibri"/>
                <w:color w:val="008080"/>
                <w:sz w:val="24"/>
                <w:szCs w:val="24"/>
              </w:rPr>
            </w:pPr>
            <w:r>
              <w:rPr>
                <w:rFonts w:cs="Calibri" w:ascii="Calibri" w:hAnsi="Calibri"/>
                <w:color w:val="008080"/>
                <w:sz w:val="24"/>
                <w:szCs w:val="24"/>
              </w:rPr>
              <w:t>TABELLA DI CONTROLLO DELLE REGISTRAZIONI</w:t>
            </w:r>
          </w:p>
        </w:tc>
      </w:tr>
      <w:tr>
        <w:trPr>
          <w:cantSplit w:val="true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Descrizione</w:t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Registrazione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Origine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Id.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RQ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Resp.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</w:rPr>
              <w:t>Approvazione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Resp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/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Registra ed Archiviaz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Luogo</w:t>
            </w:r>
          </w:p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Archiviaz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</w:rPr>
              <w:t>Resp. Eliminazione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</w:rPr>
              <w:t>Tempo di archiviaz.</w:t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Protezione</w:t>
            </w:r>
          </w:p>
        </w:tc>
        <w:tc>
          <w:tcPr>
            <w:tcW w:w="106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Destinazione</w:t>
            </w:r>
          </w:p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Finale</w:t>
            </w:r>
          </w:p>
        </w:tc>
      </w:tr>
      <w:tr>
        <w:trPr>
          <w:cantSplit w:val="true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Questionario informativo fornitori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INT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Mod.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</w:rPr>
              <w:t>8.3.1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  <w:lang w:val="fr-FR"/>
              </w:rPr>
              <w:t>X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ACQ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ACQ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 xml:space="preserve">Ufficio </w:t>
            </w:r>
            <w:r>
              <w:rPr>
                <w:rFonts w:cs="Calibri" w:ascii="Calibri" w:hAnsi="Calibri"/>
                <w:szCs w:val="24"/>
              </w:rPr>
              <w:t>ACQ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</w:rPr>
              <w:t>ACQ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sempre</w:t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/</w:t>
            </w:r>
          </w:p>
        </w:tc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Supp. Attività vertice organizz - Riesame</w:t>
            </w:r>
          </w:p>
        </w:tc>
      </w:tr>
      <w:tr>
        <w:trPr>
          <w:cantSplit w:val="true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Scheda fornitore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INT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Mod.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Cs w:val="24"/>
              </w:rPr>
              <w:t>8.3.2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  <w:lang w:val="fr-FR"/>
              </w:rPr>
            </w:pPr>
            <w:r>
              <w:rPr>
                <w:rFonts w:cs="Calibri" w:ascii="Calibri" w:hAnsi="Calibri"/>
                <w:szCs w:val="24"/>
                <w:lang w:val="fr-FR"/>
              </w:rPr>
              <w:t>X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ACQ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ACQ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 xml:space="preserve">Ufficio </w:t>
            </w:r>
            <w:r>
              <w:rPr>
                <w:rFonts w:cs="Calibri" w:ascii="Calibri" w:hAnsi="Calibri"/>
                <w:szCs w:val="24"/>
              </w:rPr>
              <w:t>ACQ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</w:rPr>
              <w:t>ACQ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sempre</w:t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/</w:t>
            </w:r>
          </w:p>
        </w:tc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Supp. Attività vertice organizz - Riesame</w:t>
            </w:r>
          </w:p>
        </w:tc>
      </w:tr>
      <w:tr>
        <w:trPr>
          <w:cantSplit w:val="true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>Registro fornitori accettati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fr-FR" w:eastAsia="it-IT"/>
              </w:rPr>
            </w:pPr>
            <w:r>
              <w:rPr>
                <w:rFonts w:cs="Calibri" w:ascii="Calibri" w:hAnsi="Calibri"/>
                <w:szCs w:val="24"/>
                <w:lang w:val="fr-FR" w:eastAsia="it-IT"/>
              </w:rPr>
              <w:t>INT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Mod.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Cs w:val="24"/>
              </w:rPr>
              <w:t xml:space="preserve"> </w:t>
            </w:r>
            <w:r>
              <w:rPr>
                <w:rFonts w:cs="Calibri" w:ascii="Calibri" w:hAnsi="Calibri"/>
                <w:szCs w:val="24"/>
              </w:rPr>
              <w:t>8.3.3</w:t>
            </w:r>
          </w:p>
        </w:tc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  <w:lang w:val="fr-FR"/>
              </w:rPr>
            </w:pPr>
            <w:r>
              <w:rPr>
                <w:rFonts w:cs="Calibri" w:ascii="Calibri" w:hAnsi="Calibri"/>
                <w:szCs w:val="24"/>
                <w:lang w:val="fr-FR"/>
              </w:rPr>
              <w:t>X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ACQ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ACQ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  <w:t xml:space="preserve">Ufficio </w:t>
            </w:r>
            <w:r>
              <w:rPr>
                <w:rFonts w:cs="Calibri" w:ascii="Calibri" w:hAnsi="Calibri"/>
                <w:szCs w:val="24"/>
              </w:rPr>
              <w:t>ACQ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  <w:lang w:val="it-IT" w:eastAsia="it-IT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Calibri" w:hAnsi="Calibri" w:cs="Calibri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Cs w:val="24"/>
              </w:rPr>
              <w:t>ACQ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sempre</w:t>
            </w:r>
          </w:p>
        </w:tc>
        <w:tc>
          <w:tcPr>
            <w:tcW w:w="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/</w:t>
            </w:r>
          </w:p>
        </w:tc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Supp. Attività vertice organizz - Riesame</w:t>
            </w:r>
          </w:p>
        </w:tc>
      </w:tr>
    </w:tbl>
    <w:p>
      <w:pPr>
        <w:pStyle w:val="Normal"/>
        <w:ind w:firstLine="142" w:end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p>
      <w:pPr>
        <w:pStyle w:val="Normal"/>
        <w:ind w:firstLine="142" w:end="0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</w:r>
    </w:p>
    <w:tbl>
      <w:tblPr>
        <w:tblW w:w="9498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87"/>
        <w:gridCol w:w="7111"/>
      </w:tblGrid>
      <w:tr>
        <w:trPr>
          <w:trHeight w:val="414" w:hRule="atLeast"/>
        </w:trPr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Responsabile di Processo</w:t>
            </w:r>
          </w:p>
        </w:tc>
        <w:tc>
          <w:tcPr>
            <w:tcW w:w="71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ACQ Responsabile Acquisti</w:t>
            </w:r>
          </w:p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COM Responsabile Commerciale</w:t>
            </w:r>
          </w:p>
        </w:tc>
      </w:tr>
      <w:tr>
        <w:trPr>
          <w:trHeight w:val="414" w:hRule="atLeast"/>
        </w:trPr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Indicatore di Processo</w:t>
            </w:r>
          </w:p>
        </w:tc>
        <w:tc>
          <w:tcPr>
            <w:tcW w:w="71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Cs w:val="24"/>
              </w:rPr>
              <w:t>Incidenza % costo NC fornitura/valore fornitura 1 anno/fornitore</w:t>
            </w:r>
          </w:p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Numero forniture non Conformi/ Totale forniture</w:t>
            </w:r>
          </w:p>
          <w:p>
            <w:pPr>
              <w:pStyle w:val="Normal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Efficienza acquisti</w:t>
            </w:r>
          </w:p>
        </w:tc>
      </w:tr>
    </w:tbl>
    <w:p>
      <w:pPr>
        <w:pStyle w:val="Normal"/>
        <w:ind w:firstLine="142" w:end="0"/>
        <w:rPr>
          <w:rFonts w:ascii="Calibri" w:hAnsi="Calibri" w:cs="Calibri"/>
          <w:sz w:val="20"/>
        </w:rPr>
      </w:pPr>
      <w:r>
        <w:rPr>
          <w:rFonts w:cs="Calibri" w:ascii="Calibri" w:hAnsi="Calibri"/>
          <w:sz w:val="20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4" w:right="1134" w:gutter="0" w:header="720" w:top="1729" w:footer="34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1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8009"/>
      <w:gridCol w:w="1701"/>
    </w:tblGrid>
    <w:tr>
      <w:trPr>
        <w:trHeight w:val="293" w:hRule="atLeast"/>
      </w:trPr>
      <w:tc>
        <w:tcPr>
          <w:tcW w:w="800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8.3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70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8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8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961"/>
      <w:gridCol w:w="3403"/>
      <w:gridCol w:w="1276"/>
    </w:tblGrid>
    <w:tr>
      <w:trPr>
        <w:trHeight w:val="400" w:hRule="atLeast"/>
      </w:trPr>
      <w:tc>
        <w:tcPr>
          <w:tcW w:w="496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Cs w:val="24"/>
              <w:lang w:val="en-US" w:eastAsia="it-IT"/>
            </w:rPr>
          </w:pPr>
          <w:r>
            <w:rPr>
              <w:rFonts w:cs="Calibri" w:ascii="Calibri" w:hAnsi="Calibri"/>
              <w:szCs w:val="24"/>
              <w:lang w:val="en-US" w:eastAsia="it-IT"/>
            </w:rPr>
            <w:t xml:space="preserve">ELABORATO </w:t>
          </w:r>
          <w:r>
            <w:rPr>
              <w:rFonts w:cs="Tahoma" w:ascii="Calibri" w:hAnsi="Calibri"/>
              <w:color w:val="000000"/>
              <w:szCs w:val="24"/>
              <w:lang w:val="en-US" w:eastAsia="it-IT"/>
            </w:rPr>
            <w:t>My Advisor S.r.l.</w:t>
          </w:r>
        </w:p>
        <w:p>
          <w:pPr>
            <w:pStyle w:val="Footer"/>
            <w:tabs>
              <w:tab w:val="right" w:pos="2835" w:leader="none"/>
              <w:tab w:val="center" w:pos="4819" w:leader="none"/>
              <w:tab w:val="right" w:pos="9638" w:leader="none"/>
            </w:tabs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>DATA: 22/01/2019</w:t>
          </w:r>
        </w:p>
      </w:tc>
      <w:tc>
        <w:tcPr>
          <w:tcW w:w="4679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 xml:space="preserve">APPROVATO </w:t>
          </w:r>
        </w:p>
        <w:p>
          <w:pPr>
            <w:pStyle w:val="Footer"/>
            <w:spacing w:before="60" w:after="0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it-IT" w:eastAsia="it-IT"/>
            </w:rPr>
            <w:t>DATA: 22/01/2019</w:t>
          </w:r>
        </w:p>
      </w:tc>
    </w:tr>
    <w:tr>
      <w:trPr>
        <w:trHeight w:val="293" w:hRule="atLeast"/>
      </w:trPr>
      <w:tc>
        <w:tcPr>
          <w:tcW w:w="8364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both"/>
            <w:rPr/>
          </w:pPr>
          <w:r>
            <w:rPr>
              <w:rFonts w:cs="Calibri" w:ascii="Calibri" w:hAnsi="Calibri"/>
              <w:b/>
              <w:szCs w:val="24"/>
              <w:lang w:val="fr-FR" w:eastAsia="it-IT"/>
            </w:rPr>
            <w:t>PR 8.3</w:t>
          </w:r>
          <w:r>
            <w:rPr>
              <w:rFonts w:cs="Calibri" w:ascii="Calibri" w:hAnsi="Calibri"/>
              <w:szCs w:val="24"/>
              <w:lang w:val="fr-FR" w:eastAsia="it-IT"/>
            </w:rPr>
            <w:t xml:space="preserve">  Ed. 01 Rev. 00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center"/>
            <w:rPr>
              <w:rFonts w:ascii="Calibri" w:hAnsi="Calibri" w:cs="Calibri"/>
              <w:szCs w:val="24"/>
              <w:lang w:val="it-IT" w:eastAsia="it-IT"/>
            </w:rPr>
          </w:pPr>
          <w:r>
            <w:rPr>
              <w:rFonts w:cs="Calibri" w:ascii="Calibri" w:hAnsi="Calibri"/>
              <w:szCs w:val="24"/>
              <w:lang w:val="fr-FR" w:eastAsia="it-IT"/>
            </w:rPr>
            <w:t xml:space="preserve">Pag.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1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Cs w:val="24"/>
              <w:lang w:val="it-IT" w:eastAsia="it-IT"/>
            </w:rPr>
            <w:t xml:space="preserve"> di </w:t>
          </w:r>
          <w:r>
            <w:rPr>
              <w:rFonts w:cs="Calibri" w:ascii="Calibri" w:hAnsi="Calibri"/>
              <w:szCs w:val="24"/>
              <w:lang w:val="it-IT" w:eastAsia="it-IT"/>
            </w:rPr>
            <w:fldChar w:fldCharType="begin"/>
          </w:r>
          <w:r>
            <w:rPr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Cs w:val="24"/>
              <w:rFonts w:cs="Calibri" w:ascii="Calibri" w:hAnsi="Calibri"/>
              <w:lang w:val="it-IT" w:eastAsia="it-IT"/>
            </w:rPr>
            <w:t>8</w:t>
          </w:r>
          <w:r>
            <w:rPr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pPr>
      <w:pStyle w:val="Normal"/>
      <w:rPr>
        <w:sz w:val="10"/>
      </w:rPr>
    </w:pPr>
    <w:r>
      <w:rPr>
        <w:sz w:val="10"/>
      </w:rPr>
    </w:r>
  </w:p>
  <w:p>
    <w:pPr>
      <w:pStyle w:val="Footer"/>
      <w:rPr>
        <w:sz w:val="10"/>
      </w:rPr>
    </w:pPr>
    <w:r>
      <w:rPr>
        <w:sz w:val="1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before="0" w:after="120"/>
            <w:ind w:hanging="0" w:start="0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8.3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GESTIONE approvvigionamenti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before="0" w:after="120"/>
            <w:ind w:hanging="0" w:start="0"/>
            <w:rPr/>
          </w:pPr>
          <w:r>
            <w:rPr/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>Sistema Gestione Ambientale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8.3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GESTIONE approvvigionamenti</w:t>
          </w:r>
        </w:p>
      </w:tc>
    </w:tr>
  </w:tbl>
  <w:p>
    <w:pPr>
      <w:pStyle w:val="Normal"/>
      <w:tabs>
        <w:tab w:val="clear" w:pos="708"/>
        <w:tab w:val="center" w:pos="4819" w:leader="none"/>
        <w:tab w:val="right" w:pos="9638" w:leader="none"/>
      </w:tabs>
      <w:rPr>
        <w:sz w:val="23"/>
      </w:rPr>
    </w:pPr>
    <w:r>
      <w:rPr>
        <w:sz w:val="23"/>
      </w:rPr>
    </w:r>
  </w:p>
  <w:p>
    <w:pPr>
      <w:pStyle w:val="Header"/>
      <w:rPr>
        <w:sz w:val="23"/>
      </w:rPr>
    </w:pPr>
    <w:r>
      <w:rPr>
        <w:sz w:val="23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sz w:val="12"/>
      </w:rPr>
    </w:lvl>
  </w:abstractNum>
  <w:abstractNum w:abstractNumId="3">
    <w:lvl w:ilvl="0">
      <w:start w:val="1"/>
      <w:numFmt w:val="bullet"/>
      <w:lvlText w:val="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sz w:val="12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8"/>
        </w:tabs>
        <w:ind w:star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1418" w:leader="none"/>
      </w:tabs>
      <w:spacing w:before="480" w:after="480"/>
      <w:ind w:hanging="0" w:start="0" w:end="-142"/>
      <w:outlineLvl w:val="0"/>
    </w:pPr>
    <w:rPr>
      <w:rFonts w:ascii="Arial" w:hAnsi="Arial" w:cs="Arial"/>
      <w:b/>
      <w:i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spacing w:before="240" w:after="120"/>
      <w:jc w:val="both"/>
      <w:outlineLvl w:val="1"/>
    </w:pPr>
    <w:rPr>
      <w:rFonts w:ascii="Tahoma" w:hAnsi="Tahoma" w:cs="Tahoma"/>
      <w:b/>
      <w:smallCaps/>
      <w:sz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1418" w:leader="none"/>
      </w:tabs>
      <w:spacing w:before="360" w:after="360"/>
      <w:ind w:hanging="0" w:start="0" w:end="-142"/>
      <w:jc w:val="both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spacing w:lineRule="atLeast" w:line="240" w:before="0" w:after="120"/>
      <w:jc w:val="center"/>
      <w:outlineLvl w:val="3"/>
    </w:pPr>
    <w:rPr>
      <w:rFonts w:ascii="Calibri" w:hAnsi="Calibri" w:cs="Tahoma"/>
      <w:b/>
      <w:bCs/>
      <w:caps/>
      <w:sz w:val="3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widowControl/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pPr>
      <w:keepNext w:val="true"/>
      <w:widowControl/>
      <w:numPr>
        <w:ilvl w:val="7"/>
        <w:numId w:val="1"/>
      </w:numPr>
      <w:suppressAutoHyphens w:val="true"/>
      <w:spacing w:before="60" w:after="0"/>
      <w:jc w:val="center"/>
      <w:outlineLvl w:val="7"/>
    </w:pPr>
    <w:rPr>
      <w:rFonts w:ascii="Arial" w:hAnsi="Arial" w:cs="Arial"/>
      <w:b/>
      <w:sz w:val="18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uppressAutoHyphens w:val="true"/>
      <w:spacing w:before="60" w:after="0"/>
      <w:ind w:hanging="0" w:start="0" w:end="-70"/>
      <w:jc w:val="center"/>
      <w:outlineLvl w:val="8"/>
    </w:pPr>
    <w:rPr>
      <w:rFonts w:ascii="Arial" w:hAnsi="Arial" w:cs="Arial"/>
      <w:b/>
      <w:sz w:val="18"/>
    </w:rPr>
  </w:style>
  <w:style w:type="character" w:styleId="WW8Num1z0">
    <w:name w:val="WW8Num1z0"/>
    <w:qFormat/>
    <w:rPr>
      <w:rFonts w:ascii="Symbol" w:hAnsi="Symbol" w:cs="Symbol"/>
      <w:sz w:val="12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  <w:sz w:val="12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PidipaginaCarattere">
    <w:name w:val="Piè di pagina Carattere"/>
    <w:qFormat/>
    <w:rPr>
      <w:sz w:val="24"/>
    </w:rPr>
  </w:style>
  <w:style w:type="character" w:styleId="IntestazioneCarattere">
    <w:name w:val="Intestazione Carattere"/>
    <w:qFormat/>
    <w:rPr>
      <w:sz w:val="24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</w:rPr>
  </w:style>
  <w:style w:type="paragraph" w:styleId="BodyText">
    <w:name w:val="Body Text"/>
    <w:basedOn w:val="Normal"/>
    <w:pPr>
      <w:widowControl/>
      <w:ind w:hanging="0" w:start="0" w:end="-1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TOC1">
    <w:name w:val="TOC 1"/>
    <w:basedOn w:val="Normal"/>
    <w:next w:val="Normal"/>
    <w:pPr>
      <w:spacing w:before="120" w:after="0"/>
    </w:pPr>
    <w:rPr>
      <w:b/>
      <w:i/>
    </w:rPr>
  </w:style>
  <w:style w:type="paragraph" w:styleId="TOC2">
    <w:name w:val="TOC 2"/>
    <w:basedOn w:val="Normal"/>
    <w:next w:val="Normal"/>
    <w:pPr>
      <w:spacing w:before="120" w:after="0"/>
      <w:ind w:hanging="0" w:start="240" w:end="0"/>
    </w:pPr>
    <w:rPr>
      <w:b/>
      <w:sz w:val="22"/>
    </w:rPr>
  </w:style>
  <w:style w:type="paragraph" w:styleId="TOC3">
    <w:name w:val="TOC 3"/>
    <w:basedOn w:val="Normal"/>
    <w:next w:val="Normal"/>
    <w:pPr>
      <w:ind w:hanging="0" w:start="480" w:end="0"/>
    </w:pPr>
    <w:rPr>
      <w:sz w:val="20"/>
    </w:rPr>
  </w:style>
  <w:style w:type="paragraph" w:styleId="TOC4">
    <w:name w:val="TOC 4"/>
    <w:basedOn w:val="Normal"/>
    <w:next w:val="Normal"/>
    <w:pPr>
      <w:ind w:hanging="0" w:start="720" w:end="0"/>
    </w:pPr>
    <w:rPr>
      <w:sz w:val="20"/>
    </w:rPr>
  </w:style>
  <w:style w:type="paragraph" w:styleId="TOC5">
    <w:name w:val="TOC 5"/>
    <w:basedOn w:val="Normal"/>
    <w:next w:val="Normal"/>
    <w:pPr>
      <w:ind w:hanging="0" w:start="960" w:end="0"/>
    </w:pPr>
    <w:rPr>
      <w:sz w:val="20"/>
    </w:rPr>
  </w:style>
  <w:style w:type="paragraph" w:styleId="TOC6">
    <w:name w:val="TOC 6"/>
    <w:basedOn w:val="Normal"/>
    <w:next w:val="Normal"/>
    <w:pPr>
      <w:ind w:hanging="0" w:start="1200" w:end="0"/>
    </w:pPr>
    <w:rPr>
      <w:sz w:val="20"/>
    </w:rPr>
  </w:style>
  <w:style w:type="paragraph" w:styleId="TOC7">
    <w:name w:val="TOC 7"/>
    <w:basedOn w:val="Normal"/>
    <w:next w:val="Normal"/>
    <w:pPr>
      <w:ind w:hanging="0" w:start="1440" w:end="0"/>
    </w:pPr>
    <w:rPr>
      <w:sz w:val="20"/>
    </w:rPr>
  </w:style>
  <w:style w:type="paragraph" w:styleId="TOC8">
    <w:name w:val="TOC 8"/>
    <w:basedOn w:val="Normal"/>
    <w:next w:val="Normal"/>
    <w:pPr>
      <w:ind w:hanging="0" w:start="1680" w:end="0"/>
    </w:pPr>
    <w:rPr>
      <w:sz w:val="20"/>
    </w:rPr>
  </w:style>
  <w:style w:type="paragraph" w:styleId="TOC9">
    <w:name w:val="TOC 9"/>
    <w:basedOn w:val="Normal"/>
    <w:next w:val="Normal"/>
    <w:pPr>
      <w:ind w:hanging="0" w:start="1920" w:end="0"/>
    </w:pPr>
    <w:rPr>
      <w:sz w:val="20"/>
    </w:rPr>
  </w:style>
  <w:style w:type="paragraph" w:styleId="Index1">
    <w:name w:val="Index 1"/>
    <w:basedOn w:val="Normal"/>
    <w:next w:val="Normal"/>
    <w:pPr>
      <w:tabs>
        <w:tab w:val="clear" w:pos="708"/>
        <w:tab w:val="right" w:pos="4459" w:leader="dot"/>
      </w:tabs>
      <w:ind w:hanging="240" w:start="240" w:end="0"/>
    </w:pPr>
    <w:rPr>
      <w:sz w:val="20"/>
    </w:rPr>
  </w:style>
  <w:style w:type="paragraph" w:styleId="Index2">
    <w:name w:val="Index 2"/>
    <w:basedOn w:val="Normal"/>
    <w:next w:val="Normal"/>
    <w:pPr>
      <w:tabs>
        <w:tab w:val="clear" w:pos="708"/>
        <w:tab w:val="right" w:pos="4459" w:leader="dot"/>
      </w:tabs>
      <w:ind w:hanging="240" w:start="480" w:end="0"/>
    </w:pPr>
    <w:rPr>
      <w:sz w:val="20"/>
    </w:rPr>
  </w:style>
  <w:style w:type="paragraph" w:styleId="Index3">
    <w:name w:val="Index 3"/>
    <w:basedOn w:val="Normal"/>
    <w:next w:val="Normal"/>
    <w:pPr>
      <w:tabs>
        <w:tab w:val="clear" w:pos="708"/>
        <w:tab w:val="right" w:pos="4459" w:leader="dot"/>
      </w:tabs>
      <w:ind w:hanging="240" w:start="720" w:end="0"/>
    </w:pPr>
    <w:rPr>
      <w:sz w:val="20"/>
    </w:rPr>
  </w:style>
  <w:style w:type="paragraph" w:styleId="Indice4">
    <w:name w:val="Indice 4"/>
    <w:basedOn w:val="Normal"/>
    <w:next w:val="Normal"/>
    <w:qFormat/>
    <w:pPr>
      <w:tabs>
        <w:tab w:val="clear" w:pos="708"/>
        <w:tab w:val="right" w:pos="4459" w:leader="dot"/>
      </w:tabs>
      <w:ind w:hanging="240" w:start="960" w:end="0"/>
    </w:pPr>
    <w:rPr>
      <w:sz w:val="20"/>
    </w:rPr>
  </w:style>
  <w:style w:type="paragraph" w:styleId="Indice5">
    <w:name w:val="Indice 5"/>
    <w:basedOn w:val="Normal"/>
    <w:next w:val="Normal"/>
    <w:qFormat/>
    <w:pPr>
      <w:tabs>
        <w:tab w:val="clear" w:pos="708"/>
        <w:tab w:val="right" w:pos="4459" w:leader="dot"/>
      </w:tabs>
      <w:ind w:hanging="240" w:start="1200" w:end="0"/>
    </w:pPr>
    <w:rPr>
      <w:sz w:val="20"/>
    </w:rPr>
  </w:style>
  <w:style w:type="paragraph" w:styleId="Indice6">
    <w:name w:val="Indice 6"/>
    <w:basedOn w:val="Normal"/>
    <w:next w:val="Normal"/>
    <w:qFormat/>
    <w:pPr>
      <w:tabs>
        <w:tab w:val="clear" w:pos="708"/>
        <w:tab w:val="right" w:pos="4459" w:leader="dot"/>
      </w:tabs>
      <w:ind w:hanging="240" w:start="1440" w:end="0"/>
    </w:pPr>
    <w:rPr>
      <w:sz w:val="20"/>
    </w:rPr>
  </w:style>
  <w:style w:type="paragraph" w:styleId="Indice7">
    <w:name w:val="Indice 7"/>
    <w:basedOn w:val="Normal"/>
    <w:next w:val="Normal"/>
    <w:qFormat/>
    <w:pPr>
      <w:tabs>
        <w:tab w:val="clear" w:pos="708"/>
        <w:tab w:val="right" w:pos="4459" w:leader="dot"/>
      </w:tabs>
      <w:ind w:hanging="240" w:start="1680" w:end="0"/>
    </w:pPr>
    <w:rPr>
      <w:sz w:val="20"/>
    </w:rPr>
  </w:style>
  <w:style w:type="paragraph" w:styleId="Indice8">
    <w:name w:val="Indice 8"/>
    <w:basedOn w:val="Normal"/>
    <w:next w:val="Normal"/>
    <w:qFormat/>
    <w:pPr>
      <w:tabs>
        <w:tab w:val="clear" w:pos="708"/>
        <w:tab w:val="right" w:pos="4459" w:leader="dot"/>
      </w:tabs>
      <w:ind w:hanging="240" w:start="1920" w:end="0"/>
    </w:pPr>
    <w:rPr>
      <w:sz w:val="20"/>
    </w:rPr>
  </w:style>
  <w:style w:type="paragraph" w:styleId="Indice9">
    <w:name w:val="Indice 9"/>
    <w:basedOn w:val="Normal"/>
    <w:next w:val="Normal"/>
    <w:qFormat/>
    <w:pPr>
      <w:tabs>
        <w:tab w:val="clear" w:pos="708"/>
        <w:tab w:val="right" w:pos="4459" w:leader="dot"/>
      </w:tabs>
      <w:ind w:hanging="240" w:start="2160" w:end="0"/>
    </w:pPr>
    <w:rPr>
      <w:sz w:val="20"/>
    </w:rPr>
  </w:style>
  <w:style w:type="paragraph" w:styleId="IndexHeading">
    <w:name w:val="Index Heading"/>
    <w:basedOn w:val="Normal"/>
    <w:next w:val="Index1"/>
    <w:pPr>
      <w:spacing w:before="120" w:after="120"/>
    </w:pPr>
    <w:rPr>
      <w:b/>
      <w:i/>
      <w:sz w:val="20"/>
    </w:rPr>
  </w:style>
  <w:style w:type="paragraph" w:styleId="BodyTextIndent">
    <w:name w:val="Body Text Indent"/>
    <w:basedOn w:val="Normal"/>
    <w:pPr>
      <w:ind w:firstLine="709" w:start="0" w:end="0"/>
      <w:jc w:val="both"/>
    </w:pPr>
    <w:rPr/>
  </w:style>
  <w:style w:type="paragraph" w:styleId="Rientrocorpodeltesto2">
    <w:name w:val="Rientro corpo del testo 2"/>
    <w:basedOn w:val="Normal"/>
    <w:qFormat/>
    <w:pPr>
      <w:ind w:firstLine="709" w:start="0" w:end="0"/>
    </w:pPr>
    <w:rPr/>
  </w:style>
  <w:style w:type="paragraph" w:styleId="Rientrocorpodeltesto3">
    <w:name w:val="Rientro corpo del testo 3"/>
    <w:basedOn w:val="Normal"/>
    <w:qFormat/>
    <w:pPr>
      <w:ind w:firstLine="142" w:start="0" w:end="-142"/>
      <w:jc w:val="both"/>
    </w:pPr>
    <w:rPr>
      <w:smallCaps/>
    </w:rPr>
  </w:style>
  <w:style w:type="paragraph" w:styleId="Corpodeltesto2">
    <w:name w:val="Corpo del testo 2"/>
    <w:basedOn w:val="Normal"/>
    <w:qFormat/>
    <w:pPr>
      <w:jc w:val="center"/>
    </w:pPr>
    <w:rPr>
      <w:rFonts w:ascii="Arial" w:hAnsi="Arial" w:cs="Arial"/>
      <w:sz w:val="18"/>
    </w:rPr>
  </w:style>
  <w:style w:type="paragraph" w:styleId="Corpodeltesto3">
    <w:name w:val="Corpo del testo 3"/>
    <w:basedOn w:val="Normal"/>
    <w:qFormat/>
    <w:pPr>
      <w:jc w:val="center"/>
    </w:pPr>
    <w:rPr>
      <w:sz w:val="20"/>
    </w:rPr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