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cs="Tahoma"/>
          <w:i/>
          <w:i/>
          <w:iCs/>
        </w:rPr>
      </w:pPr>
      <w:r>
        <w:rPr>
          <w:rFonts w:cs="Tahoma" w:ascii="Calibri" w:hAnsi="Calibri"/>
          <w:i/>
          <w:iCs/>
        </w:rPr>
      </w:r>
    </w:p>
    <w:p>
      <w:pPr>
        <w:pStyle w:val="Normal"/>
        <w:jc w:val="center"/>
        <w:rPr>
          <w:rFonts w:ascii="Calibri" w:hAnsi="Calibri" w:cs="Tahoma"/>
          <w:i/>
          <w:i/>
          <w:iCs/>
        </w:rPr>
      </w:pPr>
      <w:r>
        <w:rPr>
          <w:rFonts w:cs="Tahoma" w:ascii="Calibri" w:hAnsi="Calibri"/>
          <w:i/>
          <w:iCs/>
        </w:rPr>
      </w:r>
    </w:p>
    <w:p>
      <w:pPr>
        <w:pStyle w:val="Normal"/>
        <w:jc w:val="center"/>
        <w:rPr>
          <w:rFonts w:ascii="Calibri" w:hAnsi="Calibri" w:cs="Tahoma"/>
          <w:i/>
          <w:i/>
          <w:iCs/>
        </w:rPr>
      </w:pPr>
      <w:r>
        <w:rPr>
          <w:rFonts w:cs="Tahoma" w:ascii="Calibri" w:hAnsi="Calibri"/>
          <w:i/>
          <w:iCs/>
        </w:rPr>
      </w:r>
    </w:p>
    <w:p>
      <w:pPr>
        <w:pStyle w:val="Normal"/>
        <w:jc w:val="center"/>
        <w:rPr>
          <w:rFonts w:ascii="Calibri" w:hAnsi="Calibri" w:cs="Tahoma"/>
          <w:i/>
          <w:i/>
          <w:iCs/>
        </w:rPr>
      </w:pPr>
      <w:r>
        <w:rPr>
          <w:rFonts w:cs="Tahoma" w:ascii="Calibri" w:hAnsi="Calibri"/>
          <w:i/>
          <w:iCs/>
        </w:rPr>
      </w:r>
    </w:p>
    <w:p>
      <w:pPr>
        <w:pStyle w:val="Normal"/>
        <w:jc w:val="center"/>
        <w:rPr>
          <w:rFonts w:ascii="Calibri" w:hAnsi="Calibri" w:cs="Tahoma"/>
          <w:i/>
          <w:i/>
          <w:iCs/>
        </w:rPr>
      </w:pPr>
      <w:r>
        <w:rPr>
          <w:rFonts w:cs="Tahoma" w:ascii="Calibri" w:hAnsi="Calibri"/>
          <w:i/>
          <w:iCs/>
        </w:rPr>
      </w:r>
    </w:p>
    <w:p>
      <w:pPr>
        <w:pStyle w:val="Corpodeltesto3"/>
        <w:jc w:val="center"/>
        <w:rPr>
          <w:rFonts w:ascii="Calibri" w:hAnsi="Calibri" w:cs="Calibri"/>
          <w:b/>
          <w:bCs/>
          <w:sz w:val="28"/>
        </w:rPr>
      </w:pPr>
      <w:r>
        <w:rPr>
          <w:rFonts w:cs="Calibri" w:ascii="Calibri" w:hAnsi="Calibri"/>
          <w:b/>
          <w:bCs/>
          <w:sz w:val="28"/>
        </w:rPr>
        <w:t>INDICE</w:t>
      </w:r>
    </w:p>
    <w:p>
      <w:pPr>
        <w:pStyle w:val="TOC1"/>
        <w:rPr>
          <w:rFonts w:ascii="Calibri" w:hAnsi="Calibri" w:cs="Calibri"/>
          <w:b/>
          <w:bCs/>
          <w:sz w:val="28"/>
        </w:rPr>
      </w:pPr>
      <w:r>
        <w:rPr>
          <w:rFonts w:cs="Calibri" w:ascii="Calibri" w:hAnsi="Calibri"/>
          <w:b/>
          <w:bCs/>
          <w:sz w:val="28"/>
        </w:rPr>
      </w:r>
    </w:p>
    <w:p>
      <w:pPr>
        <w:pStyle w:val="Index1"/>
        <w:rPr>
          <w:rFonts w:ascii="Calibri" w:hAnsi="Calibri" w:cs="Tahoma"/>
        </w:rPr>
      </w:pPr>
      <w:r>
        <w:rPr>
          <w:rFonts w:cs="Tahoma" w:ascii="Calibri" w:hAnsi="Calibri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cs="Calibri"/>
              <w:color w:val="000000"/>
              <w:sz w:val="28"/>
              <w:szCs w:val="28"/>
            </w:rPr>
          </w:pPr>
          <w:r>
            <w:fldChar w:fldCharType="begin"/>
          </w:r>
          <w:r>
            <w:rPr>
              <w:rStyle w:val="IndexLink"/>
              <w:sz w:val="28"/>
              <w:szCs w:val="28"/>
              <w:rFonts w:cs="Calibri" w:ascii="Calibri" w:hAnsi="Calibri"/>
            </w:rPr>
            <w:instrText xml:space="preserve"> TOC \o "1-3" \h \z </w:instrText>
          </w:r>
          <w:r>
            <w:rPr>
              <w:rStyle w:val="IndexLink"/>
              <w:sz w:val="28"/>
              <w:szCs w:val="28"/>
              <w:rFonts w:cs="Calibri" w:ascii="Calibri" w:hAnsi="Calibri"/>
            </w:rPr>
            <w:fldChar w:fldCharType="separate"/>
          </w:r>
          <w:hyperlink w:anchor="__RefHeading___Toc536546690">
            <w:r>
              <w:rPr>
                <w:rStyle w:val="IndexLink"/>
                <w:rFonts w:cs="Calibri" w:ascii="Calibri" w:hAnsi="Calibri"/>
                <w:sz w:val="28"/>
                <w:szCs w:val="28"/>
              </w:rPr>
              <w:t>DIRETTORE GENERALE PER LA QUALITA’ (DGE)</w:t>
              <w:tab/>
              <w:t>2</w:t>
            </w:r>
          </w:hyperlink>
        </w:p>
        <w:p>
          <w:pPr>
            <w:pStyle w:val="TOC1"/>
            <w:rPr>
              <w:rFonts w:ascii="Calibri" w:hAnsi="Calibri" w:cs="Calibri"/>
              <w:color w:val="000000"/>
              <w:sz w:val="28"/>
              <w:szCs w:val="28"/>
            </w:rPr>
          </w:pPr>
          <w:hyperlink w:anchor="__RefHeading___Toc536546691">
            <w:r>
              <w:rPr>
                <w:rStyle w:val="IndexLink"/>
                <w:rFonts w:cs="Calibri" w:ascii="Calibri" w:hAnsi="Calibri"/>
                <w:sz w:val="28"/>
                <w:szCs w:val="28"/>
              </w:rPr>
              <w:t>RESPONSABILE QUALITA’ (RSGQ)</w:t>
              <w:tab/>
              <w:t>4</w:t>
            </w:r>
          </w:hyperlink>
        </w:p>
        <w:p>
          <w:pPr>
            <w:pStyle w:val="TOC1"/>
            <w:rPr>
              <w:rFonts w:ascii="Calibri" w:hAnsi="Calibri" w:cs="Calibri"/>
              <w:color w:val="000000"/>
              <w:sz w:val="28"/>
              <w:szCs w:val="28"/>
            </w:rPr>
          </w:pPr>
          <w:hyperlink w:anchor="__RefHeading___Toc536546692">
            <w:r>
              <w:rPr>
                <w:rStyle w:val="IndexLink"/>
                <w:rFonts w:cs="Calibri" w:ascii="Calibri" w:hAnsi="Calibri"/>
                <w:sz w:val="28"/>
                <w:szCs w:val="28"/>
              </w:rPr>
              <w:t>RESPONSABILE DEI SERVIZI EROGATI (SER)</w:t>
              <w:tab/>
              <w:t>5</w:t>
            </w:r>
          </w:hyperlink>
        </w:p>
        <w:p>
          <w:pPr>
            <w:pStyle w:val="TOC1"/>
            <w:rPr>
              <w:rFonts w:ascii="Calibri" w:hAnsi="Calibri" w:cs="Calibri"/>
              <w:color w:val="000000"/>
              <w:sz w:val="28"/>
              <w:szCs w:val="28"/>
            </w:rPr>
          </w:pPr>
          <w:hyperlink w:anchor="__RefHeading___Toc536546693">
            <w:r>
              <w:rPr>
                <w:rStyle w:val="IndexLink"/>
                <w:rFonts w:cs="Calibri" w:ascii="Calibri" w:hAnsi="Calibri"/>
                <w:sz w:val="28"/>
                <w:szCs w:val="28"/>
              </w:rPr>
              <w:t>RESPONSABILE SERVIZIO AMMINISTRAZIONE (AMM)</w:t>
              <w:tab/>
              <w:t>6</w:t>
            </w:r>
          </w:hyperlink>
        </w:p>
        <w:p>
          <w:pPr>
            <w:pStyle w:val="TOC1"/>
            <w:rPr>
              <w:rFonts w:ascii="Calibri" w:hAnsi="Calibri" w:cs="Calibri"/>
              <w:color w:val="000000"/>
              <w:sz w:val="28"/>
              <w:szCs w:val="28"/>
            </w:rPr>
          </w:pPr>
          <w:hyperlink w:anchor="__RefHeading___Toc536546694">
            <w:r>
              <w:rPr>
                <w:rStyle w:val="IndexLink"/>
                <w:rFonts w:cs="Calibri" w:ascii="Calibri" w:hAnsi="Calibri"/>
                <w:sz w:val="28"/>
                <w:szCs w:val="28"/>
              </w:rPr>
              <w:t>RESPONSABILE SERVIZIO COMMERCIALE E MARKETING (COM)</w:t>
              <w:tab/>
              <w:t>7</w:t>
            </w:r>
          </w:hyperlink>
        </w:p>
        <w:p>
          <w:pPr>
            <w:pStyle w:val="TOC1"/>
            <w:rPr>
              <w:rFonts w:ascii="Calibri" w:hAnsi="Calibri" w:cs="Calibri"/>
              <w:color w:val="000000"/>
              <w:sz w:val="28"/>
              <w:szCs w:val="28"/>
            </w:rPr>
          </w:pPr>
          <w:hyperlink w:anchor="__RefHeading___Toc536546695">
            <w:r>
              <w:rPr>
                <w:rStyle w:val="IndexLink"/>
                <w:rFonts w:cs="Calibri" w:ascii="Calibri" w:hAnsi="Calibri"/>
                <w:sz w:val="28"/>
                <w:szCs w:val="28"/>
              </w:rPr>
              <w:t>RESPONSABILE SERVIZIO ACQUISTI (ACQ)</w:t>
              <w:tab/>
              <w:t>9</w:t>
            </w:r>
          </w:hyperlink>
          <w:r>
            <w:rPr>
              <w:rStyle w:val="IndexLink"/>
              <w:sz w:val="28"/>
              <w:szCs w:val="28"/>
              <w:rFonts w:cs="Calibri" w:ascii="Calibri" w:hAnsi="Calibri"/>
            </w:rPr>
            <w:fldChar w:fldCharType="end"/>
          </w:r>
        </w:p>
      </w:sdtContent>
    </w:sdt>
    <w:p>
      <w:pPr>
        <w:pStyle w:val="TOC1"/>
        <w:rPr>
          <w:rStyle w:val="Hyperlink"/>
          <w:rFonts w:ascii="Calibri" w:hAnsi="Calibri" w:cs="Calibri"/>
          <w:color w:val="000000"/>
          <w:u w:val="none"/>
        </w:rPr>
      </w:pPr>
      <w:r>
        <w:rPr>
          <w:rFonts w:cs="Calibri" w:ascii="Calibri" w:hAnsi="Calibri"/>
          <w:color w:val="000000"/>
          <w:sz w:val="28"/>
          <w:szCs w:val="28"/>
        </w:rPr>
      </w:r>
      <w:r>
        <w:br w:type="page"/>
      </w:r>
    </w:p>
    <w:p>
      <w:pPr>
        <w:pStyle w:val="TOC1"/>
        <w:rPr>
          <w:rStyle w:val="Hyperlink"/>
          <w:rFonts w:ascii="Calibri" w:hAnsi="Calibri" w:cs="Calibri"/>
          <w:color w:val="000000"/>
          <w:u w:val="none"/>
        </w:rPr>
      </w:pPr>
      <w:r>
        <w:rPr/>
      </w:r>
    </w:p>
    <w:p>
      <w:pPr>
        <w:pStyle w:val="Heading"/>
        <w:jc w:val="start"/>
        <w:rPr/>
      </w:pPr>
      <w:bookmarkStart w:id="0" w:name="__RefHeading___Toc536546690"/>
      <w:bookmarkEnd w:id="0"/>
      <w:r>
        <w:rPr>
          <w:rFonts w:cs="Calibri" w:ascii="Calibri" w:hAnsi="Calibri"/>
        </w:rPr>
        <w:t>DIRETTORE GENERALE PER LA QUALITA’ (DGE)</w:t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E’ per definizione responsabile della società ed esprime direttamente gli indirizzi aziendali così come sono stati determinati nella Mission e nella Politica per l’ambiente. </w:t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E’ il </w:t>
      </w:r>
      <w:r>
        <w:rPr>
          <w:rFonts w:cs="Calibri" w:ascii="Calibri" w:hAnsi="Calibri"/>
          <w:sz w:val="24"/>
          <w:szCs w:val="24"/>
          <w:u w:val="single"/>
        </w:rPr>
        <w:t>primo responsabile dell’ Ambiente</w:t>
      </w:r>
      <w:r>
        <w:rPr>
          <w:rFonts w:cs="Calibri" w:ascii="Calibri" w:hAnsi="Calibri"/>
          <w:sz w:val="24"/>
          <w:szCs w:val="24"/>
        </w:rPr>
        <w:t xml:space="preserve"> ed in particolare ha il compito di: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verificare l’idoneità dell’organizzazione aziendale e dell’adeguatezza delle risorse in ordine alla gestione per la ambiente e la formulazione della Politica per l’ambiente e degli obiettivi e dei budget aziendali;</w:t>
      </w:r>
    </w:p>
    <w:p>
      <w:pPr>
        <w:pStyle w:val="Normal"/>
        <w:numPr>
          <w:ilvl w:val="0"/>
          <w:numId w:val="7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effettuare il riesame periodico del Sistema di gestione per l’ambiente (procedura </w:t>
      </w:r>
      <w:r>
        <w:rPr>
          <w:rFonts w:cs="Calibri" w:ascii="Calibri" w:hAnsi="Calibri"/>
          <w:b/>
          <w:sz w:val="24"/>
          <w:szCs w:val="24"/>
        </w:rPr>
        <w:t>PR 9.3 Modalità di definizione delle Politiche e degli obiettivi aziendali e gestione dei riesami</w:t>
      </w:r>
      <w:r>
        <w:rPr>
          <w:rFonts w:cs="Calibri" w:ascii="Calibri" w:hAnsi="Calibri"/>
          <w:sz w:val="24"/>
          <w:szCs w:val="24"/>
        </w:rPr>
        <w:t>);</w:t>
      </w:r>
    </w:p>
    <w:p>
      <w:pPr>
        <w:pStyle w:val="Normal"/>
        <w:ind w:firstLine="142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142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E’, inoltre, responsabile della:</w:t>
      </w:r>
    </w:p>
    <w:p>
      <w:pPr>
        <w:pStyle w:val="Normal"/>
        <w:ind w:firstLine="142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3"/>
        </w:numPr>
        <w:ind w:hanging="360" w:start="426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Gestione delle risorse umane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ind w:start="426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Da DGE dipendono le scelte in termini di esigenze; ha la responsabilità della scelta del personale, della pianificazione dei bisogni in termini di addestramento e formazione e del controllo e del monitoraggio del personale operatore attraverso registrazioni apposite (vedi </w:t>
      </w:r>
      <w:r>
        <w:rPr>
          <w:rFonts w:cs="Calibri" w:ascii="Calibri" w:hAnsi="Calibri"/>
          <w:b/>
          <w:sz w:val="24"/>
          <w:szCs w:val="24"/>
        </w:rPr>
        <w:t>PR 7.1.2 Gestione delle Risorse Umane</w:t>
      </w:r>
      <w:r>
        <w:rPr>
          <w:rFonts w:cs="Calibri" w:ascii="Calibri" w:hAnsi="Calibri"/>
          <w:sz w:val="24"/>
          <w:szCs w:val="24"/>
        </w:rPr>
        <w:t>); gestisce i rapporti contrattuali con il personale aziendale e tutte le eventuali variazioni di organico nel rispetto delle indicazioni delle Leggi di riferimento cogenti.</w:t>
      </w:r>
    </w:p>
    <w:p>
      <w:pPr>
        <w:pStyle w:val="Normal"/>
        <w:ind w:start="426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Gestione e controllo del sistema ambientale aziendale</w:t>
      </w:r>
      <w:r>
        <w:rPr>
          <w:rFonts w:cs="Calibri" w:ascii="Calibri" w:hAnsi="Calibri"/>
          <w:sz w:val="24"/>
          <w:szCs w:val="24"/>
        </w:rPr>
        <w:t>:</w:t>
      </w:r>
    </w:p>
    <w:p>
      <w:pPr>
        <w:pStyle w:val="Normal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approvare i documenti del SGA;</w:t>
      </w:r>
    </w:p>
    <w:p>
      <w:pPr>
        <w:pStyle w:val="Normal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programmare le attività di verifica ispettiva interna;</w:t>
      </w:r>
    </w:p>
    <w:p>
      <w:pPr>
        <w:pStyle w:val="BodyTextIndent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promuovere, nelle dovute forme e modalità, l’esecuzione di Azioni di miglioramento, Correttive o Preventive, e verificarne in seguito l’attuazione, l’esito e l’efficacia;</w:t>
      </w:r>
    </w:p>
    <w:p>
      <w:pPr>
        <w:pStyle w:val="BodyTextIndent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 xml:space="preserve">Relazioni con l’esterno: </w:t>
      </w:r>
    </w:p>
    <w:p>
      <w:pPr>
        <w:pStyle w:val="Normal"/>
        <w:ind w:start="426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Gestisce le relazioni con l’esterno in termini di contatti con nuovi e/o potenziali clienti; si occupa dell’analisi e della ricerca di nuovi mercati, del potenziamento di quelli esistenti e dell’attività di promotion in genere allo scopo di  realizzare una maggiore visibilità di DGE  sul proprio mercato di riferimento</w:t>
      </w:r>
      <w:r>
        <w:rPr>
          <w:rFonts w:cs="Calibri" w:ascii="Calibri" w:hAnsi="Calibri"/>
          <w:smallCaps/>
          <w:sz w:val="24"/>
          <w:szCs w:val="24"/>
        </w:rPr>
        <w:t xml:space="preserve">. </w:t>
      </w:r>
      <w:r>
        <w:rPr>
          <w:rFonts w:cs="Calibri" w:ascii="Calibri" w:hAnsi="Calibri"/>
          <w:sz w:val="24"/>
          <w:szCs w:val="24"/>
        </w:rPr>
        <w:t>Gestisce altresì i rapporti con Istituzioni, enti, associazioni in tema di prestazioni ambientali.</w:t>
      </w:r>
    </w:p>
    <w:p>
      <w:pPr>
        <w:pStyle w:val="Normal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 xml:space="preserve"> </w:t>
      </w:r>
      <w:r>
        <w:rPr>
          <w:rFonts w:cs="Calibri" w:ascii="Calibri" w:hAnsi="Calibri"/>
          <w:b/>
          <w:sz w:val="24"/>
          <w:szCs w:val="24"/>
        </w:rPr>
        <w:t>Gestione commerciale:</w:t>
      </w:r>
    </w:p>
    <w:p>
      <w:pPr>
        <w:pStyle w:val="Normal"/>
        <w:ind w:start="426" w:end="0"/>
        <w:jc w:val="both"/>
        <w:rPr/>
      </w:pPr>
      <w:r>
        <w:rPr>
          <w:rFonts w:cs="Calibri" w:ascii="Calibri" w:hAnsi="Calibri"/>
          <w:sz w:val="24"/>
          <w:szCs w:val="24"/>
        </w:rPr>
        <w:t>Interviene nella predisposizione dei preventivi in termini di definizione dei prezzi; più in generale  è responsabile dei rapporti con i clienti nella gestione delle attività contrattuali; verifica e avvalla le offerte emesse dal responsabile commerciale rappresentando gli aspetti ambientali inclusi nella politica ambientale aziendale.</w:t>
      </w:r>
    </w:p>
    <w:p>
      <w:pPr>
        <w:pStyle w:val="Normal"/>
        <w:ind w:start="426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Gestione acquisti:</w:t>
      </w:r>
    </w:p>
    <w:p>
      <w:pPr>
        <w:pStyle w:val="BodyTextIndent"/>
        <w:jc w:val="both"/>
        <w:rPr/>
      </w:pPr>
      <w:r>
        <w:rPr>
          <w:rFonts w:cs="Calibri" w:ascii="Calibri" w:hAnsi="Calibri"/>
          <w:sz w:val="24"/>
          <w:szCs w:val="24"/>
        </w:rPr>
        <w:t>interviene nelle scelte aziendali in merito alle necessità di approvvigionamento, sulla base delle indicazioni provenienti dal Servizio Commerciale, e quindi in coordinamento con il Responsabile Commerciale nel rispetto della policy ambientale vigente in azienda.</w:t>
      </w:r>
    </w:p>
    <w:p>
      <w:pPr>
        <w:pStyle w:val="Normal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BodyTextIndent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BodyTextIndent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BodyTextIndent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BodyTextIndent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BodyTextIndent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"/>
        <w:jc w:val="start"/>
        <w:rPr/>
      </w:pPr>
      <w:bookmarkStart w:id="1" w:name="__RefHeading___Toc536546691"/>
      <w:bookmarkEnd w:id="1"/>
      <w:r>
        <w:rPr>
          <w:rFonts w:cs="Calibri" w:ascii="Calibri" w:hAnsi="Calibri"/>
        </w:rPr>
        <w:t xml:space="preserve">RESPONSABILE </w:t>
      </w:r>
      <w:r>
        <w:rPr>
          <w:rFonts w:cs="Calibri" w:ascii="Calibri" w:hAnsi="Calibri"/>
          <w:lang w:val="it-IT"/>
        </w:rPr>
        <w:t>AMBIENTALE</w:t>
      </w:r>
      <w:r>
        <w:rPr>
          <w:rFonts w:cs="Calibri" w:ascii="Calibri" w:hAnsi="Calibri"/>
        </w:rPr>
        <w:t xml:space="preserve"> (RSGQ)</w:t>
      </w:r>
    </w:p>
    <w:p>
      <w:pPr>
        <w:pStyle w:val="Normal"/>
        <w:ind w:firstLine="142" w:end="0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>Ha l’autorità e la responsabilità della gestione di tutti gli aspetti riferiti al sistema ambientale aziendale e contenuti nel presente Manuale Ambientale e nei documenti – procedure, istruzioni e moduli - ad esso afferenti, assicurandone la corretta e puntuale applicazione nel tempo.</w:t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b/>
          <w:sz w:val="24"/>
          <w:szCs w:val="24"/>
        </w:rPr>
        <w:t>RSGQ</w:t>
      </w:r>
      <w:r>
        <w:rPr>
          <w:rFonts w:cs="Calibri" w:ascii="Calibri" w:hAnsi="Calibri"/>
          <w:sz w:val="24"/>
          <w:szCs w:val="24"/>
        </w:rPr>
        <w:t xml:space="preserve"> ha la responsabilità </w:t>
      </w:r>
      <w:r>
        <w:rPr>
          <w:rFonts w:cs="Calibri" w:ascii="Calibri" w:hAnsi="Calibri"/>
          <w:b/>
          <w:sz w:val="24"/>
          <w:szCs w:val="24"/>
        </w:rPr>
        <w:t>in relazione agli aspetti di gestione del sistema di gestione Ambientale</w:t>
      </w:r>
      <w:r>
        <w:rPr>
          <w:rFonts w:cs="Calibri" w:ascii="Calibri" w:hAnsi="Calibri"/>
          <w:sz w:val="24"/>
          <w:szCs w:val="24"/>
        </w:rPr>
        <w:t>, ed ha  il compito di: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preparare, revisionare e distribuire in maniera controllata il Manuale Ambientale ed i documenti ad esso afferenti;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avere cura, per quanto di sua competenza, dell’archiviazione dei documenti relativi al Sistema di gestione Ambientale;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verificare, se il caso, che i documenti emessi dalle funzioni interne o provenienti da enti esterni contengano le informazioni e le prescrizioni di ambiente;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eseguire e coordinare, secondo le modalità previste, periodiche Audit Interni nelle diverse aree aziendali;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promuovere, nelle dovute forme e modalità, l’esecuzione di Azioni di miglioramento, Correttive o Preventive, e verificarne in seguito l’attuazione, l’esito e l’efficacia;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verificare, unitamente ai responsabili preposti, la validità di tutte le norme utilizzate dalle varie funzioni aziendali;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predisporre ed ordinare, nelle dovute forme, i documenti da sottoporre al DGE per il Riesame della Direzione;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gestire i rapporti con i Clienti, con i fornitori e con gli Organismi di Certificazione, per tutti gli aspetti relativi alla Garanzia Ambiente;</w:t>
      </w:r>
    </w:p>
    <w:p>
      <w:pPr>
        <w:pStyle w:val="Normal"/>
        <w:spacing w:before="120" w:after="0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Riferisce direttamente alla DGE.</w:t>
      </w:r>
    </w:p>
    <w:p>
      <w:pPr>
        <w:pStyle w:val="Heading1"/>
        <w:ind w:hanging="0" w:start="0"/>
        <w:rPr>
          <w:rFonts w:ascii="Calibri" w:hAnsi="Calibri" w:cs="Calibri"/>
          <w:b w:val="false"/>
          <w:sz w:val="24"/>
          <w:szCs w:val="24"/>
        </w:rPr>
      </w:pPr>
      <w:r>
        <w:rPr>
          <w:rFonts w:cs="Calibri" w:ascii="Calibri" w:hAnsi="Calibri"/>
          <w:b w:val="false"/>
          <w:sz w:val="24"/>
          <w:szCs w:val="24"/>
        </w:rPr>
      </w:r>
    </w:p>
    <w:p>
      <w:pPr>
        <w:pStyle w:val="Heading1"/>
        <w:ind w:hanging="0" w:start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"/>
        <w:jc w:val="start"/>
        <w:rPr/>
      </w:pPr>
      <w:bookmarkStart w:id="2" w:name="__RefHeading___Toc536546692"/>
      <w:bookmarkEnd w:id="2"/>
      <w:r>
        <w:rPr>
          <w:rFonts w:cs="Calibri" w:ascii="Calibri" w:hAnsi="Calibri"/>
        </w:rPr>
        <w:t>RESPONSABILE DEI SERVIZI EROGATI (SER)</w:t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>In ordine alle attività di gestione dei SERVIZI, il responsabile dei servizi ha il compito di: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Coordinare la riunione con la cliente;</w:t>
      </w:r>
    </w:p>
    <w:p>
      <w:pPr>
        <w:pStyle w:val="Normal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Pianificare le attività operative; </w:t>
      </w:r>
    </w:p>
    <w:p>
      <w:pPr>
        <w:pStyle w:val="Normal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Coordinare la parte relativa agli approvvigionamenti con ACQ;</w:t>
      </w:r>
    </w:p>
    <w:p>
      <w:pPr>
        <w:pStyle w:val="Normal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Verificare il buon esito delle attività di servizio erogate;</w:t>
      </w:r>
    </w:p>
    <w:p>
      <w:pPr>
        <w:pStyle w:val="Normal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Valutare le prestazioni ambientali in riferimento ai servizi erogati.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A lui si rivolgono gli altri uffici per informazioni relativi ai servizi di progettazione posti in essere. 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"/>
        <w:jc w:val="start"/>
        <w:rPr>
          <w:rFonts w:ascii="Calibri" w:hAnsi="Calibri" w:cs="Calibri"/>
          <w:lang w:val="it-IT"/>
        </w:rPr>
      </w:pPr>
      <w:r>
        <w:rPr>
          <w:rFonts w:cs="Calibri" w:ascii="Calibri" w:hAnsi="Calibri"/>
          <w:lang w:val="it-IT"/>
        </w:rPr>
      </w:r>
    </w:p>
    <w:p>
      <w:pPr>
        <w:pStyle w:val="Normal"/>
        <w:rPr>
          <w:rFonts w:ascii="Calibri" w:hAnsi="Calibri" w:cs="Calibri"/>
          <w:lang w:val="it-IT"/>
        </w:rPr>
      </w:pPr>
      <w:r>
        <w:rPr>
          <w:rFonts w:cs="Calibri" w:ascii="Calibri" w:hAnsi="Calibri"/>
          <w:lang w:val="it-IT"/>
        </w:rPr>
      </w:r>
    </w:p>
    <w:p>
      <w:pPr>
        <w:pStyle w:val="Heading"/>
        <w:jc w:val="start"/>
        <w:rPr>
          <w:rFonts w:ascii="Calibri" w:hAnsi="Calibri" w:cs="Calibri"/>
        </w:rPr>
      </w:pPr>
      <w:bookmarkStart w:id="3" w:name="__RefHeading___Toc536546693"/>
      <w:bookmarkEnd w:id="3"/>
      <w:r>
        <w:rPr>
          <w:rFonts w:cs="Calibri" w:ascii="Calibri" w:hAnsi="Calibri"/>
        </w:rPr>
        <w:t>RESPONSABILE SERVIZIO AMMINISTRAZIONE (AMM)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>La Funzione amministrazione ha il compito di amministrare le vendite (gestione vendite, fatture, compilazione scadenziari) e gli acquisti (ricevimento bolle e fatture, compilazione scadenziari).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>La Funzione amministrazione ha il compito di gestire i dati contabili, di garantirne esattezza e veridicità, e di assicurare la corretta gestione contabile ed amministrativa dell’azienda.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Propone ed attua indirizzi ed azioni per il costante miglioramento delle attività di competenza.</w:t>
      </w:r>
    </w:p>
    <w:p>
      <w:pPr>
        <w:pStyle w:val="BodyText"/>
        <w:tabs>
          <w:tab w:val="clear" w:pos="567"/>
          <w:tab w:val="clear" w:pos="1134"/>
          <w:tab w:val="clear" w:pos="1701"/>
        </w:tabs>
        <w:rPr>
          <w:rFonts w:ascii="Calibri" w:hAnsi="Calibri" w:cs="Calibri"/>
          <w:caps w:val="false"/>
          <w:smallCaps w:val="false"/>
          <w:sz w:val="24"/>
          <w:szCs w:val="24"/>
        </w:rPr>
      </w:pPr>
      <w:r>
        <w:rPr>
          <w:rFonts w:cs="Calibri" w:ascii="Calibri" w:hAnsi="Calibri"/>
          <w:caps w:val="false"/>
          <w:smallCaps w:val="false"/>
          <w:sz w:val="24"/>
          <w:szCs w:val="24"/>
        </w:rPr>
      </w:r>
    </w:p>
    <w:p>
      <w:pPr>
        <w:pStyle w:val="BodyText"/>
        <w:tabs>
          <w:tab w:val="clear" w:pos="567"/>
          <w:tab w:val="clear" w:pos="1134"/>
          <w:tab w:val="clear" w:pos="1701"/>
        </w:tabs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AMM inoltre coadiuva DGE e SER nella gestione delle attività relative all’addestramento del personale, curandone la registrazione in apposita modulistica.</w:t>
      </w:r>
    </w:p>
    <w:p>
      <w:pPr>
        <w:pStyle w:val="BodyText"/>
        <w:tabs>
          <w:tab w:val="clear" w:pos="567"/>
          <w:tab w:val="clear" w:pos="1134"/>
          <w:tab w:val="clear" w:pos="1701"/>
        </w:tabs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BodyText"/>
        <w:tabs>
          <w:tab w:val="clear" w:pos="567"/>
          <w:tab w:val="clear" w:pos="1134"/>
          <w:tab w:val="clear" w:pos="1701"/>
        </w:tabs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Collabora con DGE nella registrazione delle attività di manutenzioni sui mezzi e sulle attrezzature.</w:t>
      </w:r>
    </w:p>
    <w:p>
      <w:pPr>
        <w:pStyle w:val="Header"/>
        <w:tabs>
          <w:tab w:val="clear" w:pos="4819"/>
          <w:tab w:val="clear" w:pos="9638"/>
        </w:tabs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Periodicamente ha il compito di analizzare e sottoporre all’attenzione della Direzione i dati necessari ad effettuare analisi statistiche relativamente ai dati finanziari.</w:t>
      </w:r>
    </w:p>
    <w:p>
      <w:pPr>
        <w:pStyle w:val="Header"/>
        <w:tabs>
          <w:tab w:val="clear" w:pos="4819"/>
          <w:tab w:val="clear" w:pos="9638"/>
        </w:tabs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er"/>
        <w:tabs>
          <w:tab w:val="clear" w:pos="4819"/>
          <w:tab w:val="clear" w:pos="9638"/>
        </w:tabs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Il responsabile predispone la stima dei consumi delle risorse energetiche annue e predispone, a fine esercizio, il consuntivo al fine di verificare le prestazioni aziendali in tema di contenimento dei consumi energetici.</w:t>
      </w:r>
    </w:p>
    <w:p>
      <w:pPr>
        <w:pStyle w:val="Heading1"/>
        <w:ind w:hanging="0" w:start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  <w:br/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"/>
        <w:jc w:val="start"/>
        <w:rPr/>
      </w:pPr>
      <w:bookmarkStart w:id="4" w:name="__RefHeading___Toc536546694"/>
      <w:bookmarkEnd w:id="4"/>
      <w:r>
        <w:rPr>
          <w:rFonts w:cs="Calibri" w:ascii="Calibri" w:hAnsi="Calibri"/>
        </w:rPr>
        <w:t>RESPONSABILE SERVIZIO COMMERCIALE E MARKETING (COM)</w:t>
      </w:r>
    </w:p>
    <w:p>
      <w:pPr>
        <w:pStyle w:val="Corpodeltesto3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Corpodeltesto3"/>
        <w:rPr/>
      </w:pPr>
      <w:r>
        <w:rPr>
          <w:rFonts w:cs="Calibri" w:ascii="Calibri" w:hAnsi="Calibri"/>
          <w:sz w:val="24"/>
          <w:szCs w:val="24"/>
        </w:rPr>
        <w:t>Il responsabile commerciale si occupa della gestione documentale delle trattative commerciali con i Clienti, dall’acquisizione delle richieste Clienti all’emissione, alla conservazione e all’archiviazione della documentazione che si genera in queste fasi:</w:t>
      </w:r>
    </w:p>
    <w:p>
      <w:pPr>
        <w:pStyle w:val="Normal"/>
        <w:numPr>
          <w:ilvl w:val="0"/>
          <w:numId w:val="5"/>
        </w:numPr>
        <w:spacing w:before="120" w:after="0"/>
        <w:ind w:hanging="0" w:start="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raccoglie le richieste dei Clienti;</w:t>
      </w:r>
    </w:p>
    <w:p>
      <w:pPr>
        <w:pStyle w:val="Normal"/>
        <w:numPr>
          <w:ilvl w:val="0"/>
          <w:numId w:val="5"/>
        </w:numPr>
        <w:spacing w:before="120" w:after="0"/>
        <w:ind w:hanging="0" w:start="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in collaborazione con DGE e ACQ effettua le indagini fornitori per la predisposizione dei preventivi cliente / listini prezzi;</w:t>
      </w:r>
    </w:p>
    <w:p>
      <w:pPr>
        <w:pStyle w:val="Normal"/>
        <w:numPr>
          <w:ilvl w:val="0"/>
          <w:numId w:val="5"/>
        </w:numPr>
        <w:spacing w:before="120" w:after="0"/>
        <w:ind w:hanging="0" w:start="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predispone il documento di offerta/preventivo e ne tiene registrazione;</w:t>
      </w:r>
    </w:p>
    <w:p>
      <w:pPr>
        <w:pStyle w:val="Rientrocorpodeltesto3"/>
        <w:numPr>
          <w:ilvl w:val="0"/>
          <w:numId w:val="6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conserva tutta la documentazione che si genera nella predisposizione delle offerte/preventivi e più in generale di natura contrattuale in appositi raccoglitori;</w:t>
      </w:r>
    </w:p>
    <w:p>
      <w:pPr>
        <w:pStyle w:val="Rientrocorpodeltesto3"/>
        <w:numPr>
          <w:ilvl w:val="0"/>
          <w:numId w:val="8"/>
        </w:numPr>
        <w:tabs>
          <w:tab w:val="clear" w:pos="708"/>
          <w:tab w:val="left" w:pos="426" w:leader="none"/>
        </w:tabs>
        <w:ind w:hanging="927" w:start="927" w:end="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gestisce eventuali problemi e le modifiche contrattuali VARIANTI, coordinando in questo senso il DGE;</w:t>
      </w:r>
    </w:p>
    <w:p>
      <w:pPr>
        <w:pStyle w:val="Rientrocorpodeltesto3"/>
        <w:numPr>
          <w:ilvl w:val="0"/>
          <w:numId w:val="8"/>
        </w:numPr>
        <w:tabs>
          <w:tab w:val="clear" w:pos="708"/>
          <w:tab w:val="left" w:pos="426" w:leader="none"/>
        </w:tabs>
        <w:ind w:hanging="284" w:start="284" w:end="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 xml:space="preserve">ha il compito di registrare eventuali Non conformità rilevate sul </w:t>
      </w:r>
      <w:r>
        <w:rPr>
          <w:rFonts w:cs="Calibri" w:ascii="Calibri" w:hAnsi="Calibri"/>
          <w:b/>
          <w:szCs w:val="24"/>
        </w:rPr>
        <w:t>Mod. Rapporto di Non Conformità</w:t>
      </w:r>
      <w:r>
        <w:rPr>
          <w:rFonts w:cs="Calibri" w:ascii="Calibri" w:hAnsi="Calibri"/>
          <w:szCs w:val="24"/>
        </w:rPr>
        <w:t xml:space="preserve"> e successivamente di consegnarlo a RQ.</w:t>
      </w:r>
    </w:p>
    <w:p>
      <w:pPr>
        <w:pStyle w:val="Heading1"/>
        <w:ind w:hanging="0" w:start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Il responsabile del Marketing ha le seguenti responsabilità:</w:t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 xml:space="preserve">- Collaborare allo sviluppo aziendale attraverso incisive iniziative di promozione dei prodotti e dell’immagine della Azienda tenendo in conto degli aspetti aziendali che l’azienda ha incluso nella propria politica ambientale;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- Operare nel rispetto delle direttive ricevute, dei piani approvati, delle politiche e procedure aziendali;</w:t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>- Assicurare la regolarità, la ambiente e la tempistica delle azioni necessarie per lo sviluppo del mercato;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- Gestire le attività del settore di cui ha la responsabilità, i rapporti con gli enti esterni e  con gli altri settori aziendali e di gruppo;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- Assicurare l’attuazione delle direttive e dei piani concordati nei termini previsti, mediante la gestione efficiente ed efficace delle risorse umane e tecniche di cui ha la responsabilità.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Il responsabile marketing deve: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- conoscere gli obiettivi e le politiche aziendali in tema di ambiente;</w:t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 xml:space="preserve">- redigere il piano annuale di marketing, proponendo obiettivi di volume, quota e margine, interventi sulle componenti del marketing mix, azioni nelle aree della promozione, dell’adversiting, della distribuzione e delle vendite;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- attuare l’esecuzione dei piani approvati e programmare, attivare e controllare l’andamento delle operazioni </w:t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 xml:space="preserve">- realizzare attività di promozione e pubblicità tenendo in conto delle relative politiche ambientali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- proporre fornitori e interlocutori validi per la realizzazione dei piani e gestirne le attività, i costi e i risultati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- curare e mantenere i rapporti con enti esterni pertinenti alla responsabilità assegnata e con gli interlocutori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- controllare l’aderenza dei risultati agli obiettivi prefissati e proporre correzioni per modificare scostamenti e trend negativi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- controllare e valutare i trend di mercato e le attività della concorrenza e proporre azioni aziendali appropriate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- coordinare le attività dell’area marketing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- collaborare  a mantenere e migliorare la motivazione e la professionalità dei collaboratori, assegnando compiti, promuovendone la competenza professionale, dando appropriato sostegno nelle difficoltà e nella valutazione dei risultati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- relazionare periodicamente il diretto superiore sul settore si responsabilità, concordando e applicando miglioramenti e rettifiche alle linee di condotta.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"/>
        <w:jc w:val="start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"/>
        <w:jc w:val="start"/>
        <w:rPr>
          <w:rFonts w:ascii="Calibri" w:hAnsi="Calibri" w:cs="Calibri"/>
        </w:rPr>
      </w:pPr>
      <w:bookmarkStart w:id="5" w:name="__RefHeading___Toc536546695"/>
      <w:bookmarkEnd w:id="5"/>
      <w:r>
        <w:rPr>
          <w:rFonts w:cs="Calibri" w:ascii="Calibri" w:hAnsi="Calibri"/>
        </w:rPr>
        <w:t>RESPONSABILE SERVIZIO ACQUISTI (ACQ)</w:t>
      </w:r>
    </w:p>
    <w:p>
      <w:pPr>
        <w:pStyle w:val="BodyText"/>
        <w:tabs>
          <w:tab w:val="clear" w:pos="567"/>
          <w:tab w:val="clear" w:pos="1134"/>
          <w:tab w:val="clear" w:pos="1701"/>
          <w:tab w:val="left" w:pos="851" w:leader="none"/>
        </w:tabs>
        <w:rPr>
          <w:rFonts w:ascii="Calibri" w:hAnsi="Calibri" w:cs="Calibri"/>
          <w:caps w:val="false"/>
          <w:smallCaps w:val="false"/>
          <w:sz w:val="20"/>
        </w:rPr>
      </w:pPr>
      <w:r>
        <w:rPr>
          <w:rFonts w:cs="Calibri" w:ascii="Calibri" w:hAnsi="Calibri"/>
          <w:caps w:val="false"/>
          <w:smallCaps w:val="false"/>
          <w:sz w:val="20"/>
        </w:rPr>
      </w:r>
    </w:p>
    <w:p>
      <w:pPr>
        <w:pStyle w:val="BodyText"/>
        <w:tabs>
          <w:tab w:val="clear" w:pos="567"/>
          <w:tab w:val="clear" w:pos="1134"/>
          <w:tab w:val="clear" w:pos="1701"/>
          <w:tab w:val="left" w:pos="851" w:leader="none"/>
        </w:tabs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Il Responsabile Acquisti ha la responsabilità di: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valutare, selezionare e monitorare nel tempo i fornitori di materiali, attrezzature e di servizi professionali aventi diretta influenza sulla ambiente dei servizi forniti;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richiedere preventivi, predisporre, verificare, firmare ed emettere, nel rispetto delle normative di riferimento vigenti e della </w:t>
      </w:r>
      <w:r>
        <w:rPr>
          <w:rFonts w:cs="Calibri" w:ascii="Calibri" w:hAnsi="Calibri"/>
          <w:b/>
          <w:sz w:val="24"/>
          <w:szCs w:val="24"/>
        </w:rPr>
        <w:t>PR 8.4 – Gestione degli Approvvigionamenti-</w:t>
      </w:r>
      <w:r>
        <w:rPr>
          <w:rFonts w:cs="Calibri" w:ascii="Calibri" w:hAnsi="Calibri"/>
          <w:sz w:val="24"/>
          <w:szCs w:val="24"/>
        </w:rPr>
        <w:t>, gli ordini di approvvigionamento e gli eventuali contratti con i fornitori;</w:t>
      </w:r>
    </w:p>
    <w:p>
      <w:pPr>
        <w:pStyle w:val="Normal"/>
        <w:numPr>
          <w:ilvl w:val="0"/>
          <w:numId w:val="9"/>
        </w:numPr>
        <w:spacing w:before="12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registrare eventuali Non conformità rilevate sul </w:t>
      </w:r>
      <w:r>
        <w:rPr>
          <w:rFonts w:cs="Calibri" w:ascii="Calibri" w:hAnsi="Calibri"/>
          <w:b/>
          <w:sz w:val="24"/>
          <w:szCs w:val="24"/>
        </w:rPr>
        <w:t>Mod. Rapporto di Non Conformità</w:t>
      </w:r>
      <w:r>
        <w:rPr>
          <w:rFonts w:cs="Calibri" w:ascii="Calibri" w:hAnsi="Calibri"/>
          <w:sz w:val="24"/>
          <w:szCs w:val="24"/>
        </w:rPr>
        <w:t xml:space="preserve"> e successivamente di consegnarlo a RSGQ;</w:t>
      </w:r>
    </w:p>
    <w:p>
      <w:pPr>
        <w:pStyle w:val="Normal"/>
        <w:spacing w:before="120" w:after="0"/>
        <w:jc w:val="both"/>
        <w:rPr/>
      </w:pPr>
      <w:r>
        <w:rPr>
          <w:rFonts w:cs="Calibri" w:ascii="Calibri" w:hAnsi="Calibri"/>
          <w:sz w:val="24"/>
          <w:szCs w:val="24"/>
        </w:rPr>
        <w:t>Il Responsabile Acquisti collabora con il servizio commerciale per la predisposizione dei preventivi Clienti / listini prezzi.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20" w:top="1418" w:footer="720" w:bottom="13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ahoma" w:hAnsi="Tahoma" w:cs="Tahoma"/>
      </w:rPr>
    </w:pPr>
    <w:r>
      <w:rPr>
        <w:rFonts w:cs="Tahoma" w:ascii="Tahoma" w:hAnsi="Tahoma"/>
      </w:rPr>
    </w:r>
  </w:p>
  <w:tbl>
    <w:tblPr>
      <w:tblW w:w="9781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535"/>
      <w:gridCol w:w="5246"/>
    </w:tblGrid>
    <w:tr>
      <w:trPr>
        <w:trHeight w:val="426" w:hRule="atLeast"/>
      </w:trPr>
      <w:tc>
        <w:tcPr>
          <w:tcW w:w="453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Arial" w:hAnsi="Arial" w:cs="Arial"/>
            </w:rPr>
          </w:pPr>
          <w:r>
            <w:rPr>
              <w:rFonts w:cs="Arial" w:ascii="Arial" w:hAnsi="Arial"/>
            </w:rPr>
            <w:t xml:space="preserve">ELABORATO </w:t>
          </w:r>
          <w:r>
            <w:rPr>
              <w:rFonts w:cs="Tahoma" w:ascii="Tahoma" w:hAnsi="Tahoma"/>
              <w:color w:val="000000"/>
            </w:rPr>
            <w:t>My Advisor S.r.l.</w:t>
          </w:r>
        </w:p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DATA: 22/01/2019</w:t>
          </w:r>
        </w:p>
      </w:tc>
      <w:tc>
        <w:tcPr>
          <w:tcW w:w="524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spacing w:before="60" w:after="0"/>
            <w:rPr>
              <w:rFonts w:ascii="Arial" w:hAnsi="Arial" w:cs="Arial"/>
            </w:rPr>
          </w:pPr>
          <w:r>
            <w:rPr>
              <w:rFonts w:cs="Arial" w:ascii="Arial" w:hAnsi="Arial"/>
            </w:rPr>
            <w:t xml:space="preserve">APPROVATO </w:t>
          </w:r>
          <w:r>
            <w:rPr>
              <w:rFonts w:cs="Tahoma" w:ascii="Tahoma" w:hAnsi="Tahoma"/>
              <w:color w:val="000000"/>
            </w:rPr>
            <w:t>NOME VS. AZIENDA</w:t>
          </w:r>
        </w:p>
        <w:p>
          <w:pPr>
            <w:pStyle w:val="Footer"/>
            <w:spacing w:before="60" w:after="0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DATA: 22/01/2019</w:t>
          </w:r>
        </w:p>
      </w:tc>
    </w:tr>
  </w:tbl>
  <w:p>
    <w:pPr>
      <w:pStyle w:val="Footer"/>
      <w:rPr>
        <w:rFonts w:ascii="Tahoma" w:hAnsi="Tahoma" w:cs="Tahoma"/>
      </w:rPr>
    </w:pPr>
    <w:r>
      <w:rPr>
        <w:rFonts w:cs="Tahoma" w:ascii="Tahoma" w:hAnsi="Tahoma"/>
      </w:rPr>
    </w:r>
  </w:p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642"/>
      <w:gridCol w:w="5079"/>
      <w:gridCol w:w="1917"/>
    </w:tblGrid>
    <w:tr>
      <w:trPr>
        <w:trHeight w:val="1788" w:hRule="atLeast"/>
        <w:cantSplit w:val="true"/>
      </w:trPr>
      <w:tc>
        <w:tcPr>
          <w:tcW w:w="26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4"/>
            <w:snapToGrid w:val="false"/>
            <w:spacing w:before="240" w:after="60"/>
            <w:ind w:hanging="0" w:start="0"/>
            <w:jc w:val="center"/>
            <w:rPr/>
          </w:pPr>
          <w:r>
            <w:rPr/>
          </w:r>
        </w:p>
      </w:tc>
      <w:tc>
        <w:tcPr>
          <w:tcW w:w="507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D9D9D9" w:val="clear"/>
        </w:tcPr>
        <w:p>
          <w:pPr>
            <w:pStyle w:val="Header"/>
            <w:snapToGrid w:val="false"/>
            <w:jc w:val="center"/>
            <w:rPr>
              <w:rFonts w:ascii="Calibri" w:hAnsi="Calibri" w:cs="Calibri"/>
              <w:sz w:val="28"/>
              <w:szCs w:val="28"/>
            </w:rPr>
          </w:pPr>
          <w:r>
            <w:rPr>
              <w:rFonts w:cs="Calibri" w:ascii="Calibri" w:hAnsi="Calibri"/>
              <w:sz w:val="28"/>
              <w:szCs w:val="28"/>
            </w:rPr>
          </w:r>
        </w:p>
        <w:p>
          <w:pPr>
            <w:pStyle w:val="Header"/>
            <w:shd w:fill="D9D9D9" w:val="clea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="Calibri" w:ascii="Calibri" w:hAnsi="Calibri"/>
              <w:b/>
              <w:sz w:val="28"/>
              <w:szCs w:val="28"/>
            </w:rPr>
          </w:r>
        </w:p>
        <w:p>
          <w:pPr>
            <w:pStyle w:val="Header"/>
            <w:shd w:fill="D9D9D9" w:val="clea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="Calibri" w:ascii="Calibri" w:hAnsi="Calibri"/>
              <w:b/>
              <w:sz w:val="28"/>
              <w:szCs w:val="28"/>
            </w:rPr>
            <w:t>Mansionario Aziendale</w:t>
          </w:r>
        </w:p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="Calibri" w:ascii="Calibri" w:hAnsi="Calibri"/>
              <w:b/>
              <w:sz w:val="28"/>
              <w:szCs w:val="28"/>
            </w:rPr>
          </w:r>
        </w:p>
      </w:tc>
      <w:tc>
        <w:tcPr>
          <w:tcW w:w="191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napToGrid w:val="false"/>
            <w:jc w:val="center"/>
            <w:rPr>
              <w:rFonts w:ascii="Calibri" w:hAnsi="Calibri" w:cs="Calibri"/>
              <w:sz w:val="28"/>
              <w:szCs w:val="28"/>
            </w:rPr>
          </w:pPr>
          <w:r>
            <w:rPr>
              <w:rFonts w:cs="Calibri" w:ascii="Calibri" w:hAnsi="Calibri"/>
              <w:sz w:val="28"/>
              <w:szCs w:val="28"/>
            </w:rPr>
          </w:r>
        </w:p>
        <w:p>
          <w:pPr>
            <w:pStyle w:val="Normal"/>
            <w:jc w:val="center"/>
            <w:rPr>
              <w:rFonts w:ascii="Arial Narrow" w:hAnsi="Arial Narrow" w:cs="Arial"/>
              <w:b/>
              <w:sz w:val="22"/>
            </w:rPr>
          </w:pPr>
          <w:r>
            <w:rPr>
              <w:rFonts w:cs="Arial" w:ascii="Arial Narrow" w:hAnsi="Arial Narrow"/>
              <w:b/>
              <w:sz w:val="22"/>
            </w:rPr>
            <w:t>Manuale SGA</w:t>
          </w:r>
        </w:p>
        <w:p>
          <w:pPr>
            <w:pStyle w:val="Header"/>
            <w:rPr>
              <w:rFonts w:ascii="Arial Narrow" w:hAnsi="Arial Narrow" w:cs="Arial"/>
              <w:b/>
              <w:sz w:val="22"/>
            </w:rPr>
          </w:pPr>
          <w:r>
            <w:rPr>
              <w:rFonts w:cs="Arial" w:ascii="Arial Narrow" w:hAnsi="Arial Narrow"/>
              <w:b/>
              <w:sz w:val="22"/>
            </w:rPr>
          </w:r>
        </w:p>
        <w:p>
          <w:pPr>
            <w:pStyle w:val="Header"/>
            <w:jc w:val="center"/>
            <w:rPr/>
          </w:pPr>
          <w:r>
            <w:rPr>
              <w:rFonts w:cs="Arial" w:ascii="Arial Narrow" w:hAnsi="Arial Narrow"/>
              <w:b/>
              <w:sz w:val="22"/>
            </w:rPr>
            <w:t>Ed. 01 Rev. 00</w:t>
          </w:r>
          <w:r>
            <w:rPr>
              <w:rFonts w:cs="Arial" w:ascii="Arial Narrow" w:hAnsi="Arial Narrow"/>
              <w:sz w:val="22"/>
            </w:rPr>
            <w:t xml:space="preserve"> </w:t>
          </w:r>
        </w:p>
        <w:p>
          <w:pPr>
            <w:pStyle w:val="Header"/>
            <w:jc w:val="center"/>
            <w:rPr>
              <w:rFonts w:ascii="Calibri" w:hAnsi="Calibri" w:cs="Calibri"/>
              <w:sz w:val="28"/>
              <w:szCs w:val="28"/>
            </w:rPr>
          </w:pPr>
          <w:r>
            <w:rPr>
              <w:rFonts w:cs="Arial" w:ascii="Arial Narrow" w:hAnsi="Arial Narrow"/>
              <w:sz w:val="22"/>
            </w:rPr>
            <w:t>del 22.01.2019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-"/>
      <w:lvlJc w:val="start"/>
      <w:pPr>
        <w:tabs>
          <w:tab w:val="num" w:pos="0"/>
        </w:tabs>
        <w:ind w:start="786" w:hanging="360"/>
      </w:pPr>
      <w:rPr>
        <w:rFonts w:ascii="Tahoma" w:hAnsi="Tahoma" w:cs="Tahoma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Tahoma" w:hAnsi="Tahoma" w:cs="Tahoma"/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ind w:hanging="0" w:start="567" w:end="0"/>
      <w:jc w:val="both"/>
      <w:outlineLvl w:val="1"/>
    </w:pPr>
    <w:rPr>
      <w:rFonts w:ascii="Tahoma" w:hAnsi="Tahoma" w:cs="Tahoma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Tahoma" w:hAnsi="Tahoma" w:cs="Tahoma"/>
      <w:b/>
      <w:bCs/>
      <w:i/>
      <w:iCs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Tahoma" w:hAnsi="Tahoma" w:eastAsia="Times New Roman" w:cs="Tahoma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Hyperlink">
    <w:name w:val="Hyperlink"/>
    <w:rPr>
      <w:color w:val="0000FF"/>
      <w:u w:val="single"/>
    </w:rPr>
  </w:style>
  <w:style w:type="character" w:styleId="TestofumettoCarattere">
    <w:name w:val="Testo fumetto Carattere"/>
    <w:qFormat/>
    <w:rPr>
      <w:rFonts w:ascii="Tahoma" w:hAnsi="Tahoma" w:cs="Tahoma"/>
      <w:sz w:val="16"/>
      <w:szCs w:val="16"/>
    </w:rPr>
  </w:style>
  <w:style w:type="character" w:styleId="TitoloCarattere">
    <w:name w:val="Titolo Carattere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PidipaginaCarattere">
    <w:name w:val="Piè di pagina Carattere"/>
    <w:qFormat/>
    <w:rPr/>
  </w:style>
  <w:style w:type="character" w:styleId="Titolo4Carattere">
    <w:name w:val="Titolo 4 Carattere"/>
    <w:basedOn w:val="Carpredefinitoparagrafo"/>
    <w:qFormat/>
    <w:rPr>
      <w:rFonts w:ascii="Calibri" w:hAnsi="Calibri" w:cs="Calibri"/>
      <w:b/>
      <w:bCs/>
      <w:sz w:val="28"/>
      <w:szCs w:val="28"/>
    </w:rPr>
  </w:style>
  <w:style w:type="character" w:styleId="IntestazioneCarattere">
    <w:name w:val="Intestazione Carattere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BodyText">
    <w:name w:val="Body Text"/>
    <w:basedOn w:val="Normal"/>
    <w:pPr>
      <w:tabs>
        <w:tab w:val="clear" w:pos="708"/>
        <w:tab w:val="left" w:pos="567" w:leader="none"/>
        <w:tab w:val="left" w:pos="1134" w:leader="none"/>
        <w:tab w:val="left" w:pos="1701" w:leader="none"/>
      </w:tabs>
      <w:jc w:val="both"/>
    </w:pPr>
    <w:rPr>
      <w:smallCaps/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BodyTextIndent">
    <w:name w:val="Body Text Indent"/>
    <w:basedOn w:val="Normal"/>
    <w:pPr>
      <w:ind w:hanging="0" w:start="426" w:end="0"/>
    </w:pPr>
    <w:rPr>
      <w:rFonts w:ascii="Tahoma" w:hAnsi="Tahoma" w:cs="Tahoma"/>
    </w:rPr>
  </w:style>
  <w:style w:type="paragraph" w:styleId="Corpodeltesto2">
    <w:name w:val="Corpo del testo 2"/>
    <w:basedOn w:val="Normal"/>
    <w:qFormat/>
    <w:pPr/>
    <w:rPr>
      <w:smallCaps/>
      <w:sz w:val="24"/>
    </w:rPr>
  </w:style>
  <w:style w:type="paragraph" w:styleId="TOC2">
    <w:name w:val="TOC 2"/>
    <w:basedOn w:val="Normal"/>
    <w:next w:val="Normal"/>
    <w:pPr>
      <w:spacing w:before="120" w:after="0"/>
      <w:ind w:hanging="0" w:start="200" w:end="0"/>
    </w:pPr>
    <w:rPr>
      <w:b/>
      <w:sz w:val="22"/>
    </w:rPr>
  </w:style>
  <w:style w:type="paragraph" w:styleId="Corpodeltesto3">
    <w:name w:val="Corpo del testo 3"/>
    <w:basedOn w:val="Normal"/>
    <w:qFormat/>
    <w:pPr>
      <w:jc w:val="both"/>
    </w:pPr>
    <w:rPr>
      <w:rFonts w:ascii="Tahoma" w:hAnsi="Tahoma" w:cs="Tahoma"/>
    </w:rPr>
  </w:style>
  <w:style w:type="paragraph" w:styleId="Rientrocorpodeltesto2">
    <w:name w:val="Rientro corpo del testo 2"/>
    <w:basedOn w:val="Normal"/>
    <w:qFormat/>
    <w:pPr>
      <w:spacing w:before="120" w:after="0"/>
      <w:ind w:hanging="0" w:start="567" w:end="0"/>
      <w:jc w:val="both"/>
    </w:pPr>
    <w:rPr>
      <w:rFonts w:ascii="Tahoma" w:hAnsi="Tahoma" w:cs="Tahoma"/>
    </w:rPr>
  </w:style>
  <w:style w:type="paragraph" w:styleId="Rientrocorpodeltesto3">
    <w:name w:val="Rientro corpo del testo 3"/>
    <w:basedOn w:val="Normal"/>
    <w:qFormat/>
    <w:pPr>
      <w:ind w:hanging="0" w:start="567" w:end="0"/>
    </w:pPr>
    <w:rPr>
      <w:rFonts w:ascii="Tahoma" w:hAnsi="Tahoma" w:cs="Tahoma"/>
      <w:sz w:val="24"/>
    </w:rPr>
  </w:style>
  <w:style w:type="paragraph" w:styleId="Index1">
    <w:name w:val="Index 1"/>
    <w:basedOn w:val="Normal"/>
    <w:next w:val="Normal"/>
    <w:pPr>
      <w:ind w:hanging="200" w:start="200" w:end="0"/>
    </w:pPr>
    <w:rPr/>
  </w:style>
  <w:style w:type="paragraph" w:styleId="Index2">
    <w:name w:val="Index 2"/>
    <w:basedOn w:val="Normal"/>
    <w:next w:val="Normal"/>
    <w:pPr>
      <w:ind w:hanging="200" w:start="400" w:end="0"/>
    </w:pPr>
    <w:rPr/>
  </w:style>
  <w:style w:type="paragraph" w:styleId="Index3">
    <w:name w:val="Index 3"/>
    <w:basedOn w:val="Normal"/>
    <w:next w:val="Normal"/>
    <w:pPr>
      <w:ind w:hanging="200" w:start="600" w:end="0"/>
    </w:pPr>
    <w:rPr/>
  </w:style>
  <w:style w:type="paragraph" w:styleId="Indice4">
    <w:name w:val="Indice 4"/>
    <w:basedOn w:val="Normal"/>
    <w:next w:val="Normal"/>
    <w:qFormat/>
    <w:pPr>
      <w:ind w:hanging="200" w:start="800" w:end="0"/>
    </w:pPr>
    <w:rPr/>
  </w:style>
  <w:style w:type="paragraph" w:styleId="Indice5">
    <w:name w:val="Indice 5"/>
    <w:basedOn w:val="Normal"/>
    <w:next w:val="Normal"/>
    <w:qFormat/>
    <w:pPr>
      <w:ind w:hanging="200" w:start="1000" w:end="0"/>
    </w:pPr>
    <w:rPr/>
  </w:style>
  <w:style w:type="paragraph" w:styleId="Indice6">
    <w:name w:val="Indice 6"/>
    <w:basedOn w:val="Normal"/>
    <w:next w:val="Normal"/>
    <w:qFormat/>
    <w:pPr>
      <w:ind w:hanging="200" w:start="1200" w:end="0"/>
    </w:pPr>
    <w:rPr/>
  </w:style>
  <w:style w:type="paragraph" w:styleId="Indice7">
    <w:name w:val="Indice 7"/>
    <w:basedOn w:val="Normal"/>
    <w:next w:val="Normal"/>
    <w:qFormat/>
    <w:pPr>
      <w:ind w:hanging="200" w:start="1400" w:end="0"/>
    </w:pPr>
    <w:rPr/>
  </w:style>
  <w:style w:type="paragraph" w:styleId="Indice8">
    <w:name w:val="Indice 8"/>
    <w:basedOn w:val="Normal"/>
    <w:next w:val="Normal"/>
    <w:qFormat/>
    <w:pPr>
      <w:ind w:hanging="200" w:start="1600" w:end="0"/>
    </w:pPr>
    <w:rPr/>
  </w:style>
  <w:style w:type="paragraph" w:styleId="Indice9">
    <w:name w:val="Indice 9"/>
    <w:basedOn w:val="Normal"/>
    <w:next w:val="Normal"/>
    <w:qFormat/>
    <w:pPr>
      <w:ind w:hanging="200" w:start="180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TOC1">
    <w:name w:val="TOC 1"/>
    <w:basedOn w:val="Normal"/>
    <w:next w:val="Normal"/>
    <w:pPr>
      <w:tabs>
        <w:tab w:val="clear" w:pos="708"/>
        <w:tab w:val="right" w:pos="9628" w:leader="dot"/>
      </w:tabs>
    </w:pPr>
    <w:rPr>
      <w:color w:val="000000"/>
      <w:lang w:val="en-US" w:eastAsia="en-US"/>
    </w:rPr>
  </w:style>
  <w:style w:type="paragraph" w:styleId="TOC3">
    <w:name w:val="TOC 3"/>
    <w:basedOn w:val="Normal"/>
    <w:next w:val="Normal"/>
    <w:pPr>
      <w:ind w:hanging="0" w:start="400" w:end="0"/>
    </w:pPr>
    <w:rPr/>
  </w:style>
  <w:style w:type="paragraph" w:styleId="TOC4">
    <w:name w:val="TOC 4"/>
    <w:basedOn w:val="Normal"/>
    <w:next w:val="Normal"/>
    <w:pPr>
      <w:ind w:hanging="0" w:start="600" w:end="0"/>
    </w:pPr>
    <w:rPr/>
  </w:style>
  <w:style w:type="paragraph" w:styleId="TOC5">
    <w:name w:val="TOC 5"/>
    <w:basedOn w:val="Normal"/>
    <w:next w:val="Normal"/>
    <w:pPr>
      <w:ind w:hanging="0" w:start="800" w:end="0"/>
    </w:pPr>
    <w:rPr/>
  </w:style>
  <w:style w:type="paragraph" w:styleId="TOC6">
    <w:name w:val="TOC 6"/>
    <w:basedOn w:val="Normal"/>
    <w:next w:val="Normal"/>
    <w:pPr>
      <w:ind w:hanging="0" w:start="1000" w:end="0"/>
    </w:pPr>
    <w:rPr/>
  </w:style>
  <w:style w:type="paragraph" w:styleId="TOC7">
    <w:name w:val="TOC 7"/>
    <w:basedOn w:val="Normal"/>
    <w:next w:val="Normal"/>
    <w:pPr>
      <w:ind w:hanging="0" w:start="1200" w:end="0"/>
    </w:pPr>
    <w:rPr/>
  </w:style>
  <w:style w:type="paragraph" w:styleId="TOC8">
    <w:name w:val="TOC 8"/>
    <w:basedOn w:val="Normal"/>
    <w:next w:val="Normal"/>
    <w:pPr>
      <w:ind w:hanging="0" w:start="1400" w:end="0"/>
    </w:pPr>
    <w:rPr/>
  </w:style>
  <w:style w:type="paragraph" w:styleId="TOC9">
    <w:name w:val="TOC 9"/>
    <w:basedOn w:val="Normal"/>
    <w:next w:val="Normal"/>
    <w:pPr>
      <w:ind w:hanging="0" w:start="1600" w:end="0"/>
    </w:pPr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