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  <w:b/>
          <w:sz w:val="28"/>
          <w:szCs w:val="28"/>
          <w:u w:val="single"/>
        </w:rPr>
      </w:pPr>
      <w:r>
        <w:rPr>
          <w:rFonts w:cs="Arial" w:ascii="Arial" w:hAnsi="Arial"/>
          <w:b/>
          <w:sz w:val="28"/>
          <w:szCs w:val="28"/>
          <w:u w:val="single"/>
        </w:rPr>
      </w:r>
    </w:p>
    <w:p>
      <w:pPr>
        <w:pStyle w:val="Normal"/>
        <w:ind w:start="-540" w:end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sz w:val="28"/>
          <w:szCs w:val="28"/>
        </w:rPr>
        <w:t xml:space="preserve">       </w:t>
      </w:r>
      <w:r>
        <w:rPr>
          <w:rFonts w:cs="Arial" w:ascii="Arial" w:hAnsi="Arial"/>
          <w:b/>
          <w:sz w:val="28"/>
          <w:szCs w:val="28"/>
        </w:rPr>
        <w:t>ISO 14001:2015 Checklist</w:t>
      </w:r>
    </w:p>
    <w:p>
      <w:pPr>
        <w:pStyle w:val="Normal"/>
        <w:ind w:start="-540" w:end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  <w:b/>
          <w:sz w:val="16"/>
          <w:szCs w:val="16"/>
        </w:rPr>
      </w:pPr>
      <w:r>
        <w:rPr>
          <w:rFonts w:cs="Arial" w:ascii="Arial" w:hAnsi="Arial"/>
          <w:b/>
          <w:sz w:val="16"/>
          <w:szCs w:val="16"/>
        </w:rPr>
        <w:t>Instructions: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Highlighted areas are to be completed by the Client Organization prior to the off-site review, or on-site Gap Analysis or Upgrade Audit, and submitted to the NSF-ISR Lead Auditor for review.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The </w:t>
      </w:r>
      <w:r>
        <w:rPr>
          <w:rFonts w:cs="Arial" w:ascii="Arial" w:hAnsi="Arial"/>
          <w:b/>
          <w:sz w:val="16"/>
          <w:szCs w:val="16"/>
        </w:rPr>
        <w:t xml:space="preserve">Annex A - ISO 14001: 2015 vs. ISO 14001: 2004 Comparison Table </w:t>
      </w:r>
      <w:r>
        <w:rPr>
          <w:rFonts w:cs="Arial" w:ascii="Arial" w:hAnsi="Arial"/>
          <w:sz w:val="16"/>
          <w:szCs w:val="16"/>
        </w:rPr>
        <w:t>has been provided at the end of this document for information and reference purposes only.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Completion by the Client Organization should include the final statement of readiness for Upgrade by the Top Management of the Client Organization.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The columns for “Planned Completion Date” and Responsibility” may be used by the Client Organization to develop their plan for upgrading their EMS to the requirements of ISO 14001: 2015.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All other areas of the Checklist are required to be completed by the NSF-ISR Lead Auditor to confirm the effective implementation of the Client Organization’s ISO 14001: 2015 Environmental Management System.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 xml:space="preserve">The Lead Auditor shall sign the appropriate sections at the end of the Checklist to indicate: whether the Client Organization is Ready/Not Ready for Upgrade Audit (Off-site review), </w:t>
      </w:r>
      <w:r>
        <w:rPr>
          <w:rFonts w:cs="Arial" w:ascii="Arial" w:hAnsi="Arial"/>
          <w:b/>
          <w:sz w:val="16"/>
          <w:szCs w:val="16"/>
          <w:u w:val="single"/>
        </w:rPr>
        <w:t>AND</w:t>
      </w:r>
      <w:r>
        <w:rPr>
          <w:rFonts w:cs="Arial" w:ascii="Arial" w:hAnsi="Arial"/>
          <w:sz w:val="16"/>
          <w:szCs w:val="16"/>
        </w:rPr>
        <w:t xml:space="preserve"> the final approval of the EMS in meeting the requirements of ISO 14001: 2015 (during the on-site Upgrade Audit)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This checklist shall be submitted by the NSF-ISR Lead Auditor as one of the records of the ISO 14001: 2015 Upgrade for the Client Organization.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13318" w:type="dxa"/>
        <w:jc w:val="start"/>
        <w:tblInd w:w="71" w:type="dxa"/>
        <w:tblLayout w:type="fixed"/>
        <w:tblCellMar>
          <w:top w:w="0" w:type="dxa"/>
          <w:start w:w="71" w:type="dxa"/>
          <w:bottom w:w="0" w:type="dxa"/>
          <w:end w:w="71" w:type="dxa"/>
        </w:tblCellMar>
      </w:tblPr>
      <w:tblGrid>
        <w:gridCol w:w="5051"/>
        <w:gridCol w:w="8267"/>
      </w:tblGrid>
      <w:tr>
        <w:trPr>
          <w:trHeight w:val="360" w:hRule="atLeast"/>
          <w:cantSplit w:val="true"/>
        </w:trPr>
        <w:tc>
          <w:tcPr>
            <w:tcW w:w="5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Cs w:val="20"/>
              </w:rPr>
            </w:pPr>
            <w:r>
              <w:rPr>
                <w:rFonts w:cs="Arial" w:ascii="Arial" w:hAnsi="Arial"/>
                <w:b/>
                <w:szCs w:val="20"/>
              </w:rPr>
              <w:t>Organization Name:</w:t>
            </w:r>
          </w:p>
        </w:tc>
        <w:tc>
          <w:tcPr>
            <w:tcW w:w="8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  <w:vAlign w:val="center"/>
          </w:tcPr>
          <w:p>
            <w:pPr>
              <w:pStyle w:val="Normal"/>
              <w:snapToGrid w:val="false"/>
              <w:ind w:end="60"/>
              <w:rPr>
                <w:rFonts w:ascii="Arial" w:hAnsi="Arial" w:cs="Arial"/>
                <w:b/>
                <w:sz w:val="24"/>
                <w:szCs w:val="20"/>
                <w:lang w:val="fr-FR"/>
              </w:rPr>
            </w:pPr>
            <w:r>
              <w:rPr>
                <w:rFonts w:cs="Arial" w:ascii="Arial" w:hAnsi="Arial"/>
                <w:b/>
                <w:sz w:val="24"/>
                <w:szCs w:val="20"/>
                <w:lang w:val="fr-FR"/>
              </w:rPr>
            </w:r>
          </w:p>
        </w:tc>
      </w:tr>
      <w:tr>
        <w:trPr>
          <w:trHeight w:val="360" w:hRule="atLeast"/>
          <w:cantSplit w:val="true"/>
        </w:trPr>
        <w:tc>
          <w:tcPr>
            <w:tcW w:w="505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Cs w:val="20"/>
              </w:rPr>
            </w:pPr>
            <w:r>
              <w:rPr>
                <w:rFonts w:cs="Arial" w:ascii="Arial" w:hAnsi="Arial"/>
                <w:b/>
                <w:szCs w:val="20"/>
              </w:rPr>
              <w:t>Organization Address:</w:t>
            </w:r>
          </w:p>
        </w:tc>
        <w:tc>
          <w:tcPr>
            <w:tcW w:w="82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99" w:val="clear"/>
            <w:vAlign w:val="center"/>
          </w:tcPr>
          <w:p>
            <w:pPr>
              <w:pStyle w:val="Normal"/>
              <w:snapToGrid w:val="false"/>
              <w:ind w:end="60"/>
              <w:rPr>
                <w:rFonts w:ascii="Arial" w:hAnsi="Arial" w:cs="Arial"/>
                <w:b/>
                <w:szCs w:val="20"/>
                <w:lang w:val="fr-FR"/>
              </w:rPr>
            </w:pPr>
            <w:r>
              <w:rPr>
                <w:rFonts w:cs="Arial" w:ascii="Arial" w:hAnsi="Arial"/>
                <w:b/>
                <w:szCs w:val="20"/>
                <w:lang w:val="fr-FR"/>
              </w:rPr>
            </w:r>
          </w:p>
        </w:tc>
      </w:tr>
      <w:tr>
        <w:trPr>
          <w:trHeight w:val="288" w:hRule="atLeast"/>
          <w:cantSplit w:val="true"/>
        </w:trPr>
        <w:tc>
          <w:tcPr>
            <w:tcW w:w="13318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ind w:start="-71" w:end="60"/>
              <w:rPr>
                <w:rFonts w:ascii="Arial" w:hAnsi="Arial" w:cs="Arial"/>
                <w:b/>
                <w:bCs/>
                <w:sz w:val="16"/>
                <w:szCs w:val="16"/>
                <w:lang w:val="it-IT"/>
              </w:rPr>
            </w:pPr>
            <w:r>
              <w:rPr>
                <w:rFonts w:eastAsia="Arial" w:cs="Arial" w:ascii="Arial" w:hAnsi="Arial"/>
                <w:b/>
                <w:bCs/>
                <w:sz w:val="16"/>
                <w:szCs w:val="16"/>
                <w:lang w:val="it-IT"/>
              </w:rPr>
              <w:t xml:space="preserve">  </w:t>
            </w:r>
            <w:r>
              <w:rPr>
                <w:rFonts w:cs="Arial" w:ascii="Arial" w:hAnsi="Arial"/>
                <w:b/>
                <w:bCs/>
                <w:sz w:val="16"/>
                <w:szCs w:val="16"/>
                <w:lang w:val="it-IT"/>
              </w:rPr>
              <w:t>Referenti: Dott.ssa Sonia D’Alessandro, Dott.ssa MariaGrazia Arosio</w:t>
            </w:r>
          </w:p>
        </w:tc>
      </w:tr>
    </w:tbl>
    <w:p>
      <w:pPr>
        <w:pStyle w:val="Normal"/>
        <w:rPr>
          <w:rFonts w:ascii="Arial" w:hAnsi="Arial" w:cs="Arial"/>
          <w:b/>
          <w:lang w:val="it-IT"/>
        </w:rPr>
      </w:pPr>
      <w:r>
        <w:rPr>
          <w:rFonts w:cs="Arial" w:ascii="Arial" w:hAnsi="Arial"/>
          <w:b/>
          <w:lang w:val="it-IT"/>
        </w:rPr>
      </w:r>
    </w:p>
    <w:p>
      <w:pPr>
        <w:pStyle w:val="Normal"/>
        <w:rPr>
          <w:rFonts w:ascii="Arial" w:hAnsi="Arial" w:cs="Arial"/>
          <w:b/>
          <w:lang w:val="it-IT"/>
        </w:rPr>
      </w:pPr>
      <w:r>
        <w:rPr>
          <w:rFonts w:cs="Arial" w:ascii="Arial" w:hAnsi="Arial"/>
          <w:b/>
          <w:lang w:val="it-IT"/>
        </w:rPr>
      </w:r>
    </w:p>
    <w:p>
      <w:pPr>
        <w:pStyle w:val="Normal"/>
        <w:rPr>
          <w:rFonts w:ascii="Arial" w:hAnsi="Arial" w:cs="Arial"/>
          <w:b/>
          <w:lang w:val="it-IT"/>
        </w:rPr>
      </w:pPr>
      <w:r>
        <w:rPr>
          <w:rFonts w:cs="Arial" w:ascii="Arial" w:hAnsi="Arial"/>
          <w:b/>
          <w:lang w:val="it-IT"/>
        </w:rPr>
      </w:r>
    </w:p>
    <w:tbl>
      <w:tblPr>
        <w:tblW w:w="14051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150"/>
        <w:gridCol w:w="1266"/>
        <w:gridCol w:w="1328"/>
        <w:gridCol w:w="1310"/>
        <w:gridCol w:w="2317"/>
        <w:gridCol w:w="4680"/>
      </w:tblGrid>
      <w:tr>
        <w:trPr>
          <w:tblHeader w:val="true"/>
        </w:trPr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Question / Requirement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Conforme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r>
              <w:rPr>
                <w:rFonts w:cs="Arial" w:ascii="Arial" w:hAnsi="Arial"/>
                <w:b/>
                <w:sz w:val="16"/>
                <w:szCs w:val="16"/>
                <w:u w:val="single"/>
              </w:rPr>
              <w:t>Commenti</w:t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18"/>
                <w:szCs w:val="18"/>
              </w:rPr>
              <w:t>4.  CONTEXT OF ORGANIZATION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Evidence of determination of </w:t>
            </w:r>
            <w:r>
              <w:rPr>
                <w:rFonts w:cs="Arial" w:ascii="Arial" w:hAnsi="Arial"/>
                <w:b/>
                <w:sz w:val="16"/>
                <w:szCs w:val="16"/>
              </w:rPr>
              <w:t>Understanding the Organization and its CONTEXT</w:t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i/>
                <w:sz w:val="16"/>
                <w:szCs w:val="16"/>
              </w:rPr>
              <w:t>(4.1)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.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of determination of INTERESTED PARTIES</w:t>
            </w:r>
            <w:r>
              <w:rPr>
                <w:rFonts w:cs="Arial" w:ascii="Arial" w:hAnsi="Arial"/>
                <w:b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 xml:space="preserve">and their requirements </w:t>
            </w:r>
            <w:r>
              <w:rPr>
                <w:rFonts w:cs="Arial" w:ascii="Arial" w:hAnsi="Arial"/>
                <w:i/>
                <w:sz w:val="16"/>
                <w:szCs w:val="16"/>
              </w:rPr>
              <w:t>(4.2)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Did you determine the needs and expectations of your interested parties?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Did you identify those that have become compliance obligations (requirements)?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of review and verification for SCOPE of environmental management system (4.3)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Did you define and document the scope of your environmental management system (EMS)?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436" w:hRule="atLeast"/>
        </w:trPr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demonstrating environmental management system reflects requirements (4.4)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5. </w:t>
            </w:r>
            <w:r>
              <w:rPr>
                <w:rFonts w:cs="Arial" w:ascii="Arial" w:hAnsi="Arial"/>
                <w:b/>
                <w:szCs w:val="20"/>
              </w:rPr>
              <w:t>LEADERSHIP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of Leadership and Commitment of TOP MANAGEMENT (5.1)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Environmental POLICY has been reviewed and is consistent with intent of ISO14001:2015 (5.2)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organizational ROLES, RESPONSIBILITIES &amp; AUTHORITIES have been appropriately assigned, resourced and communicated. (5.3)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Cs w:val="16"/>
              </w:rPr>
              <w:t>6. PLANNING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6.1 ACTIONS TO ADDRESS RISK &amp; OPPORTUNITIES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RISKS AND OPPPORTUNITIES related to environmental aspects, compliance obligations and other issues have been identified and addressed. (6.1.1)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ENVIRONMENTAL ASPECTS of organizations activities, products and services that it has control over and it can influence along with environmental impacts have been determined  (6.1.2)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A LIFE CYCLE perspective of the environmental aspects has been considered (6.1.2)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Established CRITERIA is documented and utilized to determine significant environmental aspects (6.1.2)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SIGNIFICANT environmental aspects have been COMMUNICATED among the various levels and functions of the organization (6.1.2)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COMPLIANCE OBLIGATIONS relating to environmental aspects meet requirements of ISO 14001:2015 (6.1.3)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the organizations planning takes into consideration actions to address:  significant environmental aspects; compliance obligations; risks and opportunities (6.1.4.a)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the organization’s planning process has the EMS integrated and implemented with other business processes (6.1.4.b)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ENVIRONMENTAL OBJECTIVES have been established that are consistent with the environmental policy, are MEASURABLE, MONITORED, COMMUNICATED &amp; UPDATED as appropriate (6.2.1)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of planning actions to achieve ENVIRONMENTAL OBJECTIVES, including:  WHAT will be done; what RESOURCES will be required; WHO will be responsible; WHEN it will be completed; HOW results will be evaluated, including indicators for monitoring progress (6.2.2)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the organization has INTEGRATED its environmental objective into the organizations business processes. (6.2.2)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Cs w:val="16"/>
              </w:rPr>
              <w:t>7  SUPPORT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the organization has determined and provided RESOURCES needed for the establishment, implementation, maintenance and continual improvement of EMS (7.1)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organization has a process in place to determine necessary COMPETENCE, necessary training and documented information to support competence supporting requirements of ISO 14001:2015. (7.2)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Documented information supporting AWARENESS of persons working under the organizations control of environmental policy; significant environmental aspects; their contribution toward an effective EMS; understanding the benefits of enhanced environmental performance and implications of not conforming with EMS and fulfilling compliance obligations (7.3)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firstLine="720" w:end="0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process for INTERNAL &amp; EXETERNAL COMMUNICATIONS has been established consistent with ISO 14001:2015 (7.4)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DOCUMENTED INFORMATION is consistent with ISO 14001:2015 (7.5)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Cs w:val="16"/>
              </w:rPr>
              <w:t>8 OPERATION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organization has established processes needed to meet EMS in operating process criteria and control of operating processes (8.1)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organization has environmental requirements and impacts associated with established operational control for planned changes and outsources processes considering each life cycle stage of products, services and activities (8.1)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Controls have been established to ensure Environmental requirements established for design, development processes for products, service, procurement of products and services (8.1. a &amp; b)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Communicated to external providers and contractors relevant environmental requirements? (8.1.c)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Considered need to provide information about potential significant environmental impacts associated with transportation, delivery, use, end of life treatment and final disposal of it products and services (8.1.d)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organization has emergency preparedness and response plans in place per ISO 14001:2015, (8.2)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Cs w:val="16"/>
              </w:rPr>
              <w:t>9 PERFOMANCE EVALUATION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that organization is MONITORING, MEASURING, ANALYZING AND EVALUATING environmental performance (9.1)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that organization has an effective process for evaluation of compliance obligations fulfillment (9.1.2)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  <w:highlight w:val="cyan"/>
              </w:rPr>
            </w:pPr>
            <w:r>
              <w:rPr>
                <w:rFonts w:cs="Arial" w:ascii="Arial" w:hAnsi="Arial"/>
                <w:sz w:val="16"/>
                <w:szCs w:val="16"/>
                <w:highlight w:val="cyan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Internal Audit Results </w:t>
            </w:r>
            <w:r>
              <w:rPr>
                <w:rFonts w:cs="Arial" w:ascii="Arial" w:hAnsi="Arial"/>
                <w:i/>
                <w:sz w:val="16"/>
                <w:szCs w:val="16"/>
              </w:rPr>
              <w:t>(9.2)</w:t>
            </w:r>
          </w:p>
          <w:p>
            <w:pPr>
              <w:pStyle w:val="Normal"/>
              <w:ind w:end="-108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(using process-approach)</w:t>
            </w:r>
          </w:p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>- Full internal Audit to ISO 14001: 2015</w:t>
            </w:r>
          </w:p>
          <w:p>
            <w:pPr>
              <w:pStyle w:val="Normal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-inputs, outputs, performance to targets, process linkages / interactions.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Records of </w:t>
            </w:r>
            <w:r>
              <w:rPr>
                <w:rFonts w:cs="Arial" w:ascii="Arial" w:hAnsi="Arial"/>
                <w:b/>
                <w:sz w:val="16"/>
                <w:szCs w:val="16"/>
              </w:rPr>
              <w:t>Management Review</w:t>
            </w: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i/>
                <w:sz w:val="16"/>
                <w:szCs w:val="16"/>
              </w:rPr>
              <w:t>(9.3)</w:t>
            </w:r>
            <w:r>
              <w:rPr>
                <w:rFonts w:cs="Arial" w:ascii="Arial" w:hAnsi="Arial"/>
                <w:sz w:val="16"/>
                <w:szCs w:val="16"/>
              </w:rPr>
              <w:t xml:space="preserve"> Completed to ISO 14001: 2015 requirements after completion of the Internal Audit.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  <w:tr>
        <w:trPr/>
        <w:tc>
          <w:tcPr>
            <w:tcW w:w="1405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Cs w:val="16"/>
              </w:rPr>
              <w:t>10 IMPROVEMENT</w:t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/>
            </w:pPr>
            <w:r>
              <w:rPr>
                <w:rFonts w:cs="Arial" w:ascii="Arial" w:hAnsi="Arial"/>
                <w:sz w:val="16"/>
                <w:szCs w:val="16"/>
              </w:rPr>
              <w:t>Evidence of an effective process for taking action to correct nonconformity and the consequences of adverse environmental impacts (10.2)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08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Evidence of effective continuous improvement of EMS to enhance environmental performance (10.2)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cs="Arial" w:ascii="Arial" w:hAnsi="Arial"/>
                <w:b/>
                <w:sz w:val="16"/>
                <w:szCs w:val="16"/>
              </w:rPr>
              <w:t xml:space="preserve">Internal Audit Corrective Actions </w:t>
            </w:r>
            <w:r>
              <w:rPr>
                <w:rFonts w:cs="Arial" w:ascii="Arial" w:hAnsi="Arial"/>
                <w:i/>
                <w:sz w:val="16"/>
                <w:szCs w:val="16"/>
              </w:rPr>
              <w:t xml:space="preserve">(10.2 d) completed. </w:t>
            </w:r>
            <w:r>
              <w:rPr>
                <w:rFonts w:cs="Arial" w:ascii="Arial" w:hAnsi="Arial"/>
                <w:sz w:val="16"/>
                <w:szCs w:val="16"/>
              </w:rPr>
              <w:t>(including evidence of closure)</w:t>
            </w:r>
          </w:p>
        </w:tc>
        <w:tc>
          <w:tcPr>
            <w:tcW w:w="1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3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23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99" w:val="clear"/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si</w:t>
            </w:r>
          </w:p>
        </w:tc>
        <w:tc>
          <w:tcPr>
            <w:tcW w:w="46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lang w:val="it-IT"/>
              </w:rPr>
            </w:pPr>
            <w:r>
              <w:rPr>
                <w:rFonts w:cs="Arial" w:ascii="Arial" w:hAnsi="Arial"/>
                <w:lang w:val="it-IT"/>
              </w:rPr>
            </w:r>
          </w:p>
        </w:tc>
      </w:tr>
    </w:tbl>
    <w:p>
      <w:pPr>
        <w:pStyle w:val="Normal"/>
        <w:rPr>
          <w:rFonts w:ascii="Arial" w:hAnsi="Arial" w:cs="Arial"/>
          <w:lang w:val="it-IT"/>
        </w:rPr>
      </w:pPr>
      <w:r>
        <w:rPr>
          <w:rFonts w:cs="Arial" w:ascii="Arial" w:hAnsi="Arial"/>
          <w:lang w:val="it-IT"/>
        </w:rPr>
      </w:r>
      <w:r>
        <w:br w:type="page"/>
      </w:r>
    </w:p>
    <w:p>
      <w:pPr>
        <w:pStyle w:val="Normal"/>
        <w:rPr>
          <w:rFonts w:ascii="Arial" w:hAnsi="Arial" w:cs="Arial"/>
          <w:lang w:val="it-IT"/>
        </w:rPr>
      </w:pPr>
      <w:r>
        <w:rPr>
          <w:rFonts w:cs="Arial" w:ascii="Arial" w:hAnsi="Arial"/>
          <w:lang w:val="it-IT"/>
        </w:rPr>
      </w:r>
    </w:p>
    <w:tbl>
      <w:tblPr>
        <w:tblW w:w="13986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74"/>
        <w:gridCol w:w="4824"/>
        <w:gridCol w:w="3690"/>
        <w:gridCol w:w="1998"/>
      </w:tblGrid>
      <w:tr>
        <w:trPr/>
        <w:tc>
          <w:tcPr>
            <w:tcW w:w="3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Auditors</w:t>
            </w:r>
          </w:p>
        </w:tc>
        <w:tc>
          <w:tcPr>
            <w:tcW w:w="4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Nome</w:t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Firma</w:t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>Data</w:t>
            </w:r>
          </w:p>
        </w:tc>
      </w:tr>
      <w:tr>
        <w:trPr/>
        <w:tc>
          <w:tcPr>
            <w:tcW w:w="3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cs="Arial" w:ascii="Arial" w:hAnsi="Arial"/>
                <w:b/>
                <w:szCs w:val="20"/>
              </w:rPr>
            </w:r>
          </w:p>
        </w:tc>
        <w:tc>
          <w:tcPr>
            <w:tcW w:w="4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Cs w:val="20"/>
              </w:rPr>
            </w:pPr>
            <w:r>
              <w:rPr>
                <w:rFonts w:cs="Arial" w:ascii="Arial" w:hAnsi="Arial"/>
                <w:szCs w:val="20"/>
              </w:rPr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/>
        <w:tc>
          <w:tcPr>
            <w:tcW w:w="34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sectPr>
          <w:headerReference w:type="default" r:id="rId2"/>
          <w:footerReference w:type="default" r:id="rId3"/>
          <w:type w:val="nextPage"/>
          <w:pgSz w:orient="landscape" w:w="15840" w:h="12240"/>
          <w:pgMar w:left="1080" w:right="1080" w:gutter="0" w:header="720" w:top="1507" w:footer="432" w:bottom="108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pPr w:vertAnchor="page" w:horzAnchor="margin" w:rightFromText="180" w:tblpX="5" w:tblpY="1741"/>
        <w:tblW w:w="986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0"/>
        <w:gridCol w:w="1095"/>
        <w:gridCol w:w="1095"/>
        <w:gridCol w:w="3839"/>
      </w:tblGrid>
      <w:tr>
        <w:trPr>
          <w:trHeight w:val="288" w:hRule="atLeast"/>
        </w:trPr>
        <w:tc>
          <w:tcPr>
            <w:tcW w:w="49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cs="Calibri" w:ascii="Calibri" w:hAnsi="Calibri"/>
                <w:b/>
                <w:bCs/>
                <w:color w:val="000000"/>
                <w:szCs w:val="18"/>
              </w:rPr>
              <w:t>New or Different in ISO 14001:2015 to ISO 14001:2004</w:t>
            </w:r>
          </w:p>
        </w:tc>
        <w:tc>
          <w:tcPr>
            <w:tcW w:w="49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Cs w:val="18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18"/>
              </w:rPr>
              <w:t>Covered in ISO 14001:2004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FFFFFF"/>
                <w:szCs w:val="18"/>
                <w:u w:val="single"/>
              </w:rPr>
            </w:pPr>
            <w:r>
              <w:rPr>
                <w:rFonts w:cs="Calibri" w:ascii="Calibri" w:hAnsi="Calibri"/>
                <w:color w:val="FFFFFF"/>
                <w:szCs w:val="18"/>
                <w:u w:val="single"/>
              </w:rPr>
              <w:t> 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FFFFFF"/>
                <w:szCs w:val="18"/>
                <w:u w:val="single"/>
              </w:rPr>
            </w:pPr>
            <w:r>
              <w:rPr>
                <w:rFonts w:cs="Calibri" w:ascii="Calibri" w:hAnsi="Calibri"/>
                <w:color w:val="FFFFFF"/>
                <w:szCs w:val="18"/>
                <w:u w:val="single"/>
              </w:rPr>
              <w:t> 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FFFFFF"/>
                <w:szCs w:val="18"/>
                <w:u w:val="single"/>
              </w:rPr>
            </w:pPr>
            <w:r>
              <w:rPr>
                <w:rFonts w:cs="Calibri" w:ascii="Calibri" w:hAnsi="Calibri"/>
                <w:color w:val="FFFFFF"/>
                <w:szCs w:val="18"/>
                <w:u w:val="single"/>
              </w:rPr>
              <w:t> </w:t>
            </w:r>
          </w:p>
        </w:tc>
        <w:tc>
          <w:tcPr>
            <w:tcW w:w="383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FFFFFF"/>
                <w:szCs w:val="18"/>
                <w:u w:val="single"/>
              </w:rPr>
            </w:pPr>
            <w:r>
              <w:rPr>
                <w:rFonts w:cs="Calibri" w:ascii="Calibri" w:hAnsi="Calibri"/>
                <w:color w:val="FFFFFF"/>
                <w:szCs w:val="18"/>
                <w:u w:val="single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ISO 14001:2015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New Section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Old Section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ISO 14001:2004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Introduction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Background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Aim of Environmental Management systems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Success Factors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0.3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Plan-do-Check-Act Model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0.4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Contents of this International Standard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0.5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Scope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1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Scope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Normative References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2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Normative References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Terms &amp; Definitions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 xml:space="preserve">Terms &amp; Definitions 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Term Related to Organization &amp; Leadership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Terms Related to Planning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Terms Related to Support &amp; Operation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3.3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Terms Related to Performance Evaluation &amp; Improvement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3.4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Context of the Organization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Understanding the organization &amp; its Context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Understanding the needs &amp; Expectation of Interested parties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Determining the scope of the environmental management system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 xml:space="preserve">4.3    </w:t>
              <w:br/>
              <w:t>A.1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 xml:space="preserve">Planning                                                                            General Requirements                                                      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Management System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4.1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 xml:space="preserve">General Requirements                       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Leadership (Title only)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5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Leadership &amp; Commitment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5.1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Policy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5.2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4.2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Policy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Organizational roles, responsibilities &amp; authorities</w:t>
            </w:r>
          </w:p>
        </w:tc>
        <w:tc>
          <w:tcPr>
            <w:tcW w:w="109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5.3</w:t>
            </w:r>
          </w:p>
        </w:tc>
        <w:tc>
          <w:tcPr>
            <w:tcW w:w="1095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ind w:hanging="10" w:start="2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4.4.1</w:t>
            </w:r>
          </w:p>
        </w:tc>
        <w:tc>
          <w:tcPr>
            <w:tcW w:w="3839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Resources, Roles, responsibility &amp; authority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Planning (title only)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Planning (title only)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Actions to address risks &amp; opportunities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General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Significant environmental aspects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4.3.1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Aspects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Compliance Obligations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6.1.3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4.3.2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Legal &amp; Other Requirements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Actions to address Risks associated with threats &amp;  Opportunities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6.1.4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Planning to take Action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6.1.5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Objectives &amp; Planning to achieve them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4.3.3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Objectives, targets &amp; programme(s)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Environmental Objectives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6.2.1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4.3.3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Objectives, targets &amp; programme(s)</w:t>
            </w:r>
          </w:p>
        </w:tc>
      </w:tr>
      <w:tr>
        <w:trPr>
          <w:trHeight w:val="288" w:hRule="atLeast"/>
        </w:trPr>
        <w:tc>
          <w:tcPr>
            <w:tcW w:w="384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5B3D7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Planning Actions to achieve environmental objectives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6.2.2</w:t>
            </w:r>
          </w:p>
        </w:tc>
        <w:tc>
          <w:tcPr>
            <w:tcW w:w="1095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4.3.3</w:t>
            </w:r>
          </w:p>
        </w:tc>
        <w:tc>
          <w:tcPr>
            <w:tcW w:w="3839" w:type="dxa"/>
            <w:tcBorders>
              <w:bottom w:val="single" w:sz="4" w:space="0" w:color="000000"/>
              <w:end w:val="single" w:sz="4" w:space="0" w:color="000000"/>
            </w:tcBorders>
            <w:shd w:fill="95B3D7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Objectives, targets &amp; programme(s)</w:t>
            </w:r>
          </w:p>
        </w:tc>
      </w:tr>
    </w:tbl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-540" w:end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-540" w:end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W w:w="1013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45"/>
        <w:gridCol w:w="1268"/>
        <w:gridCol w:w="1177"/>
        <w:gridCol w:w="3845"/>
      </w:tblGrid>
      <w:tr>
        <w:trPr>
          <w:trHeight w:val="259" w:hRule="atLeast"/>
        </w:trPr>
        <w:tc>
          <w:tcPr>
            <w:tcW w:w="51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Cs w:val="18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18"/>
              </w:rPr>
              <w:t>New or Different in                                                                     ISO 14001:2015 to ISO 14001:2004</w:t>
            </w:r>
          </w:p>
        </w:tc>
        <w:tc>
          <w:tcPr>
            <w:tcW w:w="50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b/>
                <w:bCs/>
                <w:color w:val="000000"/>
                <w:szCs w:val="18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18"/>
              </w:rPr>
              <w:t>Covered in ISO 14001:2004</w:t>
            </w:r>
          </w:p>
        </w:tc>
      </w:tr>
      <w:tr>
        <w:trPr>
          <w:trHeight w:val="144" w:hRule="atLeast"/>
        </w:trPr>
        <w:tc>
          <w:tcPr>
            <w:tcW w:w="10135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b/>
                <w:bCs/>
                <w:color w:val="000000"/>
                <w:szCs w:val="18"/>
                <w:u w:val="single"/>
              </w:rPr>
            </w:pPr>
            <w:r>
              <w:rPr>
                <w:rFonts w:cs="Calibri" w:ascii="Calibri" w:hAnsi="Calibri"/>
                <w:b/>
                <w:bCs/>
                <w:color w:val="000000"/>
                <w:szCs w:val="18"/>
                <w:u w:val="single"/>
              </w:rPr>
            </w:r>
          </w:p>
        </w:tc>
      </w:tr>
      <w:tr>
        <w:trPr>
          <w:trHeight w:val="350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ISO 14001:2015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New Section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Old Section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szCs w:val="18"/>
                <w:u w:val="single"/>
              </w:rPr>
            </w:pPr>
            <w:r>
              <w:rPr>
                <w:rFonts w:cs="Calibri" w:ascii="Calibri" w:hAnsi="Calibri"/>
                <w:szCs w:val="18"/>
                <w:u w:val="single"/>
              </w:rPr>
              <w:t>ISO 14001:2004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Support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Implementation &amp; Operation (title only)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Resources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4.4.1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Resources, Roles, responsibility &amp; authority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Competence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4.4.2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Competence, training &amp; awareness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Awareness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7.3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4.4.2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Competence, training &amp; awareness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Communications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7.4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4.4.3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Communication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General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7.4.1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4.4.3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Communication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Internal Communication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7.4.2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4.4.3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Communication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External Communication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7.4.3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4.4.3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Communication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Documented Information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7.5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Documentation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General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7.5.1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Documentation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Creating &amp; Updating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7.5.2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Control of Documentation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Control of Records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Control of documented Information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7.5.3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4.4.5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Control of Documentation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Control of Records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Operation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8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Implementation &amp; Operation (title only)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Operational Planning &amp; Control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8.1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4.4.6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Operational Control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Emergency Preparedness &amp; Response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8.2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4.4.7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Emergency Preparedness &amp; Response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Performance Evaluation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Checking (Title Only)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Monitoring, Measurement, analysis &amp;  evaluation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4.5.1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Monitoring &amp; Measurement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General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9.1.1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4.5.1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Monitoring &amp; Measurement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Evaluation of Compliance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9.1.2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4.5.2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Evaluation of Compliance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Internal Audit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4.5.5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Internal Audit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Management Review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9.3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4.6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Management Review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Improvement (Title only)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10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Nonconformity &amp; Corrective action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10.1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4.5.3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Non conformity, corrective action &amp; preventive action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  <w:vAlign w:val="bottom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Continual Improvement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10.2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ind w:firstLine="200" w:end="0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Annex A:  Guidance on the use of this International Standard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Annex A:  Guidance on the use of this International Standard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Annex B: Correspondence between ISO 14001:2015 and ISO 14001:2004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B</w:t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B</w:t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Correspondence between ISO 14001:2004 &amp; ISO 9001:2000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Bibliography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Bibliography</w:t>
            </w:r>
          </w:p>
        </w:tc>
      </w:tr>
      <w:tr>
        <w:trPr>
          <w:trHeight w:val="259" w:hRule="atLeast"/>
        </w:trPr>
        <w:tc>
          <w:tcPr>
            <w:tcW w:w="384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DB3E2" w:val="clea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Alphabetical Index of Terms</w:t>
            </w:r>
          </w:p>
        </w:tc>
        <w:tc>
          <w:tcPr>
            <w:tcW w:w="1268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1177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</w:r>
          </w:p>
        </w:tc>
        <w:tc>
          <w:tcPr>
            <w:tcW w:w="3845" w:type="dxa"/>
            <w:tcBorders>
              <w:bottom w:val="single" w:sz="4" w:space="0" w:color="000000"/>
              <w:end w:val="single" w:sz="4" w:space="0" w:color="000000"/>
            </w:tcBorders>
            <w:shd w:fill="8DB3E2" w:val="clear"/>
            <w:vAlign w:val="center"/>
          </w:tcPr>
          <w:p>
            <w:pPr>
              <w:pStyle w:val="Normal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cs="Calibri" w:ascii="Calibri" w:hAnsi="Calibri"/>
                <w:color w:val="000000"/>
                <w:szCs w:val="18"/>
              </w:rPr>
              <w:t> </w:t>
            </w:r>
          </w:p>
        </w:tc>
      </w:tr>
    </w:tbl>
    <w:p>
      <w:pPr>
        <w:pStyle w:val="Normal"/>
        <w:ind w:start="-540" w:end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ind w:start="-540" w:end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w="12240" w:h="15840"/>
      <w:pgMar w:left="1080" w:right="1507" w:gutter="0" w:header="720" w:top="1080" w:footer="432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otham-Light">
    <w:charset w:val="00" w:characterSet="windows-125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CG Times (WN)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r>
      <w:t>MasterComplianceHSQE by Maurizio Gustinicchi Consulting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r>
      <w:t>MasterComplianceHSQE by Maurizio Gustinicchi Consulting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493520" cy="670560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837" t="24321" r="8825" b="28989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1493520" cy="67056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837" t="24321" r="8825" b="28989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670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numFmt w:val="bullet"/>
      <w:lvlText w:val=""/>
      <w:lvlJc w:val="start"/>
      <w:pPr>
        <w:tabs>
          <w:tab w:val="num" w:pos="1440"/>
        </w:tabs>
        <w:ind w:start="1440" w:hanging="360"/>
      </w:pPr>
      <w:rPr>
        <w:rFonts w:ascii="Wingdings" w:hAnsi="Wingdings" w:cs="Wingdings" w:hint="default"/>
        <w:sz w:val="22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i w:val="false"/>
        <w:b w:val="false"/>
      </w:rPr>
    </w:lvl>
    <w:lvl w:ilvl="1">
      <w:start w:val="1"/>
      <w:numFmt w:val="decimal"/>
      <w:lvlText w:val="%1.%2"/>
      <w:lvlJc w:val="start"/>
      <w:pPr>
        <w:tabs>
          <w:tab w:val="num" w:pos="900"/>
        </w:tabs>
        <w:ind w:start="900" w:hanging="540"/>
      </w:pPr>
    </w:lvl>
    <w:lvl w:ilvl="2">
      <w:start w:val="1"/>
      <w:numFmt w:val="decimal"/>
      <w:lvlText w:val="%1.%2.%3"/>
      <w:lvlJc w:val="start"/>
      <w:pPr>
        <w:tabs>
          <w:tab w:val="num" w:pos="1440"/>
        </w:tabs>
        <w:ind w:start="1440" w:hanging="540"/>
      </w:pPr>
    </w:lvl>
    <w:lvl w:ilvl="3">
      <w:start w:val="1"/>
      <w:numFmt w:val="decimal"/>
      <w:lvlText w:val="%1.%2.%3.%4"/>
      <w:lvlJc w:val="start"/>
      <w:pPr>
        <w:tabs>
          <w:tab w:val="num" w:pos="2160"/>
        </w:tabs>
        <w:ind w:start="2160" w:hanging="720"/>
      </w:pPr>
    </w:lvl>
    <w:lvl w:ilvl="4">
      <w:start w:val="1"/>
      <w:numFmt w:val="decimal"/>
      <w:lvlText w:val="%1.%2.%3.%4.%5"/>
      <w:lvlJc w:val="start"/>
      <w:pPr>
        <w:tabs>
          <w:tab w:val="num" w:pos="3240"/>
        </w:tabs>
        <w:ind w:start="3240" w:hanging="1080"/>
      </w:pPr>
    </w:lvl>
    <w:lvl w:ilvl="5">
      <w:start w:val="1"/>
      <w:numFmt w:val="decimal"/>
      <w:lvlText w:val="%1.%2.%3.%4.%5.%6"/>
      <w:lvlJc w:val="start"/>
      <w:pPr>
        <w:tabs>
          <w:tab w:val="num" w:pos="4320"/>
        </w:tabs>
        <w:ind w:start="4320" w:hanging="1080"/>
      </w:pPr>
    </w:lvl>
    <w:lvl w:ilvl="6">
      <w:start w:val="1"/>
      <w:numFmt w:val="decimal"/>
      <w:lvlText w:val="%1.%2.%3.%4.%5.%6.%7"/>
      <w:lvlJc w:val="start"/>
      <w:pPr>
        <w:tabs>
          <w:tab w:val="num" w:pos="5400"/>
        </w:tabs>
        <w:ind w:start="5227" w:hanging="907"/>
      </w:pPr>
    </w:lvl>
    <w:lvl w:ilvl="7">
      <w:start w:val="1"/>
      <w:numFmt w:val="decimal"/>
      <w:lvlText w:val="%1.%2.%3.%4.%5.%6.%7.%8"/>
      <w:lvlJc w:val="start"/>
      <w:pPr>
        <w:tabs>
          <w:tab w:val="num" w:pos="6667"/>
        </w:tabs>
        <w:ind w:start="6120" w:hanging="893"/>
      </w:pPr>
    </w:lvl>
    <w:lvl w:ilvl="8">
      <w:start w:val="1"/>
      <w:numFmt w:val="decimal"/>
      <w:lvlText w:val="%1.%2.%3.%4.%5.%6.%7.%8.%9"/>
      <w:lvlJc w:val="start"/>
      <w:pPr>
        <w:tabs>
          <w:tab w:val="num" w:pos="7560"/>
        </w:tabs>
        <w:ind w:start="7200" w:hanging="1080"/>
      </w:p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Liberation Serif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40" w:after="0"/>
      <w:outlineLvl w:val="2"/>
    </w:pPr>
    <w:rPr>
      <w:rFonts w:ascii="Cambria" w:hAnsi="Cambria" w:eastAsia="MS Gothic;ＭＳ ゴシック" w:cs="Cambria"/>
      <w:color w:val="243F60"/>
      <w:sz w:val="24"/>
      <w:lang w:val="en-US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Arial" w:hAnsi="Arial" w:cs="Arial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Gotham-Light" w:hAnsi="Gotham-Light" w:eastAsia="Calibri" w:cs="Times New Roman"/>
      <w:sz w:val="22"/>
      <w:szCs w:val="22"/>
    </w:rPr>
  </w:style>
  <w:style w:type="character" w:styleId="WW8Num5z2">
    <w:name w:val="WW8Num5z2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  <w:sz w:val="22"/>
    </w:rPr>
  </w:style>
  <w:style w:type="character" w:styleId="WW8Num6z1">
    <w:name w:val="WW8Num6z1"/>
    <w:qFormat/>
    <w:rPr>
      <w:rFonts w:ascii="Symbol" w:hAnsi="Symbol" w:cs="Symbol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b w:val="false"/>
      <w:i w:val="false"/>
    </w:rPr>
  </w:style>
  <w:style w:type="character" w:styleId="WW8Num8z0">
    <w:name w:val="WW8Num8z0"/>
    <w:qFormat/>
    <w:rPr/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10z0">
    <w:name w:val="WW8Num10z0"/>
    <w:qFormat/>
    <w:rPr>
      <w:rFonts w:ascii="Arial" w:hAnsi="Arial" w:cs="Aria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Arial" w:hAnsi="Arial" w:cs="Aria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Carpredefinitoparagrafo">
    <w:name w:val="Car. predefinito paragrafo"/>
    <w:qFormat/>
    <w:rPr/>
  </w:style>
  <w:style w:type="character" w:styleId="Rimandocommento">
    <w:name w:val="Rimando commento"/>
    <w:qFormat/>
    <w:rPr>
      <w:sz w:val="16"/>
      <w:szCs w:val="16"/>
    </w:rPr>
  </w:style>
  <w:style w:type="character" w:styleId="TestofumettoCarattere">
    <w:name w:val="Testo fumetto Carattere"/>
    <w:qFormat/>
    <w:rPr>
      <w:rFonts w:ascii="Tahoma" w:hAnsi="Tahoma" w:cs="Tahoma"/>
      <w:sz w:val="16"/>
      <w:szCs w:val="16"/>
    </w:rPr>
  </w:style>
  <w:style w:type="character" w:styleId="Titolo3Carattere">
    <w:name w:val="Titolo 3 Carattere"/>
    <w:qFormat/>
    <w:rPr>
      <w:rFonts w:ascii="Cambria" w:hAnsi="Cambria" w:eastAsia="MS Gothic;ＭＳ ゴシック" w:cs="Times New Roman"/>
      <w:color w:val="243F60"/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954F72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DOutline">
    <w:name w:val="CD Outline"/>
    <w:basedOn w:val="Normal"/>
    <w:qFormat/>
    <w:pPr>
      <w:numPr>
        <w:ilvl w:val="0"/>
        <w:numId w:val="3"/>
      </w:numPr>
      <w:spacing w:before="200" w:after="0"/>
      <w:outlineLvl w:val="0"/>
    </w:pPr>
    <w:rPr>
      <w:szCs w:val="20"/>
    </w:rPr>
  </w:style>
  <w:style w:type="paragraph" w:styleId="Index1">
    <w:name w:val="Index 1"/>
    <w:basedOn w:val="Normal"/>
    <w:next w:val="Normal"/>
    <w:pPr>
      <w:numPr>
        <w:ilvl w:val="0"/>
        <w:numId w:val="2"/>
      </w:numPr>
      <w:spacing w:before="110" w:after="0"/>
      <w:jc w:val="both"/>
    </w:pPr>
    <w:rPr>
      <w:sz w:val="22"/>
      <w:szCs w:val="20"/>
    </w:rPr>
  </w:style>
  <w:style w:type="paragraph" w:styleId="Index2">
    <w:name w:val="Index 2"/>
    <w:basedOn w:val="Normal"/>
    <w:next w:val="Normal"/>
    <w:pPr>
      <w:numPr>
        <w:ilvl w:val="0"/>
        <w:numId w:val="4"/>
      </w:numPr>
      <w:spacing w:before="110" w:after="0"/>
      <w:jc w:val="both"/>
    </w:pPr>
    <w:rPr>
      <w:bCs/>
      <w:sz w:val="22"/>
      <w:szCs w:val="20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Testocommento">
    <w:name w:val="Testo commento"/>
    <w:basedOn w:val="Normal"/>
    <w:qFormat/>
    <w:pPr/>
    <w:rPr>
      <w:szCs w:val="20"/>
    </w:rPr>
  </w:style>
  <w:style w:type="paragraph" w:styleId="Testofumetto">
    <w:name w:val="Testo fumetto"/>
    <w:basedOn w:val="Normal"/>
    <w:qFormat/>
    <w:pPr/>
    <w:rPr>
      <w:rFonts w:ascii="Tahoma" w:hAnsi="Tahoma" w:cs="Tahoma"/>
      <w:sz w:val="16"/>
      <w:szCs w:val="16"/>
      <w:lang w:val="en-US"/>
    </w:rPr>
  </w:style>
  <w:style w:type="paragraph" w:styleId="PRCBULLET">
    <w:name w:val="PRC BULLET"/>
    <w:basedOn w:val="Normal"/>
    <w:qFormat/>
    <w:pPr>
      <w:widowControl w:val="false"/>
      <w:autoSpaceDE w:val="false"/>
      <w:spacing w:before="60" w:after="72"/>
      <w:ind w:hanging="173" w:start="749" w:end="0"/>
    </w:pPr>
    <w:rPr>
      <w:rFonts w:ascii="CG Times (WN)" w:hAnsi="CG Times (WN)" w:cs="CG Times (WN)"/>
      <w:sz w:val="24"/>
    </w:rPr>
  </w:style>
  <w:style w:type="paragraph" w:styleId="Links12N0">
    <w:name w:val="Links 12 (N0)"/>
    <w:basedOn w:val="Normal"/>
    <w:qFormat/>
    <w:pPr>
      <w:overflowPunct w:val="false"/>
      <w:autoSpaceDE w:val="false"/>
      <w:textAlignment w:val="baseline"/>
    </w:pPr>
    <w:rPr>
      <w:rFonts w:ascii="Arial" w:hAnsi="Arial" w:cs="Arial"/>
      <w:sz w:val="24"/>
      <w:szCs w:val="20"/>
      <w:lang w:val="de-DE"/>
    </w:rPr>
  </w:style>
  <w:style w:type="paragraph" w:styleId="ColorfulList-Accent11">
    <w:name w:val="Colorful List - Accent 11"/>
    <w:basedOn w:val="Normal"/>
    <w:qFormat/>
    <w:pPr>
      <w:ind w:hanging="0" w:start="720" w:end="0"/>
    </w:pPr>
    <w:rPr/>
  </w:style>
  <w:style w:type="paragraph" w:styleId="Paragrafoelenco">
    <w:name w:val="Paragrafo elenco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2026-07-27T07:29:59Z</dcterms:modified>
  <dc:description>MasterComplianceHSQE by Maurizio Gustinicchi Consulting</dc:description>
</cp:coreProperties>
</file>