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OC1"/>
        <w:spacing w:before="120" w:after="0"/>
        <w:rPr>
          <w:rFonts w:ascii="Calibri" w:hAnsi="Calibri" w:cs="Calibri"/>
          <w:i w:val="false"/>
          <w:i w:val="false"/>
          <w:szCs w:val="24"/>
        </w:rPr>
      </w:pPr>
      <w:r>
        <w:rPr>
          <w:rFonts w:cs="Calibri" w:ascii="Calibri" w:hAnsi="Calibri"/>
          <w:i w:val="false"/>
          <w:szCs w:val="24"/>
        </w:rPr>
      </w:r>
    </w:p>
    <w:p>
      <w:pPr>
        <w:pStyle w:val="TOC1"/>
        <w:rPr>
          <w:rFonts w:ascii="Calibri" w:hAnsi="Calibri" w:cs="Calibri"/>
          <w:i w:val="false"/>
          <w:i w:val="false"/>
          <w:szCs w:val="24"/>
        </w:rPr>
      </w:pPr>
      <w:r>
        <w:rPr>
          <w:rFonts w:cs="Calibri" w:ascii="Calibri" w:hAnsi="Calibri"/>
          <w:i w:val="false"/>
          <w:szCs w:val="24"/>
        </w:rPr>
        <w:t>INDICE</w:t>
      </w:r>
    </w:p>
    <w:p>
      <w:pPr>
        <w:pStyle w:val="TOC1"/>
        <w:rPr>
          <w:rFonts w:ascii="Calibri" w:hAnsi="Calibri" w:cs="Calibri"/>
          <w:i w:val="false"/>
          <w:i w:val="false"/>
          <w:szCs w:val="24"/>
        </w:rPr>
      </w:pPr>
      <w:r>
        <w:rPr>
          <w:rFonts w:cs="Calibri" w:ascii="Calibri" w:hAnsi="Calibri"/>
          <w:i w:val="false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jc w:val="start"/>
            <w:rPr>
              <w:rFonts w:ascii="Calibri" w:hAnsi="Calibri" w:cs="Calibri"/>
              <w:b w:val="false"/>
              <w:i w:val="false"/>
              <w:i w:val="false"/>
              <w:szCs w:val="24"/>
              <w:lang w:val="en-US" w:eastAsia="en-US"/>
            </w:rPr>
          </w:pPr>
          <w:r>
            <w:fldChar w:fldCharType="begin"/>
          </w:r>
          <w:r>
            <w:rPr>
              <w:i w:val="false"/>
              <w:b w:val="false"/>
              <w:szCs w:val="24"/>
              <w:rFonts w:cs="Calibri" w:ascii="Calibri" w:hAnsi="Calibri"/>
              <w:lang w:val="en-US" w:eastAsia="en-US"/>
            </w:rPr>
            <w:instrText xml:space="preserve"> TOC \o "1-3" </w:instrText>
          </w:r>
          <w:r>
            <w:rPr>
              <w:i w:val="false"/>
              <w:b w:val="false"/>
              <w:szCs w:val="24"/>
              <w:rFonts w:cs="Calibri" w:ascii="Calibri" w:hAnsi="Calibri"/>
              <w:lang w:val="en-US" w:eastAsia="en-US"/>
            </w:rPr>
            <w:fldChar w:fldCharType="separate"/>
          </w:r>
          <w:r>
            <w:rPr>
              <w:rFonts w:cs="Calibri" w:ascii="Calibri" w:hAnsi="Calibri"/>
              <w:b w:val="false"/>
              <w:i w:val="false"/>
              <w:szCs w:val="24"/>
              <w:lang w:val="en-US" w:eastAsia="en-US"/>
            </w:rPr>
            <w:t>1. SCOPO E GENERALITA</w:t>
            <w:tab/>
          </w:r>
          <w:hyperlink w:anchor="__RefHeading___Toc507054398">
            <w:r>
              <w:rPr>
                <w:rStyle w:val="IndexLink"/>
                <w:rFonts w:cs="Calibri" w:ascii="Calibri" w:hAnsi="Calibri"/>
                <w:b w:val="false"/>
                <w:i w:val="false"/>
                <w:szCs w:val="24"/>
                <w:lang w:val="en-US" w:eastAsia="en-US"/>
              </w:rPr>
              <w:t>2</w:t>
            </w:r>
          </w:hyperlink>
        </w:p>
        <w:p>
          <w:pPr>
            <w:pStyle w:val="TOC1"/>
            <w:jc w:val="start"/>
            <w:rPr>
              <w:rFonts w:ascii="Calibri" w:hAnsi="Calibri" w:cs="Calibri"/>
              <w:b w:val="false"/>
              <w:i w:val="false"/>
              <w:i w:val="false"/>
              <w:szCs w:val="24"/>
              <w:lang w:val="en-US" w:eastAsia="en-US"/>
            </w:rPr>
          </w:pPr>
          <w:r>
            <w:rPr>
              <w:rFonts w:cs="Calibri" w:ascii="Calibri" w:hAnsi="Calibri"/>
              <w:b w:val="false"/>
              <w:i w:val="false"/>
              <w:szCs w:val="24"/>
              <w:lang w:val="en-US" w:eastAsia="en-US"/>
            </w:rPr>
            <w:t>2. DESCRIZIONE DELLE ATTIVITA' E RESPONSABILITA'</w:t>
            <w:tab/>
          </w:r>
          <w:hyperlink w:anchor="__RefHeading___Toc507054399">
            <w:r>
              <w:rPr>
                <w:rStyle w:val="IndexLink"/>
                <w:rFonts w:cs="Calibri" w:ascii="Calibri" w:hAnsi="Calibri"/>
                <w:b w:val="false"/>
                <w:i w:val="false"/>
                <w:szCs w:val="24"/>
                <w:lang w:val="en-US" w:eastAsia="en-US"/>
              </w:rPr>
              <w:t>2</w:t>
            </w:r>
          </w:hyperlink>
        </w:p>
        <w:p>
          <w:pPr>
            <w:pStyle w:val="TOC1"/>
            <w:jc w:val="start"/>
            <w:rPr/>
          </w:pPr>
          <w:r>
            <w:rPr>
              <w:rFonts w:cs="Calibri" w:ascii="Calibri" w:hAnsi="Calibri"/>
              <w:b w:val="false"/>
              <w:i w:val="false"/>
              <w:szCs w:val="24"/>
              <w:lang w:val="en-US" w:eastAsia="en-US"/>
            </w:rPr>
            <w:t>3. ARCHIVIAZIONE E CONSERVAZIONE________________________________________________3</w:t>
          </w:r>
          <w:r>
            <w:rPr>
              <w:i w:val="false"/>
              <w:b w:val="false"/>
              <w:szCs w:val="24"/>
              <w:rFonts w:cs="Calibri" w:ascii="Calibri" w:hAnsi="Calibri"/>
              <w:lang w:val="en-US" w:eastAsia="en-US"/>
            </w:rPr>
            <w:fldChar w:fldCharType="end"/>
          </w:r>
        </w:p>
        <w:p>
          <w:pPr>
            <w:sectPr>
              <w:headerReference w:type="default" r:id="rId2"/>
              <w:headerReference w:type="first" r:id="rId3"/>
              <w:footerReference w:type="default" r:id="rId4"/>
              <w:footerReference w:type="first" r:id="rId5"/>
              <w:type w:val="nextPage"/>
              <w:pgSz w:w="11906" w:h="16838"/>
              <w:pgMar w:left="1134" w:right="1134" w:gutter="0" w:header="720" w:top="1729" w:footer="89" w:bottom="1134"/>
              <w:pgNumType w:fmt="decimal"/>
              <w:formProt w:val="false"/>
              <w:titlePg/>
              <w:textDirection w:val="lrTb"/>
              <w:docGrid w:type="default" w:linePitch="360" w:charSpace="0"/>
            </w:sectPr>
          </w:pPr>
        </w:p>
      </w:sdtContent>
    </w:sdt>
    <w:p>
      <w:pPr>
        <w:pStyle w:val="TOC1"/>
        <w:jc w:val="start"/>
        <w:rPr/>
      </w:pPr>
      <w:bookmarkStart w:id="0" w:name="__RefHeading___Toc507054398"/>
      <w:bookmarkEnd w:id="0"/>
      <w:r>
        <w:rPr>
          <w:rFonts w:cs="Calibri" w:ascii="Calibri" w:hAnsi="Calibri"/>
          <w:i w:val="false"/>
          <w:szCs w:val="24"/>
        </w:rPr>
        <w:t xml:space="preserve">1. </w:t>
      </w:r>
      <w:r>
        <w:rPr>
          <w:rFonts w:cs="Calibri" w:ascii="Calibri" w:hAnsi="Calibri"/>
          <w:i w:val="false"/>
          <w:caps/>
          <w:szCs w:val="24"/>
        </w:rPr>
        <w:t>Scopo e generalità</w:t>
      </w:r>
    </w:p>
    <w:p>
      <w:pPr>
        <w:pStyle w:val="Normal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 xml:space="preserve">La presente procedura descrive in forma sintetica le attività collegate alla gestione, conservazione ed archiviazione della documentazione normativa e legislativa. </w:t>
      </w:r>
    </w:p>
    <w:p>
      <w:pPr>
        <w:pStyle w:val="Heading1"/>
        <w:rPr>
          <w:rFonts w:ascii="Calibri" w:hAnsi="Calibri" w:cs="Tahoma"/>
          <w:i w:val="false"/>
          <w:i w:val="false"/>
          <w:sz w:val="24"/>
          <w:szCs w:val="24"/>
        </w:rPr>
      </w:pPr>
      <w:bookmarkStart w:id="1" w:name="__RefHeading___Toc507054399"/>
      <w:r>
        <w:rPr>
          <w:rFonts w:cs="Tahoma" w:ascii="Calibri" w:hAnsi="Calibri"/>
          <w:i w:val="false"/>
          <w:sz w:val="24"/>
          <w:szCs w:val="24"/>
        </w:rPr>
        <w:t xml:space="preserve">2. </w:t>
      </w:r>
      <w:bookmarkEnd w:id="1"/>
      <w:r>
        <w:rPr>
          <w:rFonts w:cs="Tahoma" w:ascii="Calibri" w:hAnsi="Calibri"/>
          <w:i w:val="false"/>
          <w:sz w:val="24"/>
          <w:szCs w:val="24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1596390</wp:posOffset>
                </wp:positionH>
                <wp:positionV relativeFrom="paragraph">
                  <wp:posOffset>1427480</wp:posOffset>
                </wp:positionV>
                <wp:extent cx="0" cy="270510"/>
                <wp:effectExtent l="38100" t="0" r="3810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0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7pt,112.4pt" to="125.7pt,133.6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w:t>DESCRIZIONE DELLE ATTIVITA’ E RESPONSABILITA’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3394710</wp:posOffset>
                </wp:positionH>
                <wp:positionV relativeFrom="paragraph">
                  <wp:posOffset>745490</wp:posOffset>
                </wp:positionV>
                <wp:extent cx="2975610" cy="634428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63442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4395" w:type="dxa"/>
                              <w:jc w:val="start"/>
                              <w:tblInd w:w="70" w:type="dxa"/>
                              <w:tblLayout w:type="fixed"/>
                              <w:tblCellMar>
                                <w:top w:w="0" w:type="dxa"/>
                                <w:start w:w="70" w:type="dxa"/>
                                <w:bottom w:w="0" w:type="dxa"/>
                                <w:end w:w="70" w:type="dxa"/>
                              </w:tblCellMar>
                            </w:tblPr>
                            <w:tblGrid>
                              <w:gridCol w:w="1560"/>
                              <w:gridCol w:w="2835"/>
                            </w:tblGrid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</w:rPr>
                                    <w:t>Responsabili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</w:rPr>
                                    <w:t>Attività / Registrazioni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2" w:hRule="atLeast"/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RSGQ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RSGQ raccoglie tutte la documentazione 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3" w:hRule="atLeast"/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RSGQ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Viene predisposto un elenco di tutta la documentazione, 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20"/>
                                    </w:rPr>
                                    <w:t>Mod.2.1.1 Elenco /  Archivio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1" w:hRule="atLeast"/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RSGQ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Almeno annualmente viene verificata la validità delle normativa presente in azienda, attraverso consultazione di banche dati, internet e pubblicazioni specializzate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RSGQ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Viene acquistata/reperita la versione aggiornata o nuova della normativa/legge 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RSGQ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Viene tolta la versione superata e aggiunta quella nuova all’elenco. 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RSGQ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Al termine del controlla firmano l’elenco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20"/>
                                    </w:rPr>
                                    <w:t>Mod. 2.1.1 Elenco e Archivio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4.3pt;height:499.55pt;mso-wrap-distance-left:9.05pt;mso-wrap-distance-right:9.05pt;mso-wrap-distance-top:0pt;mso-wrap-distance-bottom:0pt;margin-top:58.7pt;mso-position-vertical-relative:text;margin-left:267.3pt;mso-position-horizontal-relative:text">
                <v:textbox inset="0.100694444444444in,0.0506944444444444in,0.100694444444444in,0.0506944444444444in">
                  <w:txbxContent>
                    <w:tbl>
                      <w:tblPr>
                        <w:tblW w:w="4395" w:type="dxa"/>
                        <w:jc w:val="start"/>
                        <w:tblInd w:w="70" w:type="dxa"/>
                        <w:tblLayout w:type="fixed"/>
                        <w:tblCellMar>
                          <w:top w:w="0" w:type="dxa"/>
                          <w:start w:w="70" w:type="dxa"/>
                          <w:bottom w:w="0" w:type="dxa"/>
                          <w:end w:w="70" w:type="dxa"/>
                        </w:tblCellMar>
                      </w:tblPr>
                      <w:tblGrid>
                        <w:gridCol w:w="1560"/>
                        <w:gridCol w:w="2835"/>
                      </w:tblGrid>
                      <w:tr>
                        <w:trPr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Responsabili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Attività / Registrazioni</w:t>
                            </w:r>
                          </w:p>
                        </w:tc>
                      </w:tr>
                      <w:tr>
                        <w:trPr>
                          <w:trHeight w:val="682" w:hRule="atLeast"/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RSGQ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RSGQ raccoglie tutte la documentazione  </w:t>
                            </w:r>
                          </w:p>
                        </w:tc>
                      </w:tr>
                      <w:tr>
                        <w:trPr>
                          <w:trHeight w:val="643" w:hRule="atLeast"/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RSGQ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Viene predisposto un elenco di tutta la documentazione, 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sz w:val="20"/>
                              </w:rPr>
                              <w:t>Mod.2.1.1 Elenco /  Archivio</w:t>
                            </w:r>
                          </w:p>
                        </w:tc>
                      </w:tr>
                      <w:tr>
                        <w:trPr>
                          <w:trHeight w:val="1911" w:hRule="atLeast"/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RSGQ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Almeno annualmente viene verificata la validità delle normativa presente in azienda, attraverso consultazione di banche dati, internet e pubblicazioni specializzate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RSGQ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Viene acquistata/reperita la versione aggiornata o nuova della normativa/legge 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RSGQ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Viene tolta la versione superata e aggiunta quella nuova all’elenco. 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RSGQ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Al termine del controlla firmano l’elenco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sz w:val="20"/>
                              </w:rPr>
                              <w:t>Mod. 2.1.1 Elenco e Archivio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690245</wp:posOffset>
                </wp:positionH>
                <wp:positionV relativeFrom="paragraph">
                  <wp:posOffset>791845</wp:posOffset>
                </wp:positionV>
                <wp:extent cx="1812290" cy="64008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90" cy="64008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Raccolta documentazione tecnica e normativa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2.7pt;height:50.4pt;mso-wrap-distance-left:9.05pt;mso-wrap-distance-right:9.05pt;mso-wrap-distance-top:0pt;mso-wrap-distance-bottom:0pt;margin-top:62.35pt;mso-position-vertical-relative:text;margin-left:54.3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Raccolta documentazione tecnica e normativa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690245</wp:posOffset>
                </wp:positionH>
                <wp:positionV relativeFrom="paragraph">
                  <wp:posOffset>1693545</wp:posOffset>
                </wp:positionV>
                <wp:extent cx="1812290" cy="640080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90" cy="64008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Predisposizione elenco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2.7pt;height:50.4pt;mso-wrap-distance-left:9.05pt;mso-wrap-distance-right:9.05pt;mso-wrap-distance-top:0pt;mso-wrap-distance-bottom:0pt;margin-top:133.35pt;mso-position-vertical-relative:text;margin-left:54.3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Predisposizione elenco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i/>
          <w:i/>
          <w:sz w:val="24"/>
          <w:szCs w:val="24"/>
        </w:rPr>
      </w:pPr>
      <w:r>
        <w:rPr>
          <w:rFonts w:cs="Calibri" w:ascii="Calibri" w:hAnsi="Calibri"/>
          <w:i/>
          <w:sz w:val="24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1596390</wp:posOffset>
                </wp:positionH>
                <wp:positionV relativeFrom="paragraph">
                  <wp:posOffset>43815</wp:posOffset>
                </wp:positionV>
                <wp:extent cx="0" cy="659130"/>
                <wp:effectExtent l="38100" t="0" r="3810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59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7pt,3.45pt" to="125.7pt,55.3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477520</wp:posOffset>
                </wp:positionH>
                <wp:positionV relativeFrom="paragraph">
                  <wp:posOffset>138430</wp:posOffset>
                </wp:positionV>
                <wp:extent cx="2254250" cy="1532890"/>
                <wp:effectExtent l="8890" t="6350" r="9525" b="6985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320" cy="15328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0"/>
                                <w:rFonts w:ascii="Calibri" w:hAnsi="Calibri" w:eastAsia="Times New Roman" w:cs="Calibri"/>
                                <w:color w:val="auto"/>
                                <w:lang w:val="it-IT" w:bidi="ar-SA"/>
                              </w:rPr>
                              <w:t>Valutazione aggiornamento normativa. Tutto Ok?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,10800l10800,l21600,10800l10800,21600xe">
                <v:stroke joinstyle="miter"/>
                <v:formulas>
                  <v:f eqn="prod width 3 4"/>
                  <v:f eqn="prod height 3 4"/>
                </v:formulas>
                <v:path gradientshapeok="t" o:connecttype="rect" textboxrect="5400,5400,@0,@1"/>
              </v:shapetype>
              <v:shape id="shape_0" fillcolor="white" stroked="t" o:allowincell="f" style="position:absolute;margin-left:37.6pt;margin-top:10.9pt;width:177.45pt;height:120.65pt;mso-wrap-style:square;v-text-anchor:top" type="_x0000_t4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24"/>
                          <w:szCs w:val="20"/>
                          <w:rFonts w:ascii="Calibri" w:hAnsi="Calibri" w:eastAsia="Times New Roman" w:cs="Calibri"/>
                          <w:color w:val="auto"/>
                          <w:lang w:val="it-IT" w:bidi="ar-SA"/>
                        </w:rPr>
                        <w:t>Valutazione aggiornamento normativa. Tutto Ok?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-88900</wp:posOffset>
                </wp:positionH>
                <wp:positionV relativeFrom="paragraph">
                  <wp:posOffset>159385</wp:posOffset>
                </wp:positionV>
                <wp:extent cx="591820" cy="0"/>
                <wp:effectExtent l="0" t="508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1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pt,12.55pt" to="39.55pt,12.55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-88900</wp:posOffset>
                </wp:positionH>
                <wp:positionV relativeFrom="paragraph">
                  <wp:posOffset>159385</wp:posOffset>
                </wp:positionV>
                <wp:extent cx="8890" cy="3123565"/>
                <wp:effectExtent l="5080" t="635" r="5080" b="635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3123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pt,12.55pt" to="-6.35pt,258.4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1270</wp:posOffset>
                </wp:positionH>
                <wp:positionV relativeFrom="paragraph">
                  <wp:posOffset>120015</wp:posOffset>
                </wp:positionV>
                <wp:extent cx="631190" cy="270510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2705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Si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.7pt;height:21.3pt;mso-wrap-distance-left:9.05pt;mso-wrap-distance-right:9.05pt;mso-wrap-distance-top:0pt;mso-wrap-distance-bottom:0pt;margin-top:9.45pt;mso-position-vertical-relative:text;margin-left:0.1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Si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1624330</wp:posOffset>
                </wp:positionH>
                <wp:positionV relativeFrom="paragraph">
                  <wp:posOffset>28575</wp:posOffset>
                </wp:positionV>
                <wp:extent cx="0" cy="468630"/>
                <wp:effectExtent l="38100" t="0" r="38100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68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9pt,2.25pt" to="127.9pt,39.1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1804670</wp:posOffset>
                </wp:positionH>
                <wp:positionV relativeFrom="paragraph">
                  <wp:posOffset>135255</wp:posOffset>
                </wp:positionV>
                <wp:extent cx="631190" cy="270510"/>
                <wp:effectExtent l="0" t="0" r="0" b="0"/>
                <wp:wrapNone/>
                <wp:docPr id="11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2705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No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.7pt;height:21.3pt;mso-wrap-distance-left:9.05pt;mso-wrap-distance-right:9.05pt;mso-wrap-distance-top:0pt;mso-wrap-distance-bottom:0pt;margin-top:10.65pt;mso-position-vertical-relative:text;margin-left:142.1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No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628015</wp:posOffset>
                </wp:positionH>
                <wp:positionV relativeFrom="paragraph">
                  <wp:posOffset>140970</wp:posOffset>
                </wp:positionV>
                <wp:extent cx="1812290" cy="640080"/>
                <wp:effectExtent l="0" t="0" r="0" b="0"/>
                <wp:wrapNone/>
                <wp:docPr id="12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90" cy="64008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Reperimento nuova versione norma/legge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2.7pt;height:50.4pt;mso-wrap-distance-left:9.05pt;mso-wrap-distance-right:9.05pt;mso-wrap-distance-top:0pt;mso-wrap-distance-bottom:0pt;margin-top:11.1pt;mso-position-vertical-relative:text;margin-left:49.4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Reperimento nuova versione norma/legge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1611630</wp:posOffset>
                </wp:positionH>
                <wp:positionV relativeFrom="paragraph">
                  <wp:posOffset>41275</wp:posOffset>
                </wp:positionV>
                <wp:extent cx="0" cy="297180"/>
                <wp:effectExtent l="38100" t="0" r="38100" b="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7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9pt,3.25pt" to="126.9pt,26.6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628015</wp:posOffset>
                </wp:positionH>
                <wp:positionV relativeFrom="paragraph">
                  <wp:posOffset>175260</wp:posOffset>
                </wp:positionV>
                <wp:extent cx="1812290" cy="447040"/>
                <wp:effectExtent l="0" t="0" r="0" b="0"/>
                <wp:wrapNone/>
                <wp:docPr id="14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90" cy="4470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Aggiornamento Elenco,  aggiornamento archivio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2.7pt;height:35.2pt;mso-wrap-distance-left:9.05pt;mso-wrap-distance-right:9.05pt;mso-wrap-distance-top:0pt;mso-wrap-distance-bottom:0pt;margin-top:13.8pt;mso-position-vertical-relative:text;margin-left:49.4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Aggiornamento Elenco,  aggiornamento archivio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Cs w:val="24"/>
          <w:lang w:val="en-US" w:eastAsia="en-US"/>
        </w:rPr>
      </w:pPr>
      <w:r>
        <w:rPr>
          <w:rFonts w:cs="Calibri" w:ascii="Calibri" w:hAnsi="Calibri"/>
          <w:b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1606550</wp:posOffset>
                </wp:positionH>
                <wp:positionV relativeFrom="paragraph">
                  <wp:posOffset>66040</wp:posOffset>
                </wp:positionV>
                <wp:extent cx="0" cy="366395"/>
                <wp:effectExtent l="38100" t="0" r="38100" b="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64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5pt,5.2pt" to="126.5pt,34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Cs w:val="24"/>
          <w:lang w:val="en-US" w:eastAsia="en-US"/>
        </w:rPr>
      </w:pPr>
      <w:r>
        <w:rPr>
          <w:rFonts w:cs="Calibri" w:ascii="Calibri" w:hAnsi="Calibri"/>
          <w:b/>
          <w:szCs w:val="24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Cs w:val="24"/>
          <w:lang w:val="en-US" w:eastAsia="en-US"/>
        </w:rPr>
      </w:pPr>
      <w:r>
        <w:rPr>
          <w:rFonts w:cs="Calibri" w:ascii="Calibri" w:hAnsi="Calibri"/>
          <w:b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-80010</wp:posOffset>
                </wp:positionH>
                <wp:positionV relativeFrom="paragraph">
                  <wp:posOffset>132715</wp:posOffset>
                </wp:positionV>
                <wp:extent cx="721360" cy="0"/>
                <wp:effectExtent l="0" t="38100" r="0" b="38100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4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.3pt,10.45pt" to="50.45pt,10.4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628015</wp:posOffset>
                </wp:positionH>
                <wp:positionV relativeFrom="paragraph">
                  <wp:posOffset>59690</wp:posOffset>
                </wp:positionV>
                <wp:extent cx="1812290" cy="283210"/>
                <wp:effectExtent l="0" t="0" r="0" b="0"/>
                <wp:wrapNone/>
                <wp:docPr id="1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90" cy="28321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Firma Elenco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2.7pt;height:22.3pt;mso-wrap-distance-left:9.05pt;mso-wrap-distance-right:9.05pt;mso-wrap-distance-top:0pt;mso-wrap-distance-bottom:0pt;margin-top:4.7pt;mso-position-vertical-relative:text;margin-left:49.4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Firma Elenco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Cs w:val="24"/>
          <w:lang w:val="en-US" w:eastAsia="en-US"/>
        </w:rPr>
      </w:pPr>
      <w:r>
        <w:rPr>
          <w:rFonts w:cs="Calibri" w:ascii="Calibri" w:hAnsi="Calibri"/>
          <w:b/>
          <w:szCs w:val="24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Cs w:val="24"/>
          <w:lang w:val="en-US" w:eastAsia="en-US"/>
        </w:rPr>
      </w:pPr>
      <w:r>
        <w:rPr>
          <w:rFonts w:cs="Calibri" w:ascii="Calibri" w:hAnsi="Calibri"/>
          <w:b/>
          <w:szCs w:val="24"/>
          <w:lang w:val="en-US" w:eastAsia="en-US"/>
        </w:rPr>
      </w:r>
    </w:p>
    <w:p>
      <w:pPr>
        <w:pStyle w:val="Heading1"/>
        <w:rPr>
          <w:rFonts w:ascii="Calibri" w:hAnsi="Calibri" w:cs="Tahoma"/>
          <w:i w:val="false"/>
          <w:i w:val="false"/>
          <w:sz w:val="24"/>
          <w:szCs w:val="24"/>
        </w:rPr>
      </w:pPr>
      <w:r>
        <w:rPr>
          <w:rFonts w:cs="Tahoma" w:ascii="Calibri" w:hAnsi="Calibri"/>
          <w:i w:val="false"/>
          <w:sz w:val="24"/>
          <w:szCs w:val="24"/>
        </w:rPr>
        <w:t xml:space="preserve">3. ARCHIVIAZIONE E CONSERVAZIONE </w:t>
      </w:r>
    </w:p>
    <w:tbl>
      <w:tblPr>
        <w:tblW w:w="9497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51"/>
        <w:gridCol w:w="567"/>
        <w:gridCol w:w="709"/>
        <w:gridCol w:w="425"/>
        <w:gridCol w:w="850"/>
        <w:gridCol w:w="1134"/>
        <w:gridCol w:w="1134"/>
        <w:gridCol w:w="993"/>
        <w:gridCol w:w="850"/>
        <w:gridCol w:w="992"/>
        <w:gridCol w:w="992"/>
      </w:tblGrid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Descrizione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Registrazione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Origine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Id.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RQ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Resp.</w:t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Approvazione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Registraz ed Archiviaz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Luogo</w:t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Archiviaz ed accesso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Resp. Eliminazione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Tempo di archiviaz.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Protezione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Destinazione</w:t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Finale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Elenco e archivio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fr-FR" w:eastAsia="it-IT"/>
              </w:rPr>
            </w:pPr>
            <w:r>
              <w:rPr>
                <w:rFonts w:cs="Calibri" w:ascii="Calibri" w:hAnsi="Calibri"/>
                <w:szCs w:val="24"/>
                <w:lang w:val="fr-FR" w:eastAsia="it-IT"/>
              </w:rPr>
              <w:t>INT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fr-FR" w:eastAsia="it-IT"/>
              </w:rPr>
            </w:pPr>
            <w:r>
              <w:rPr>
                <w:rFonts w:cs="Calibri" w:ascii="Calibri" w:hAnsi="Calibri"/>
                <w:szCs w:val="24"/>
                <w:lang w:val="fr-FR" w:eastAsia="it-IT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fr-FR" w:eastAsia="it-IT"/>
              </w:rPr>
            </w:pPr>
            <w:r>
              <w:rPr>
                <w:rFonts w:cs="Calibri" w:ascii="Calibri" w:hAnsi="Calibri"/>
                <w:szCs w:val="24"/>
                <w:lang w:val="fr-FR" w:eastAsia="it-IT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  <w:lang w:val="fr-FR"/>
              </w:rPr>
            </w:pPr>
            <w:r>
              <w:rPr>
                <w:rFonts w:cs="Calibri" w:ascii="Calibri" w:hAnsi="Calibri"/>
                <w:szCs w:val="24"/>
                <w:lang w:val="fr-FR"/>
              </w:rPr>
              <w:t>Mod.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  <w:lang w:val="fr-FR"/>
              </w:rPr>
              <w:t>2.1.1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spacing w:before="240" w:after="60"/>
              <w:ind w:hanging="0" w:start="0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X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</w:r>
          </w:p>
          <w:p>
            <w:pPr>
              <w:pStyle w:val="Normal"/>
              <w:rPr>
                <w:rFonts w:ascii="Calibri" w:hAnsi="Calibri" w:cs="Calibri"/>
                <w:szCs w:val="24"/>
                <w:lang w:val="fr-FR"/>
              </w:rPr>
            </w:pPr>
            <w:r>
              <w:rPr>
                <w:rFonts w:cs="Calibri" w:ascii="Calibri" w:hAnsi="Calibri"/>
                <w:szCs w:val="24"/>
                <w:lang w:val="fr-FR"/>
              </w:rPr>
              <w:t>RSGQ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Cs w:val="24"/>
                <w:lang w:val="fr-FR"/>
              </w:rPr>
            </w:pPr>
            <w:r>
              <w:rPr>
                <w:rFonts w:cs="Calibri" w:ascii="Calibri" w:hAnsi="Calibri"/>
                <w:szCs w:val="24"/>
                <w:lang w:val="fr-FR"/>
              </w:rPr>
            </w:r>
          </w:p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  <w:lang w:val="fr-FR"/>
              </w:rPr>
              <w:t>RSGQ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 xml:space="preserve">Ufficio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(accesso libero)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snapToGrid w:val="false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fr-FR" w:eastAsia="it-IT"/>
              </w:rPr>
              <w:t>RSGQ</w:t>
            </w:r>
            <w:r>
              <w:rPr>
                <w:rFonts w:cs="Calibri" w:ascii="Calibri" w:hAnsi="Calibri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indeterminato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Supp. Attività operative Riesame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</w:r>
    </w:p>
    <w:tbl>
      <w:tblPr>
        <w:tblW w:w="9498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87"/>
        <w:gridCol w:w="7111"/>
      </w:tblGrid>
      <w:tr>
        <w:trPr>
          <w:trHeight w:val="414" w:hRule="atLeast"/>
        </w:trPr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Responsabile di Processo</w:t>
            </w:r>
          </w:p>
        </w:tc>
        <w:tc>
          <w:tcPr>
            <w:tcW w:w="71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RSGQ</w:t>
            </w:r>
          </w:p>
          <w:p>
            <w:pPr>
              <w:pStyle w:val="Normal"/>
              <w:jc w:val="both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Cs w:val="24"/>
          <w:u w:val="single"/>
          <w:lang w:val="en-US" w:eastAsia="en-US"/>
        </w:rPr>
      </w:pPr>
      <w:r>
        <w:rPr>
          <w:rFonts w:cs="Calibri" w:ascii="Calibri" w:hAnsi="Calibri"/>
          <w:b/>
          <w:szCs w:val="24"/>
          <w:u w:val="single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Cs w:val="24"/>
          <w:u w:val="single"/>
          <w:lang w:val="en-US" w:eastAsia="en-US"/>
        </w:rPr>
      </w:pPr>
      <w:r>
        <w:rPr>
          <w:rFonts w:cs="Calibri" w:ascii="Calibri" w:hAnsi="Calibri"/>
          <w:b/>
          <w:szCs w:val="24"/>
          <w:u w:val="single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Cs w:val="24"/>
          <w:u w:val="single"/>
          <w:lang w:val="en-US" w:eastAsia="en-US"/>
        </w:rPr>
      </w:pPr>
      <w:r>
        <w:rPr>
          <w:rFonts w:cs="Calibri" w:ascii="Calibri" w:hAnsi="Calibri"/>
          <w:b/>
          <w:szCs w:val="24"/>
          <w:u w:val="single"/>
          <w:lang w:val="en-US" w:eastAsia="en-US"/>
        </w:rPr>
      </w:r>
    </w:p>
    <w:p>
      <w:pPr>
        <w:pStyle w:val="Normal"/>
        <w:rPr>
          <w:rFonts w:ascii="Calibri" w:hAnsi="Calibri" w:cs="Calibri"/>
          <w:szCs w:val="24"/>
          <w:lang w:val="en-US" w:eastAsia="en-US"/>
        </w:rPr>
      </w:pPr>
      <w:r>
        <w:rPr>
          <w:rFonts w:cs="Calibri" w:ascii="Calibri" w:hAnsi="Calibri"/>
          <w:szCs w:val="24"/>
          <w:lang w:val="en-US" w:eastAsia="en-US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tabs>
          <w:tab w:val="clear" w:pos="708"/>
          <w:tab w:val="left" w:pos="6975" w:leader="none"/>
        </w:tabs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ab/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1134" w:right="1134" w:gutter="0" w:header="720" w:top="1729" w:footer="8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Monotype Sort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009"/>
      <w:gridCol w:w="1701"/>
    </w:tblGrid>
    <w:tr>
      <w:trPr>
        <w:trHeight w:val="293" w:hRule="atLeast"/>
      </w:trPr>
      <w:tc>
        <w:tcPr>
          <w:tcW w:w="800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2.1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0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3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961"/>
      <w:gridCol w:w="3403"/>
      <w:gridCol w:w="1276"/>
    </w:tblGrid>
    <w:tr>
      <w:trPr>
        <w:trHeight w:val="400" w:hRule="atLeast"/>
      </w:trPr>
      <w:tc>
        <w:tcPr>
          <w:tcW w:w="496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en-US" w:eastAsia="it-IT"/>
            </w:rPr>
          </w:pPr>
          <w:r>
            <w:rPr>
              <w:rFonts w:cs="Calibri" w:ascii="Calibri" w:hAnsi="Calibri"/>
              <w:szCs w:val="24"/>
              <w:lang w:val="en-US" w:eastAsia="it-IT"/>
            </w:rPr>
            <w:t xml:space="preserve">ELABORATO </w:t>
          </w:r>
          <w:r>
            <w:rPr>
              <w:rFonts w:cs="Tahoma" w:ascii="Calibri" w:hAnsi="Calibri"/>
              <w:color w:val="000000"/>
              <w:szCs w:val="24"/>
              <w:lang w:val="en-US" w:eastAsia="it-IT"/>
            </w:rPr>
            <w:t>My Advisor S.r.l.</w:t>
          </w:r>
        </w:p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>DATA: 22/01/2019</w:t>
          </w:r>
        </w:p>
      </w:tc>
      <w:tc>
        <w:tcPr>
          <w:tcW w:w="4679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 xml:space="preserve">APPROVATO </w:t>
          </w:r>
        </w:p>
        <w:p>
          <w:pPr>
            <w:pStyle w:val="Footer"/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>DATA: 22/01/2019</w:t>
          </w:r>
        </w:p>
      </w:tc>
    </w:tr>
    <w:tr>
      <w:trPr>
        <w:trHeight w:val="293" w:hRule="atLeast"/>
      </w:trPr>
      <w:tc>
        <w:tcPr>
          <w:tcW w:w="8364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2.1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1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3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009"/>
      <w:gridCol w:w="1701"/>
    </w:tblGrid>
    <w:tr>
      <w:trPr>
        <w:trHeight w:val="293" w:hRule="atLeast"/>
      </w:trPr>
      <w:tc>
        <w:tcPr>
          <w:tcW w:w="800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2.1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center"/>
            <w:rPr/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3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3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r>
      <w:t>MasterComplianceHSQE by Maurizio Gustinicchi Consulting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009"/>
      <w:gridCol w:w="1701"/>
    </w:tblGrid>
    <w:tr>
      <w:trPr>
        <w:trHeight w:val="293" w:hRule="atLeast"/>
      </w:trPr>
      <w:tc>
        <w:tcPr>
          <w:tcW w:w="800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2.1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2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3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120"/>
            <w:ind w:hanging="0" w:start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2.1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DELLA DOCUMENTAZIONE NORMATIVA E LEGISLATIVA</w:t>
          </w:r>
        </w:p>
      </w:tc>
    </w:tr>
  </w:tbl>
  <w:p>
    <w:pPr>
      <w:pStyle w:val="Header"/>
      <w:rPr>
        <w:rFonts w:ascii="Tahoma" w:hAnsi="Tahoma" w:cs="Tahoma"/>
      </w:rPr>
    </w:pPr>
    <w:r>
      <w:rPr>
        <w:rFonts w:cs="Tahoma" w:ascii="Tahoma" w:hAnsi="Tahom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120"/>
            <w:ind w:hanging="0" w:start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2.1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DELLA DOCUMENTAZIONE NORMATIVA E LEGISLATIVA</w:t>
          </w:r>
        </w:p>
      </w:tc>
    </w:tr>
  </w:tbl>
  <w:p>
    <w:pPr>
      <w:pStyle w:val="Header"/>
      <w:rPr>
        <w:sz w:val="4"/>
      </w:rPr>
    </w:pPr>
    <w:r>
      <w:rPr>
        <w:sz w:val="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120"/>
            <w:ind w:hanging="0" w:start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2.1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DELLA DOCUMENTAZIONE NORMATIVA E LEGISLATIVA</w:t>
          </w:r>
        </w:p>
      </w:tc>
    </w:tr>
  </w:tbl>
  <w:p>
    <w:pPr>
      <w:pStyle w:val="Header"/>
      <w:rPr>
        <w:rFonts w:ascii="Tahoma" w:hAnsi="Tahoma" w:cs="Tahoma"/>
      </w:rPr>
    </w:pPr>
    <w:r>
      <w:rPr>
        <w:rFonts w:cs="Tahoma" w:ascii="Tahoma" w:hAnsi="Tahoma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120"/>
            <w:ind w:hanging="0" w:start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2.1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DELLA DOCUMENTAZIONE NORMATIVA E LEGISLATIVA</w:t>
          </w:r>
        </w:p>
      </w:tc>
    </w:tr>
  </w:tbl>
  <w:p>
    <w:pPr>
      <w:pStyle w:val="Header"/>
      <w:rPr>
        <w:sz w:val="4"/>
      </w:rPr>
    </w:pPr>
    <w:r>
      <w:rPr>
        <w:sz w:val="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418" w:leader="none"/>
      </w:tabs>
      <w:spacing w:before="480" w:after="480"/>
      <w:ind w:hanging="0" w:start="0" w:end="-142"/>
      <w:outlineLvl w:val="0"/>
    </w:pPr>
    <w:rPr>
      <w:rFonts w:ascii="Arial" w:hAnsi="Arial" w:cs="Arial"/>
      <w:b/>
      <w:i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spacing w:before="240" w:after="120"/>
      <w:jc w:val="both"/>
      <w:outlineLvl w:val="1"/>
    </w:pPr>
    <w:rPr>
      <w:rFonts w:ascii="Arial" w:hAnsi="Arial" w:cs="Arial"/>
      <w:smallCaps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1418" w:leader="none"/>
      </w:tabs>
      <w:spacing w:before="360" w:after="360"/>
      <w:ind w:hanging="0" w:start="0" w:end="-142"/>
      <w:jc w:val="both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spacing w:before="240" w:after="120"/>
      <w:outlineLvl w:val="3"/>
    </w:pPr>
    <w:rPr>
      <w:rFonts w:ascii="Arial" w:hAnsi="Arial" w:cs="Arial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widowControl/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pPr>
      <w:keepNext w:val="true"/>
      <w:widowControl/>
      <w:numPr>
        <w:ilvl w:val="7"/>
        <w:numId w:val="1"/>
      </w:numPr>
      <w:suppressAutoHyphens w:val="true"/>
      <w:spacing w:before="60" w:after="0"/>
      <w:jc w:val="center"/>
      <w:outlineLvl w:val="7"/>
    </w:pPr>
    <w:rPr>
      <w:rFonts w:ascii="Arial" w:hAnsi="Arial" w:cs="Arial"/>
      <w:b/>
      <w:sz w:val="18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uppressAutoHyphens w:val="true"/>
      <w:spacing w:before="60" w:after="0"/>
      <w:ind w:hanging="0" w:start="0" w:end="-70"/>
      <w:jc w:val="center"/>
      <w:outlineLvl w:val="8"/>
    </w:pPr>
    <w:rPr>
      <w:rFonts w:ascii="Arial" w:hAnsi="Arial" w:cs="Arial"/>
      <w:b/>
      <w:sz w:val="18"/>
    </w:rPr>
  </w:style>
  <w:style w:type="character" w:styleId="WW8Num2z0">
    <w:name w:val="WW8Num2z0"/>
    <w:qFormat/>
    <w:rPr>
      <w:rFonts w:ascii="Wingdings" w:hAnsi="Wingdings" w:cs="Wingdings"/>
      <w:color w:val="auto"/>
    </w:rPr>
  </w:style>
  <w:style w:type="character" w:styleId="WW8Num4z0">
    <w:name w:val="WW8Num4z0"/>
    <w:qFormat/>
    <w:rPr>
      <w:rFonts w:ascii="Symbol" w:hAnsi="Symbol" w:cs="Symbol"/>
      <w:sz w:val="28"/>
    </w:rPr>
  </w:style>
  <w:style w:type="character" w:styleId="WW8Num5z0">
    <w:name w:val="WW8Num5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Monotype Sorts" w:hAnsi="Monotype Sorts" w:cs="Monotype Sorts"/>
      <w:b/>
      <w:i w:val="false"/>
      <w:sz w:val="24"/>
    </w:rPr>
  </w:style>
  <w:style w:type="character" w:styleId="WW8Num12z0">
    <w:name w:val="WW8Num12z0"/>
    <w:qFormat/>
    <w:rPr>
      <w:rFonts w:ascii="Wingdings" w:hAnsi="Wingdings" w:cs="Wingdings"/>
      <w:color w:val="auto"/>
    </w:rPr>
  </w:style>
  <w:style w:type="character" w:styleId="WW8Num13z0">
    <w:name w:val="WW8Num13z0"/>
    <w:qFormat/>
    <w:rPr>
      <w:rFonts w:ascii="Symbol" w:hAnsi="Symbol" w:cs="Symbol"/>
      <w:sz w:val="8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St4z0">
    <w:name w:val="WW8NumSt4z0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TestofumettoCarattere">
    <w:name w:val="Testo fumetto Carattere"/>
    <w:qFormat/>
    <w:rPr>
      <w:rFonts w:ascii="Tahoma" w:hAnsi="Tahoma" w:cs="Tahoma"/>
      <w:sz w:val="16"/>
      <w:szCs w:val="16"/>
    </w:rPr>
  </w:style>
  <w:style w:type="character" w:styleId="PidipaginaCarattere">
    <w:name w:val="Piè di pagina Carattere"/>
    <w:qFormat/>
    <w:rPr>
      <w:sz w:val="24"/>
    </w:rPr>
  </w:style>
  <w:style w:type="character" w:styleId="IntestazioneCarattere">
    <w:name w:val="Intestazione Carattere"/>
    <w:qFormat/>
    <w:rPr>
      <w:sz w:val="24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</w:rPr>
  </w:style>
  <w:style w:type="paragraph" w:styleId="BodyText">
    <w:name w:val="Body Text"/>
    <w:basedOn w:val="Normal"/>
    <w:pPr>
      <w:widowControl/>
      <w:ind w:hanging="0" w:start="0" w:end="-1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TOC1">
    <w:name w:val="TOC 1"/>
    <w:basedOn w:val="Normal"/>
    <w:next w:val="Normal"/>
    <w:pPr>
      <w:tabs>
        <w:tab w:val="clear" w:pos="708"/>
        <w:tab w:val="right" w:pos="9629" w:leader="underscore"/>
      </w:tabs>
      <w:spacing w:before="120" w:after="0"/>
      <w:jc w:val="center"/>
    </w:pPr>
    <w:rPr>
      <w:rFonts w:ascii="Tahoma" w:hAnsi="Tahoma" w:cs="Tahoma"/>
      <w:b/>
      <w:i/>
    </w:rPr>
  </w:style>
  <w:style w:type="paragraph" w:styleId="TOC2">
    <w:name w:val="TOC 2"/>
    <w:basedOn w:val="Normal"/>
    <w:next w:val="Normal"/>
    <w:pPr>
      <w:spacing w:before="120" w:after="0"/>
      <w:ind w:hanging="0" w:start="240" w:end="0"/>
    </w:pPr>
    <w:rPr>
      <w:b/>
      <w:sz w:val="22"/>
    </w:rPr>
  </w:style>
  <w:style w:type="paragraph" w:styleId="TOC3">
    <w:name w:val="TOC 3"/>
    <w:basedOn w:val="Normal"/>
    <w:next w:val="Normal"/>
    <w:pPr>
      <w:ind w:hanging="0" w:start="480" w:end="0"/>
    </w:pPr>
    <w:rPr>
      <w:sz w:val="20"/>
    </w:rPr>
  </w:style>
  <w:style w:type="paragraph" w:styleId="TOC4">
    <w:name w:val="TOC 4"/>
    <w:basedOn w:val="Normal"/>
    <w:next w:val="Normal"/>
    <w:pPr>
      <w:ind w:hanging="0" w:start="720" w:end="0"/>
    </w:pPr>
    <w:rPr>
      <w:sz w:val="20"/>
    </w:rPr>
  </w:style>
  <w:style w:type="paragraph" w:styleId="TOC5">
    <w:name w:val="TOC 5"/>
    <w:basedOn w:val="Normal"/>
    <w:next w:val="Normal"/>
    <w:pPr>
      <w:ind w:hanging="0" w:start="960" w:end="0"/>
    </w:pPr>
    <w:rPr>
      <w:sz w:val="20"/>
    </w:rPr>
  </w:style>
  <w:style w:type="paragraph" w:styleId="TOC6">
    <w:name w:val="TOC 6"/>
    <w:basedOn w:val="Normal"/>
    <w:next w:val="Normal"/>
    <w:pPr>
      <w:ind w:hanging="0" w:start="1200" w:end="0"/>
    </w:pPr>
    <w:rPr>
      <w:sz w:val="20"/>
    </w:rPr>
  </w:style>
  <w:style w:type="paragraph" w:styleId="TOC7">
    <w:name w:val="TOC 7"/>
    <w:basedOn w:val="Normal"/>
    <w:next w:val="Normal"/>
    <w:pPr>
      <w:ind w:hanging="0" w:start="1440" w:end="0"/>
    </w:pPr>
    <w:rPr>
      <w:sz w:val="20"/>
    </w:rPr>
  </w:style>
  <w:style w:type="paragraph" w:styleId="TOC8">
    <w:name w:val="TOC 8"/>
    <w:basedOn w:val="Normal"/>
    <w:next w:val="Normal"/>
    <w:pPr>
      <w:ind w:hanging="0" w:start="1680" w:end="0"/>
    </w:pPr>
    <w:rPr>
      <w:sz w:val="20"/>
    </w:rPr>
  </w:style>
  <w:style w:type="paragraph" w:styleId="TOC9">
    <w:name w:val="TOC 9"/>
    <w:basedOn w:val="Normal"/>
    <w:next w:val="Normal"/>
    <w:pPr>
      <w:ind w:hanging="0" w:start="1920" w:end="0"/>
    </w:pPr>
    <w:rPr>
      <w:sz w:val="20"/>
    </w:rPr>
  </w:style>
  <w:style w:type="paragraph" w:styleId="Index1">
    <w:name w:val="Index 1"/>
    <w:basedOn w:val="Normal"/>
    <w:next w:val="Normal"/>
    <w:pPr>
      <w:tabs>
        <w:tab w:val="clear" w:pos="708"/>
        <w:tab w:val="right" w:pos="4459" w:leader="dot"/>
      </w:tabs>
      <w:ind w:hanging="240" w:start="240" w:end="0"/>
    </w:pPr>
    <w:rPr>
      <w:sz w:val="20"/>
    </w:rPr>
  </w:style>
  <w:style w:type="paragraph" w:styleId="Index2">
    <w:name w:val="Index 2"/>
    <w:basedOn w:val="Normal"/>
    <w:next w:val="Normal"/>
    <w:pPr>
      <w:tabs>
        <w:tab w:val="clear" w:pos="708"/>
        <w:tab w:val="right" w:pos="4459" w:leader="dot"/>
      </w:tabs>
      <w:ind w:hanging="240" w:start="480" w:end="0"/>
    </w:pPr>
    <w:rPr>
      <w:sz w:val="20"/>
    </w:rPr>
  </w:style>
  <w:style w:type="paragraph" w:styleId="Index3">
    <w:name w:val="Index 3"/>
    <w:basedOn w:val="Normal"/>
    <w:next w:val="Normal"/>
    <w:pPr>
      <w:tabs>
        <w:tab w:val="clear" w:pos="708"/>
        <w:tab w:val="right" w:pos="4459" w:leader="dot"/>
      </w:tabs>
      <w:ind w:hanging="240" w:start="720" w:end="0"/>
    </w:pPr>
    <w:rPr>
      <w:sz w:val="20"/>
    </w:rPr>
  </w:style>
  <w:style w:type="paragraph" w:styleId="Indice4">
    <w:name w:val="Indice 4"/>
    <w:basedOn w:val="Normal"/>
    <w:next w:val="Normal"/>
    <w:qFormat/>
    <w:pPr>
      <w:tabs>
        <w:tab w:val="clear" w:pos="708"/>
        <w:tab w:val="right" w:pos="4459" w:leader="dot"/>
      </w:tabs>
      <w:ind w:hanging="240" w:start="960" w:end="0"/>
    </w:pPr>
    <w:rPr>
      <w:sz w:val="20"/>
    </w:rPr>
  </w:style>
  <w:style w:type="paragraph" w:styleId="Indice5">
    <w:name w:val="Indice 5"/>
    <w:basedOn w:val="Normal"/>
    <w:next w:val="Normal"/>
    <w:qFormat/>
    <w:pPr>
      <w:tabs>
        <w:tab w:val="clear" w:pos="708"/>
        <w:tab w:val="right" w:pos="4459" w:leader="dot"/>
      </w:tabs>
      <w:ind w:hanging="240" w:start="1200" w:end="0"/>
    </w:pPr>
    <w:rPr>
      <w:sz w:val="20"/>
    </w:rPr>
  </w:style>
  <w:style w:type="paragraph" w:styleId="Indice6">
    <w:name w:val="Indice 6"/>
    <w:basedOn w:val="Normal"/>
    <w:next w:val="Normal"/>
    <w:qFormat/>
    <w:pPr>
      <w:tabs>
        <w:tab w:val="clear" w:pos="708"/>
        <w:tab w:val="right" w:pos="4459" w:leader="dot"/>
      </w:tabs>
      <w:ind w:hanging="240" w:start="1440" w:end="0"/>
    </w:pPr>
    <w:rPr>
      <w:sz w:val="20"/>
    </w:rPr>
  </w:style>
  <w:style w:type="paragraph" w:styleId="Indice7">
    <w:name w:val="Indice 7"/>
    <w:basedOn w:val="Normal"/>
    <w:next w:val="Normal"/>
    <w:qFormat/>
    <w:pPr>
      <w:tabs>
        <w:tab w:val="clear" w:pos="708"/>
        <w:tab w:val="right" w:pos="4459" w:leader="dot"/>
      </w:tabs>
      <w:ind w:hanging="240" w:start="1680" w:end="0"/>
    </w:pPr>
    <w:rPr>
      <w:sz w:val="20"/>
    </w:rPr>
  </w:style>
  <w:style w:type="paragraph" w:styleId="Indice8">
    <w:name w:val="Indice 8"/>
    <w:basedOn w:val="Normal"/>
    <w:next w:val="Normal"/>
    <w:qFormat/>
    <w:pPr>
      <w:tabs>
        <w:tab w:val="clear" w:pos="708"/>
        <w:tab w:val="right" w:pos="4459" w:leader="dot"/>
      </w:tabs>
      <w:ind w:hanging="240" w:start="1920" w:end="0"/>
    </w:pPr>
    <w:rPr>
      <w:sz w:val="20"/>
    </w:rPr>
  </w:style>
  <w:style w:type="paragraph" w:styleId="Indice9">
    <w:name w:val="Indice 9"/>
    <w:basedOn w:val="Normal"/>
    <w:next w:val="Normal"/>
    <w:qFormat/>
    <w:pPr>
      <w:tabs>
        <w:tab w:val="clear" w:pos="708"/>
        <w:tab w:val="right" w:pos="4459" w:leader="dot"/>
      </w:tabs>
      <w:ind w:hanging="240" w:start="2160" w:end="0"/>
    </w:pPr>
    <w:rPr>
      <w:sz w:val="20"/>
    </w:rPr>
  </w:style>
  <w:style w:type="paragraph" w:styleId="IndexHeading">
    <w:name w:val="Index Heading"/>
    <w:basedOn w:val="Normal"/>
    <w:next w:val="Index1"/>
    <w:pPr>
      <w:spacing w:before="120" w:after="120"/>
    </w:pPr>
    <w:rPr>
      <w:b/>
      <w:i/>
      <w:sz w:val="20"/>
    </w:rPr>
  </w:style>
  <w:style w:type="paragraph" w:styleId="BodyTextIndent">
    <w:name w:val="Body Text Indent"/>
    <w:basedOn w:val="Normal"/>
    <w:pPr>
      <w:ind w:firstLine="709" w:start="0" w:end="0"/>
      <w:jc w:val="both"/>
    </w:pPr>
    <w:rPr/>
  </w:style>
  <w:style w:type="paragraph" w:styleId="Rientrocorpodeltesto2">
    <w:name w:val="Rientro corpo del testo 2"/>
    <w:basedOn w:val="Normal"/>
    <w:qFormat/>
    <w:pPr>
      <w:ind w:firstLine="709" w:start="0" w:end="0"/>
    </w:pPr>
    <w:rPr/>
  </w:style>
  <w:style w:type="paragraph" w:styleId="Rientrocorpodeltesto3">
    <w:name w:val="Rientro corpo del testo 3"/>
    <w:basedOn w:val="Normal"/>
    <w:qFormat/>
    <w:pPr>
      <w:ind w:firstLine="142" w:start="0" w:end="-142"/>
      <w:jc w:val="both"/>
    </w:pPr>
    <w:rPr>
      <w:smallCaps/>
    </w:rPr>
  </w:style>
  <w:style w:type="paragraph" w:styleId="Corpodeltesto2">
    <w:name w:val="Corpo del testo 2"/>
    <w:basedOn w:val="Normal"/>
    <w:qFormat/>
    <w:pPr>
      <w:jc w:val="center"/>
    </w:pPr>
    <w:rPr>
      <w:rFonts w:ascii="Arial" w:hAnsi="Arial" w:cs="Arial"/>
      <w:sz w:val="18"/>
    </w:rPr>
  </w:style>
  <w:style w:type="paragraph" w:styleId="Corpodeltesto3">
    <w:name w:val="Corpo del testo 3"/>
    <w:basedOn w:val="Normal"/>
    <w:qFormat/>
    <w:pPr>
      <w:jc w:val="center"/>
    </w:pPr>
    <w:rPr>
      <w:sz w:val="20"/>
    </w:rPr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