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1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TOC1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indice</w:t>
      </w:r>
    </w:p>
    <w:p>
      <w:pPr>
        <w:pStyle w:val="Normal"/>
        <w:rPr>
          <w:rFonts w:ascii="Calibri" w:hAnsi="Calibri" w:cs="Calibri"/>
          <w:b/>
          <w:sz w:val="24"/>
          <w:szCs w:val="24"/>
          <w:highlight w:val="yellow"/>
        </w:rPr>
      </w:pPr>
      <w:r>
        <w:rPr>
          <w:rFonts w:cs="Calibri" w:ascii="Calibri" w:hAnsi="Calibri"/>
          <w:b/>
          <w:sz w:val="24"/>
          <w:szCs w:val="24"/>
          <w:highlight w:val="yellow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  <w:sz w:val="24"/>
              <w:szCs w:val="24"/>
              <w:rFonts w:cs="Calibri" w:ascii="Calibri" w:hAnsi="Calibri"/>
            </w:rPr>
            <w:instrText xml:space="preserve"> TOC \o "1-4" \h \z \u </w:instrText>
          </w:r>
          <w:r>
            <w:rPr>
              <w:rStyle w:val="IndexLink"/>
              <w:sz w:val="24"/>
              <w:szCs w:val="24"/>
              <w:rFonts w:cs="Calibri" w:ascii="Calibri" w:hAnsi="Calibri"/>
            </w:rPr>
            <w:fldChar w:fldCharType="separate"/>
          </w:r>
          <w:hyperlink w:anchor="__RefHeading___Toc29218617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1.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Scopo e campo di applicazione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18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2.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Riferimenti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19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3.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Definizioni e Abbreviazioni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20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4.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RESPONSABILITA’ ED ATTIVITA’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21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4.1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RESPONSABILITA’</w:t>
              <w:tab/>
              <w:t>2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22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4.2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ATTIVITA’</w:t>
              <w:tab/>
              <w:t>3</w:t>
            </w:r>
          </w:hyperlink>
        </w:p>
        <w:p>
          <w:pPr>
            <w:pStyle w:val="TOC2"/>
            <w:rPr>
              <w:rFonts w:ascii="Calibri" w:hAnsi="Calibri" w:cs="Calibri"/>
              <w:sz w:val="24"/>
              <w:szCs w:val="24"/>
            </w:rPr>
          </w:pPr>
          <w:hyperlink w:anchor="__RefHeading___Toc29218623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4.2.1</w:t>
              <w:tab/>
              <w:t>VALUTAZIONE DEI RISCHI DI SISTEMA</w:t>
              <w:tab/>
              <w:t>3</w:t>
            </w:r>
          </w:hyperlink>
        </w:p>
        <w:p>
          <w:pPr>
            <w:pStyle w:val="TOC3"/>
            <w:tabs>
              <w:tab w:val="clear" w:pos="709"/>
              <w:tab w:val="right" w:pos="877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218624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>4.2.1.1 DESCRIZIONE DEL METODO DI ANALISI</w:t>
              <w:tab/>
              <w:t>3</w:t>
            </w:r>
          </w:hyperlink>
        </w:p>
        <w:p>
          <w:pPr>
            <w:pStyle w:val="TOC4"/>
            <w:tabs>
              <w:tab w:val="clear" w:pos="709"/>
              <w:tab w:val="right" w:pos="877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218625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>4.2.1.1.1  QUADRO ANALITICO</w:t>
              <w:tab/>
              <w:t>3</w:t>
            </w:r>
          </w:hyperlink>
        </w:p>
        <w:p>
          <w:pPr>
            <w:pStyle w:val="TOC4"/>
            <w:tabs>
              <w:tab w:val="clear" w:pos="709"/>
              <w:tab w:val="right" w:pos="877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218626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>4.2.1.1.2  RAPPORTO DI VALUTAZIONE DEI RISCHI</w:t>
              <w:tab/>
              <w:t>3</w:t>
            </w:r>
          </w:hyperlink>
        </w:p>
        <w:p>
          <w:pPr>
            <w:pStyle w:val="TOC4"/>
            <w:tabs>
              <w:tab w:val="clear" w:pos="709"/>
              <w:tab w:val="right" w:pos="8772" w:leader="dot"/>
            </w:tabs>
            <w:rPr>
              <w:rFonts w:ascii="Calibri" w:hAnsi="Calibri" w:cs="Calibri"/>
              <w:sz w:val="24"/>
              <w:szCs w:val="24"/>
              <w:lang w:val="en-US" w:eastAsia="en-US"/>
            </w:rPr>
          </w:pPr>
          <w:hyperlink w:anchor="__RefHeading___Toc29218627">
            <w:r>
              <w:rPr>
                <w:rStyle w:val="IndexLink"/>
                <w:rFonts w:cs="Calibri" w:ascii="Calibri" w:hAnsi="Calibri"/>
                <w:sz w:val="24"/>
                <w:szCs w:val="24"/>
                <w:lang w:val="en-US" w:eastAsia="en-US"/>
              </w:rPr>
              <w:t>4.2.1.1.3  CRITERI DI ANALISI DEI RISULTATI</w:t>
              <w:tab/>
              <w:t>5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28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5.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DISTRIBUZIONE</w:t>
              <w:tab/>
              <w:t>5</w:t>
            </w:r>
          </w:hyperlink>
        </w:p>
        <w:p>
          <w:pPr>
            <w:pStyle w:val="TOC1"/>
            <w:rPr>
              <w:rFonts w:ascii="Calibri" w:hAnsi="Calibri" w:cs="Calibri"/>
              <w:caps w:val="false"/>
              <w:smallCaps w:val="false"/>
              <w:sz w:val="24"/>
              <w:szCs w:val="24"/>
            </w:rPr>
          </w:pPr>
          <w:hyperlink w:anchor="__RefHeading___Toc29218629"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6.</w:t>
            </w:r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ab/>
            </w:r>
            <w:r>
              <w:rPr>
                <w:rStyle w:val="IndexLink"/>
                <w:rFonts w:cs="Calibri" w:ascii="Calibri" w:hAnsi="Calibri"/>
                <w:sz w:val="24"/>
                <w:szCs w:val="24"/>
              </w:rPr>
              <w:t>ELENCO DOCUMENTI COLLEGATI</w:t>
              <w:tab/>
              <w:t>5</w:t>
            </w:r>
          </w:hyperlink>
        </w:p>
        <w:p>
          <w:pPr>
            <w:pStyle w:val="TOC1"/>
            <w:rPr>
              <w:rFonts w:ascii="Calibri" w:hAnsi="Calibri" w:cs="Calibri"/>
              <w:sz w:val="24"/>
              <w:szCs w:val="24"/>
            </w:rPr>
          </w:pPr>
          <w:hyperlink w:anchor="__RefHeading___Toc29218630">
            <w:r>
              <w:rPr>
                <w:rStyle w:val="IndexLink"/>
                <w:rFonts w:cs="Calibri" w:ascii="Calibri" w:hAnsi="Calibri"/>
                <w:caps w:val="false"/>
                <w:smallCaps w:val="false"/>
                <w:sz w:val="24"/>
                <w:szCs w:val="24"/>
              </w:rPr>
              <w:t>7.</w:t>
              <w:tab/>
              <w:t>ARCHIVIAZIONE E CONSERVAZIONE REGISTRAZIONI</w:t>
              <w:tab/>
              <w:t>5</w:t>
            </w:r>
          </w:hyperlink>
          <w:r>
            <w:rPr>
              <w:rStyle w:val="IndexLink"/>
              <w:smallCaps w:val="false"/>
              <w:caps w:val="false"/>
              <w:sz w:val="24"/>
              <w:szCs w:val="24"/>
              <w:rFonts w:cs="Calibri" w:ascii="Calibri" w:hAnsi="Calibri"/>
            </w:rPr>
            <w:fldChar w:fldCharType="end"/>
          </w:r>
        </w:p>
      </w:sdtContent>
    </w:sdt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caps/>
          <w:kern w:val="0"/>
          <w:sz w:val="24"/>
          <w:szCs w:val="24"/>
          <w:highlight w:val="yellow"/>
          <w:lang w:val="en-US" w:eastAsia="en-US"/>
        </w:rPr>
      </w:pPr>
      <w:r>
        <w:rPr>
          <w:rFonts w:cs="Calibri" w:ascii="Calibri" w:hAnsi="Calibri"/>
          <w:caps/>
          <w:kern w:val="0"/>
          <w:sz w:val="24"/>
          <w:szCs w:val="24"/>
          <w:highlight w:val="yellow"/>
          <w:lang w:val="en-US" w:eastAsia="en-US"/>
        </w:rPr>
      </w:r>
      <w:r>
        <w:br w:type="page"/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0" w:name="__RefHeading___Toc29218617"/>
      <w:bookmarkEnd w:id="0"/>
      <w:r>
        <w:rPr>
          <w:rFonts w:cs="Calibri" w:ascii="Calibri" w:hAnsi="Calibri"/>
          <w:kern w:val="0"/>
          <w:szCs w:val="24"/>
        </w:rPr>
        <w:t>1.</w:t>
        <w:tab/>
        <w:t>Scopo e campo di applicazione</w:t>
      </w:r>
    </w:p>
    <w:p>
      <w:pPr>
        <w:pStyle w:val="Normal"/>
        <w:ind w:end="241"/>
        <w:jc w:val="both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L'organizzazione determina i rischi e le opportunità che è necessario affrontare per: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a) fornire assicurazione che il sistema di gestione possa conseguire i risultato(i) atteso(i);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b) accrescere gli effetti desiderati;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c) prevenire, o ridurre, gli effetti indesiderati;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d) conseguire il miglioramento.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concetto di rischio va inteso come incertezza associata al raggiungimento degli obiettivi del sistema di gestione.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L’ organizzazione pianifica: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a) le azioni per affrontare i rischi individuati e opportunità;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b) le modalità per: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1) integrare e attuare le azioni nei processi del proprio sistema di gestione integrato;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2) valutare l'efficacia di tali azioni.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1" w:name="__RefHeading___Toc29218618"/>
      <w:bookmarkEnd w:id="1"/>
      <w:r>
        <w:rPr>
          <w:rFonts w:cs="Calibri" w:ascii="Calibri" w:hAnsi="Calibri"/>
          <w:kern w:val="0"/>
          <w:szCs w:val="24"/>
        </w:rPr>
        <w:t>2.</w:t>
        <w:tab/>
        <w:t>Riferimenti</w:t>
      </w:r>
    </w:p>
    <w:p>
      <w:pPr>
        <w:pStyle w:val="Normal"/>
        <w:spacing w:lineRule="auto" w:line="276"/>
        <w:ind w:end="241"/>
        <w:jc w:val="both"/>
        <w:rPr>
          <w:rFonts w:ascii="Calibri" w:hAnsi="Calibri" w:cs="Calibri"/>
          <w:b/>
          <w:kern w:val="0"/>
          <w:sz w:val="24"/>
          <w:szCs w:val="24"/>
        </w:rPr>
      </w:pPr>
      <w:r>
        <w:rPr>
          <w:rFonts w:cs="Calibri" w:ascii="Calibri" w:hAnsi="Calibri"/>
          <w:b/>
          <w:kern w:val="0"/>
          <w:sz w:val="24"/>
          <w:szCs w:val="24"/>
        </w:rPr>
      </w:r>
    </w:p>
    <w:p>
      <w:pPr>
        <w:pStyle w:val="Normal"/>
        <w:spacing w:lineRule="auto" w:line="276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Norma ISO 14001:2015 par. 6.1.1</w:t>
      </w:r>
    </w:p>
    <w:p>
      <w:pPr>
        <w:pStyle w:val="Normal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2" w:name="__RefHeading___Toc29218619"/>
      <w:bookmarkEnd w:id="2"/>
      <w:r>
        <w:rPr>
          <w:rFonts w:cs="Calibri" w:ascii="Calibri" w:hAnsi="Calibri"/>
          <w:kern w:val="0"/>
          <w:szCs w:val="24"/>
        </w:rPr>
        <w:t>3.</w:t>
        <w:tab/>
        <w:t>Definizioni e Abbreviazioni</w:t>
      </w:r>
    </w:p>
    <w:p>
      <w:pPr>
        <w:pStyle w:val="Normal"/>
        <w:numPr>
          <w:ilvl w:val="0"/>
          <w:numId w:val="0"/>
        </w:numPr>
        <w:ind w:hanging="0" w:start="0"/>
        <w:jc w:val="both"/>
        <w:rPr>
          <w:rFonts w:ascii="Calibri" w:hAnsi="Calibri" w:cs="Calibri"/>
          <w:i/>
          <w:i/>
          <w:kern w:val="0"/>
          <w:sz w:val="24"/>
          <w:szCs w:val="24"/>
          <w:highlight w:val="yellow"/>
        </w:rPr>
      </w:pPr>
      <w:r>
        <w:rPr>
          <w:rFonts w:cs="Calibri" w:ascii="Calibri" w:hAnsi="Calibri"/>
          <w:i/>
          <w:kern w:val="0"/>
          <w:sz w:val="24"/>
          <w:szCs w:val="24"/>
          <w:highlight w:val="yellow"/>
        </w:rPr>
      </w:r>
    </w:p>
    <w:p>
      <w:pPr>
        <w:pStyle w:val="Normal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Definizioni</w:t>
      </w:r>
    </w:p>
    <w:p>
      <w:pPr>
        <w:pStyle w:val="Normal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ind w:end="24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Rischio</w:t>
      </w:r>
      <w:r>
        <w:rPr>
          <w:rFonts w:cs="Calibri" w:ascii="Calibri" w:hAnsi="Calibri"/>
          <w:sz w:val="24"/>
          <w:szCs w:val="24"/>
        </w:rPr>
        <w:t>: incertezza associata al raggiungimento degli obiettivi del sistema di gestione ambientale.</w:t>
      </w:r>
    </w:p>
    <w:p>
      <w:pPr>
        <w:pStyle w:val="Normal"/>
        <w:ind w:end="241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241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  <w:t>Abbreviazioni</w:t>
      </w:r>
    </w:p>
    <w:p>
      <w:pPr>
        <w:pStyle w:val="Normal"/>
        <w:numPr>
          <w:ilvl w:val="0"/>
          <w:numId w:val="0"/>
        </w:numPr>
        <w:ind w:hanging="0" w:start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numPr>
          <w:ilvl w:val="0"/>
          <w:numId w:val="0"/>
        </w:numPr>
        <w:ind w:hanging="0" w:start="0"/>
        <w:jc w:val="both"/>
        <w:rPr>
          <w:rFonts w:ascii="Calibri" w:hAnsi="Calibri" w:cs="Calibri"/>
          <w:sz w:val="24"/>
          <w:szCs w:val="24"/>
          <w:highlight w:val="yellow"/>
        </w:rPr>
      </w:pPr>
      <w:r>
        <w:rPr>
          <w:rFonts w:cs="Calibri" w:ascii="Calibri" w:hAnsi="Calibri"/>
          <w:sz w:val="24"/>
          <w:szCs w:val="24"/>
        </w:rPr>
        <w:t>Per le abbreviazioni utilizzate in questa procedura si fa riferimento alla norma UNI EN ISO 14001:2015 ed al Manuale di NOME VS. AZIENDA.</w:t>
      </w:r>
    </w:p>
    <w:p>
      <w:pPr>
        <w:pStyle w:val="Normal"/>
        <w:ind w:end="241"/>
        <w:jc w:val="both"/>
        <w:rPr>
          <w:rFonts w:ascii="Calibri" w:hAnsi="Calibri" w:cs="Calibri"/>
          <w:sz w:val="24"/>
          <w:szCs w:val="24"/>
          <w:highlight w:val="yellow"/>
        </w:rPr>
      </w:pPr>
      <w:r>
        <w:rPr>
          <w:rFonts w:cs="Calibri" w:ascii="Calibri" w:hAnsi="Calibri"/>
          <w:sz w:val="24"/>
          <w:szCs w:val="24"/>
          <w:highlight w:val="yellow"/>
        </w:rPr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3" w:name="__RefHeading___Toc29218620"/>
      <w:bookmarkEnd w:id="3"/>
      <w:r>
        <w:rPr>
          <w:rFonts w:cs="Calibri" w:ascii="Calibri" w:hAnsi="Calibri"/>
          <w:kern w:val="0"/>
          <w:szCs w:val="24"/>
        </w:rPr>
        <w:t>4.</w:t>
        <w:tab/>
        <w:t>RESPONSABILITA’ ED ATTIVITA’</w:t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4" w:name="__RefHeading___Toc29218621"/>
      <w:bookmarkEnd w:id="4"/>
      <w:r>
        <w:rPr>
          <w:rFonts w:cs="Calibri" w:ascii="Calibri" w:hAnsi="Calibri"/>
          <w:kern w:val="0"/>
          <w:szCs w:val="24"/>
        </w:rPr>
        <w:t>4.1</w:t>
        <w:tab/>
        <w:t>RESPONSABILITA’</w:t>
      </w:r>
    </w:p>
    <w:p>
      <w:pPr>
        <w:pStyle w:val="BodyText2"/>
        <w:widowControl w:val="false"/>
        <w:spacing w:lineRule="auto" w:line="240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p>
      <w:pPr>
        <w:pStyle w:val="BodyText2"/>
        <w:widowControl w:val="false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Le responsabilità coinvolte sono:</w:t>
      </w:r>
    </w:p>
    <w:p>
      <w:pPr>
        <w:pStyle w:val="BodyText2"/>
        <w:widowControl w:val="false"/>
        <w:ind w:start="720" w:end="0"/>
        <w:rPr/>
      </w:pPr>
      <w:r>
        <w:rPr>
          <w:rFonts w:cs="Calibri" w:ascii="Calibri" w:hAnsi="Calibri"/>
          <w:sz w:val="24"/>
          <w:szCs w:val="24"/>
        </w:rPr>
        <w:t>DIREZIONE GENERALE (DGE)</w:t>
      </w:r>
    </w:p>
    <w:p>
      <w:pPr>
        <w:pStyle w:val="BodyText2"/>
        <w:widowControl w:val="false"/>
        <w:ind w:start="720" w:end="0"/>
        <w:rPr/>
      </w:pPr>
      <w:r>
        <w:rPr>
          <w:rFonts w:cs="Calibri" w:ascii="Calibri" w:hAnsi="Calibri"/>
          <w:sz w:val="24"/>
          <w:szCs w:val="24"/>
        </w:rPr>
        <w:t>RESPONSABILE DEL SISTEMA DI GESTIONE AMBIENTALE (RSGQ)</w:t>
      </w:r>
    </w:p>
    <w:p>
      <w:pPr>
        <w:pStyle w:val="BodyText2"/>
        <w:widowControl w:val="false"/>
        <w:ind w:start="720" w:end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RESPONSABILI FUNZIONALI</w:t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5" w:name="__RefHeading___Toc29218622"/>
      <w:bookmarkEnd w:id="5"/>
      <w:r>
        <w:rPr>
          <w:rFonts w:cs="Calibri" w:ascii="Calibri" w:hAnsi="Calibri"/>
          <w:kern w:val="0"/>
          <w:szCs w:val="24"/>
        </w:rPr>
        <w:t>4.2</w:t>
        <w:tab/>
        <w:t>ATTIVITA’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 w:end="-7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p>
      <w:pPr>
        <w:pStyle w:val="Heading2"/>
        <w:ind w:hanging="0" w:start="0"/>
        <w:rPr/>
      </w:pPr>
      <w:bookmarkStart w:id="6" w:name="__RefHeading___Toc29218623"/>
      <w:bookmarkEnd w:id="6"/>
      <w:r>
        <w:rPr>
          <w:rFonts w:cs="Calibri" w:ascii="Calibri" w:hAnsi="Calibri"/>
          <w:i w:val="false"/>
          <w:sz w:val="24"/>
          <w:szCs w:val="24"/>
        </w:rPr>
        <w:t>4.2.1</w:t>
        <w:tab/>
        <w:t>VALUTAZIONE DEI RISCHI</w:t>
      </w:r>
      <w:r>
        <w:rPr>
          <w:rFonts w:cs="Calibri" w:ascii="Calibri" w:hAnsi="Calibri"/>
          <w:i w:val="false"/>
          <w:sz w:val="24"/>
          <w:szCs w:val="24"/>
          <w:lang w:val="it-IT"/>
        </w:rPr>
        <w:t xml:space="preserve"> DI SISTEMA</w:t>
      </w:r>
    </w:p>
    <w:p>
      <w:pPr>
        <w:pStyle w:val="BodyTextIndent"/>
        <w:rPr>
          <w:rFonts w:ascii="Calibri" w:hAnsi="Calibri" w:cs="Calibri"/>
          <w:i/>
          <w:i/>
          <w:sz w:val="24"/>
          <w:szCs w:val="24"/>
          <w:lang w:val="it-IT" w:bidi="he-IL"/>
        </w:rPr>
      </w:pPr>
      <w:r>
        <w:rPr>
          <w:rFonts w:cs="Calibri" w:ascii="Calibri" w:hAnsi="Calibri"/>
          <w:i/>
          <w:sz w:val="24"/>
          <w:szCs w:val="24"/>
          <w:lang w:val="it-IT" w:bidi="he-IL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Vengono individuate tipologie di rischi e opportunità legati ai processi indicati nel </w:t>
      </w:r>
      <w:r>
        <w:rPr>
          <w:rFonts w:cs="Calibri" w:ascii="Calibri" w:hAnsi="Calibri"/>
          <w:b/>
          <w:sz w:val="24"/>
          <w:szCs w:val="24"/>
        </w:rPr>
        <w:t>Mod. 6.1.1.1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3"/>
        <w:ind w:hanging="0" w:start="0"/>
        <w:rPr>
          <w:rFonts w:ascii="Calibri" w:hAnsi="Calibri" w:cs="Calibri"/>
          <w:sz w:val="24"/>
          <w:szCs w:val="24"/>
        </w:rPr>
      </w:pPr>
      <w:bookmarkStart w:id="7" w:name="__RefHeading___Toc29218624"/>
      <w:bookmarkEnd w:id="7"/>
      <w:r>
        <w:rPr>
          <w:rFonts w:cs="Calibri" w:ascii="Calibri" w:hAnsi="Calibri"/>
          <w:sz w:val="24"/>
          <w:szCs w:val="24"/>
        </w:rPr>
        <w:t>4.2.1.1 DESCRIZIONE DEL METODO DI ANALISI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4"/>
        <w:ind w:hanging="0" w:start="0"/>
        <w:rPr>
          <w:rFonts w:cs="Calibri"/>
          <w:sz w:val="24"/>
          <w:szCs w:val="24"/>
        </w:rPr>
      </w:pPr>
      <w:bookmarkStart w:id="8" w:name="__RefHeading___Toc29218625"/>
      <w:bookmarkEnd w:id="8"/>
      <w:r>
        <w:rPr>
          <w:rFonts w:cs="Calibri"/>
          <w:sz w:val="24"/>
          <w:szCs w:val="24"/>
        </w:rPr>
        <w:t>4.2.1.1.1  QUADRO ANALITICO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metodo analitico su cui si fonda l’analisi dei rischi viene di sotto indicato:</w:t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 xml:space="preserve">1- Identificare i rischi e le opportunità presenti nell'organizzazione (in dipendenza dal contesto).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2-  Analizzare e gerarchizzare i rischi e le opportunità nell'organizzazione (Che cosa è accettabile? Che cosa non lo è?)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3- Pianificare azioni per affrontare i rischi (Come posso evitare o eliminare il rischio?.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Come posso mitigare il rischio?)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4- Attuare il piano (condurre le azioni)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5- Controllare l'efficacia delle azioni ("funziona"?)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6- Apprendere dall'esperienza (miglioramento continuo)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4"/>
        <w:ind w:hanging="0" w:start="0"/>
        <w:rPr/>
      </w:pPr>
      <w:bookmarkStart w:id="9" w:name="__RefHeading___Toc29218626"/>
      <w:bookmarkEnd w:id="9"/>
      <w:r>
        <w:rPr>
          <w:rFonts w:cs="Calibri"/>
          <w:sz w:val="24"/>
          <w:szCs w:val="24"/>
        </w:rPr>
        <w:t>4.2.1.1.2  RAPPORTO DI VALUTAZIONE DEI RISCHI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Il rapporto di valutazione dei Rischi rappresenta l’output dell’analisi dei rischi e contiene una serie di indicazioni analitiche.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4"/>
          <w:szCs w:val="24"/>
        </w:rPr>
        <w:t>Si utilizza un modello tipo 4x4 (Probabilità x Danno).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Probabilità: si tratta della probabilità che i possibili danni si concretizzino. 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La probabilità sarà definita secondo la seguente scala di valori:</w:t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9144" w:type="dxa"/>
        <w:jc w:val="start"/>
        <w:tblInd w:w="14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43"/>
        <w:gridCol w:w="2268"/>
        <w:gridCol w:w="5033"/>
      </w:tblGrid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VALORE DI</w:t>
            </w:r>
          </w:p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PROBABILITA'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DEFINIZIONE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213" w:end="213"/>
              <w:jc w:val="both"/>
              <w:rPr>
                <w:rFonts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INTERPRETAZIONE  DELLA  DEFINIZIONE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567" w:end="646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Improbabile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richiederebbe la concomitanza di più eventi poco probabili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Non si sono mai verificati fatti analoghi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susciterebbe incredulità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567" w:end="646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Poco probabile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richiederebbe circostanze non comuni e di poca probabilità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Si sono verificati pochi fatti analoghi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susciterebbe modesta sorpresa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567" w:end="646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Probabile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Si sono verificati altri fatti analoghi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0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susciterebbe modesta sorpresa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567" w:end="646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Molto probabile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213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Si sono verificati altri fatti analoghi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360" w:start="360" w:end="213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Il suo verificarsi è praticamente dato per scontato</w:t>
            </w:r>
          </w:p>
        </w:tc>
      </w:tr>
    </w:tbl>
    <w:p>
      <w:pPr>
        <w:pStyle w:val="Normal"/>
        <w:ind w:start="397"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/>
      </w:pPr>
      <w:r>
        <w:rPr>
          <w:rFonts w:cs="Calibri" w:ascii="Calibri" w:hAnsi="Calibri"/>
          <w:sz w:val="24"/>
          <w:szCs w:val="24"/>
        </w:rPr>
        <w:t xml:space="preserve">Danno: effetto possibile causato dall'esposizione a fattori di rischio. </w:t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L'entità del danno sarà valutata secondo la seguente scala di valori:</w:t>
      </w:r>
    </w:p>
    <w:p>
      <w:pPr>
        <w:pStyle w:val="Normal"/>
        <w:ind w:start="567" w:end="646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9144" w:type="dxa"/>
        <w:jc w:val="start"/>
        <w:tblInd w:w="14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43"/>
        <w:gridCol w:w="2268"/>
        <w:gridCol w:w="5033"/>
      </w:tblGrid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VALORE DI</w:t>
            </w:r>
          </w:p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DANNO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DEFINIZIONE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</w:rPr>
              <w:t>INTERPRETAZIONE  DELLA  DEFINIZIONE</w:t>
            </w:r>
          </w:p>
        </w:tc>
      </w:tr>
      <w:tr>
        <w:trPr>
          <w:trHeight w:val="402" w:hRule="atLeast"/>
        </w:trPr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Lieve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0" w:start="360" w:end="213"/>
              <w:jc w:val="both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danno che non intacca significativamente l’ambiente e la continuità aziendale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Medio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0" w:start="360" w:end="0"/>
              <w:jc w:val="both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danno che potrebbe intaccare significativamente l’ambiente ma non la continuità aziendale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Grave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0" w:start="360" w:end="0"/>
              <w:jc w:val="both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danno che intacca significativamente l’ambiente ma non la continuità aziendale</w:t>
            </w:r>
          </w:p>
        </w:tc>
      </w:tr>
      <w:tr>
        <w:trPr/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1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72" w:end="72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Molto grave</w:t>
            </w:r>
          </w:p>
        </w:tc>
        <w:tc>
          <w:tcPr>
            <w:tcW w:w="5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9"/>
                <w:tab w:val="left" w:pos="360" w:leader="none"/>
              </w:tabs>
              <w:autoSpaceDE w:val="false"/>
              <w:ind w:hanging="0" w:start="360" w:end="-70"/>
              <w:jc w:val="both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danno che intacca significativamente l’ambiente e la continuità aziendale</w:t>
            </w:r>
          </w:p>
        </w:tc>
      </w:tr>
    </w:tbl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/>
      </w:pPr>
      <w:r>
        <w:rPr>
          <w:rFonts w:cs="Calibri" w:ascii="Calibri" w:hAnsi="Calibri"/>
          <w:i/>
          <w:sz w:val="24"/>
          <w:szCs w:val="24"/>
        </w:rPr>
        <w:t>Rischio</w:t>
      </w:r>
      <w:r>
        <w:rPr>
          <w:rFonts w:cs="Calibri" w:ascii="Calibri" w:hAnsi="Calibri"/>
          <w:sz w:val="24"/>
          <w:szCs w:val="24"/>
        </w:rPr>
        <w:t xml:space="preserve">: probabilità che sia raggiunto un livello potenziale di danno nelle condizioni di esposizione ad un pericolo da parte dell’azienda. </w:t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Nella tabella seguente sono indicate le diverse combinazioni (PxD) tra il danno e le probabilità che lo stesso possa verificarsi (stima del rischio).</w:t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ind w:end="-2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899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526"/>
        <w:gridCol w:w="1276"/>
        <w:gridCol w:w="1559"/>
        <w:gridCol w:w="1374"/>
        <w:gridCol w:w="1603"/>
        <w:gridCol w:w="1659"/>
      </w:tblGrid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P (Probabilità)</w:t>
            </w:r>
          </w:p>
        </w:tc>
        <w:tc>
          <w:tcPr>
            <w:tcW w:w="127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  <w:tc>
          <w:tcPr>
            <w:tcW w:w="1374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  <w:tc>
          <w:tcPr>
            <w:tcW w:w="1603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</w:tr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8</w:t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00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12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00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16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</w:tr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6</w:t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00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9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00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12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</w:tr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4</w:t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6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8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</w:tr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28F61E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2</w:t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3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sz w:val="24"/>
                <w:szCs w:val="24"/>
                <w:lang w:val="en-GB"/>
              </w:rPr>
              <w:t>4</w:t>
            </w:r>
          </w:p>
        </w:tc>
        <w:tc>
          <w:tcPr>
            <w:tcW w:w="1659" w:type="dxa"/>
            <w:tcBorders>
              <w:bottom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</w:tr>
      <w:tr>
        <w:trPr>
          <w:trHeight w:val="454" w:hRule="atLeast"/>
        </w:trPr>
        <w:tc>
          <w:tcPr>
            <w:tcW w:w="1526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color w:val="FFFFFF"/>
                <w:sz w:val="24"/>
                <w:szCs w:val="24"/>
                <w:lang w:val="en-GB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2</w:t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3</w:t>
            </w:r>
          </w:p>
        </w:tc>
        <w:tc>
          <w:tcPr>
            <w:tcW w:w="16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4</w:t>
            </w:r>
          </w:p>
        </w:tc>
        <w:tc>
          <w:tcPr>
            <w:tcW w:w="16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b/>
                <w:sz w:val="24"/>
                <w:szCs w:val="24"/>
                <w:lang w:val="en-GB"/>
              </w:rPr>
              <w:t>D (Danno)</w:t>
            </w:r>
          </w:p>
        </w:tc>
      </w:tr>
    </w:tbl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La valutazione dei rischi è rappresentata nel </w:t>
      </w:r>
      <w:r>
        <w:rPr>
          <w:rFonts w:cs="Calibri" w:ascii="Calibri" w:hAnsi="Calibri"/>
          <w:b/>
          <w:caps/>
          <w:sz w:val="24"/>
          <w:szCs w:val="24"/>
          <w:u w:val="single"/>
        </w:rPr>
        <w:t>Mod. 6.1.1.1 VDR</w:t>
      </w:r>
      <w:r>
        <w:rPr>
          <w:rFonts w:cs="Calibri" w:ascii="Calibri" w:hAnsi="Calibri"/>
          <w:b/>
          <w:sz w:val="24"/>
          <w:szCs w:val="24"/>
        </w:rPr>
        <w:t>.</w:t>
      </w:r>
    </w:p>
    <w:p>
      <w:pPr>
        <w:pStyle w:val="Normal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</w:t>
      </w:r>
    </w:p>
    <w:p>
      <w:pPr>
        <w:pStyle w:val="Heading4"/>
        <w:ind w:hanging="0" w:start="0"/>
        <w:rPr/>
      </w:pPr>
      <w:bookmarkStart w:id="10" w:name="__RefHeading___Toc29218627"/>
      <w:bookmarkEnd w:id="10"/>
      <w:r>
        <w:rPr>
          <w:rFonts w:cs="Calibri"/>
          <w:sz w:val="24"/>
          <w:szCs w:val="24"/>
        </w:rPr>
        <w:t>4.2.1.1.</w:t>
      </w:r>
      <w:r>
        <w:rPr>
          <w:rFonts w:cs="Calibri"/>
          <w:sz w:val="24"/>
          <w:szCs w:val="24"/>
          <w:lang w:val="it-IT"/>
        </w:rPr>
        <w:t>3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  <w:sz w:val="24"/>
          <w:szCs w:val="24"/>
          <w:lang w:val="it-IT"/>
        </w:rPr>
        <w:t>CRITERI DI ANALISI DEI RISULTATI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Per ogni tipologia di rischio individuato, sulla scorta dei parametri sopra indicati, vengono individuati dei parametri oggettivi di rischio sui quali effettuare delle valutazioni.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tbl>
      <w:tblPr>
        <w:tblW w:w="89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3543"/>
        <w:gridCol w:w="2653"/>
      </w:tblGrid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>Valutazione del rischio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>Azione Richiesta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  <w:t>Tempistica</w:t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8F61E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Fino a 3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Accettare o mitigare il rischio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Medio-Lungo Termine</w:t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Da 4 a 8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Mitigare o Evitare il Rischio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Breve Termine</w:t>
            </w:r>
          </w:p>
        </w:tc>
      </w:tr>
      <w:tr>
        <w:trPr/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Da 9 a 16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Evitare o Trasferire il Rischio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Breve Termine</w:t>
            </w:r>
          </w:p>
        </w:tc>
      </w:tr>
    </w:tbl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11" w:name="__RefHeading___Toc29218628"/>
      <w:bookmarkEnd w:id="11"/>
      <w:r>
        <w:rPr>
          <w:rFonts w:cs="Calibri" w:ascii="Calibri" w:hAnsi="Calibri"/>
          <w:kern w:val="0"/>
          <w:szCs w:val="24"/>
        </w:rPr>
        <w:t>5.</w:t>
        <w:tab/>
        <w:t>DISTRIBUZIONE</w:t>
      </w:r>
    </w:p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DGE   RSGQ  </w:t>
      </w:r>
    </w:p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12" w:name="__RefHeading___Toc29218629"/>
      <w:bookmarkEnd w:id="12"/>
      <w:r>
        <w:rPr>
          <w:rFonts w:cs="Calibri" w:ascii="Calibri" w:hAnsi="Calibri"/>
          <w:kern w:val="0"/>
          <w:szCs w:val="24"/>
        </w:rPr>
        <w:t>6.</w:t>
        <w:tab/>
        <w:t>ELENCO DOCUMENTI COLLEGATI</w:t>
      </w:r>
    </w:p>
    <w:p>
      <w:pPr>
        <w:pStyle w:val="Normal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b/>
          <w:caps/>
          <w:sz w:val="24"/>
          <w:szCs w:val="24"/>
          <w:u w:val="single"/>
        </w:rPr>
      </w:pPr>
      <w:r>
        <w:rPr>
          <w:rFonts w:cs="Calibri" w:ascii="Calibri" w:hAnsi="Calibri"/>
          <w:b/>
          <w:caps/>
          <w:sz w:val="24"/>
          <w:szCs w:val="24"/>
          <w:u w:val="single"/>
        </w:rPr>
        <w:t>Mod. 6.1.1.1 VdR</w:t>
      </w:r>
    </w:p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b/>
          <w:caps/>
          <w:sz w:val="24"/>
          <w:szCs w:val="24"/>
          <w:u w:val="single"/>
        </w:rPr>
      </w:pPr>
      <w:r>
        <w:rPr>
          <w:rFonts w:cs="Calibri" w:ascii="Calibri" w:hAnsi="Calibri"/>
          <w:b/>
          <w:caps/>
          <w:sz w:val="24"/>
          <w:szCs w:val="24"/>
          <w:u w:val="single"/>
        </w:rPr>
      </w:r>
    </w:p>
    <w:p>
      <w:pPr>
        <w:pStyle w:val="Heading1"/>
        <w:tabs>
          <w:tab w:val="clear" w:pos="600"/>
          <w:tab w:val="clear" w:pos="720"/>
          <w:tab w:val="clear" w:pos="1200"/>
          <w:tab w:val="clear" w:pos="1800"/>
          <w:tab w:val="clear" w:pos="2614"/>
          <w:tab w:val="clear" w:pos="3000"/>
          <w:tab w:val="clear" w:pos="3600"/>
          <w:tab w:val="clear" w:pos="4200"/>
          <w:tab w:val="clear" w:pos="4800"/>
          <w:tab w:val="clear" w:pos="5400"/>
          <w:tab w:val="clear" w:pos="6000"/>
          <w:tab w:val="clear" w:pos="6600"/>
          <w:tab w:val="clear" w:pos="7200"/>
          <w:tab w:val="clear" w:pos="8180"/>
          <w:tab w:val="clear" w:pos="8260"/>
        </w:tabs>
        <w:spacing w:lineRule="auto" w:line="240" w:before="240" w:after="0"/>
        <w:ind w:end="0"/>
        <w:rPr>
          <w:rFonts w:ascii="Calibri" w:hAnsi="Calibri" w:cs="Calibri"/>
          <w:kern w:val="0"/>
          <w:szCs w:val="24"/>
        </w:rPr>
      </w:pPr>
      <w:bookmarkStart w:id="13" w:name="__RefHeading___Toc29218630"/>
      <w:bookmarkEnd w:id="13"/>
      <w:r>
        <w:rPr>
          <w:rFonts w:cs="Calibri" w:ascii="Calibri" w:hAnsi="Calibri"/>
          <w:kern w:val="0"/>
          <w:szCs w:val="24"/>
        </w:rPr>
        <w:t>7.</w:t>
        <w:tab/>
        <w:t>ARCHIVIAZIONE E CONSERVAZIONE REGISTRAZIONI</w:t>
      </w:r>
    </w:p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kern w:val="0"/>
          <w:sz w:val="24"/>
          <w:szCs w:val="24"/>
        </w:rPr>
      </w:pPr>
      <w:r>
        <w:rPr>
          <w:rFonts w:cs="Calibri" w:ascii="Calibri" w:hAnsi="Calibri"/>
          <w:kern w:val="0"/>
          <w:sz w:val="24"/>
          <w:szCs w:val="24"/>
        </w:rPr>
      </w:r>
    </w:p>
    <w:tbl>
      <w:tblPr>
        <w:tblW w:w="9960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52"/>
        <w:gridCol w:w="730"/>
        <w:gridCol w:w="675"/>
        <w:gridCol w:w="437"/>
        <w:gridCol w:w="1313"/>
        <w:gridCol w:w="1021"/>
        <w:gridCol w:w="859"/>
        <w:gridCol w:w="692"/>
        <w:gridCol w:w="968"/>
        <w:gridCol w:w="829"/>
        <w:gridCol w:w="1384"/>
      </w:tblGrid>
      <w:tr>
        <w:trPr>
          <w:trHeight w:val="1639" w:hRule="atLeast"/>
        </w:trPr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Descrizione</w:t>
            </w:r>
          </w:p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Registrazione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Origine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Id.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RSGI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Resp.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Approvazione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Resp</w:t>
            </w:r>
          </w:p>
          <w:p>
            <w:pPr>
              <w:pStyle w:val="Header"/>
              <w:tabs>
                <w:tab w:val="clear" w:pos="4819"/>
                <w:tab w:val="right" w:pos="9071" w:leader="none"/>
              </w:tabs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  <w:lang w:val="it-IT" w:eastAsia="it-IT"/>
              </w:rPr>
              <w:t>Registraz ed Archiviaz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Luogo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 xml:space="preserve">Archiviaz 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Resp. Eliminazione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Tempo di archiviaz.</w:t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4"/>
                <w:szCs w:val="24"/>
              </w:rPr>
              <w:t>Protezione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Destinazione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Finale</w:t>
            </w:r>
          </w:p>
        </w:tc>
      </w:tr>
      <w:tr>
        <w:trPr>
          <w:trHeight w:val="1346" w:hRule="atLeast"/>
        </w:trPr>
        <w:tc>
          <w:tcPr>
            <w:tcW w:w="1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Valutazione dei Rischi Sistema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INT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Mod 6.1.1.1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X</w:t>
            </w:r>
          </w:p>
        </w:tc>
        <w:tc>
          <w:tcPr>
            <w:tcW w:w="13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DGE</w:t>
            </w:r>
          </w:p>
        </w:tc>
        <w:tc>
          <w:tcPr>
            <w:tcW w:w="1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RSGI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right" w:pos="9071" w:leader="none"/>
              </w:tabs>
              <w:rPr>
                <w:rFonts w:ascii="Calibri" w:hAnsi="Calibri" w:cs="Calibri"/>
                <w:sz w:val="24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 w:val="24"/>
                <w:szCs w:val="24"/>
                <w:lang w:val="it-IT" w:eastAsia="it-IT"/>
              </w:rPr>
              <w:t>Ufficio DGE</w:t>
            </w:r>
          </w:p>
          <w:p>
            <w:pPr>
              <w:pStyle w:val="Header"/>
              <w:tabs>
                <w:tab w:val="clear" w:pos="4819"/>
                <w:tab w:val="right" w:pos="9071" w:leader="none"/>
              </w:tabs>
              <w:rPr>
                <w:rFonts w:ascii="Calibri" w:hAnsi="Calibri" w:cs="Calibri"/>
                <w:sz w:val="24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 w:val="24"/>
                <w:szCs w:val="24"/>
                <w:lang w:val="it-IT" w:eastAsia="it-IT"/>
              </w:rPr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819"/>
                <w:tab w:val="right" w:pos="9071" w:leader="none"/>
              </w:tabs>
              <w:rPr>
                <w:rFonts w:ascii="Calibri" w:hAnsi="Calibri" w:cs="Calibri"/>
                <w:sz w:val="24"/>
                <w:szCs w:val="24"/>
                <w:lang w:val="it-IT" w:eastAsia="it-IT"/>
              </w:rPr>
            </w:pPr>
            <w:r>
              <w:rPr>
                <w:rFonts w:cs="Calibri" w:ascii="Calibri" w:hAnsi="Calibri"/>
                <w:sz w:val="24"/>
                <w:szCs w:val="24"/>
                <w:lang w:val="it-IT" w:eastAsia="it-IT"/>
              </w:rPr>
              <w:t>DGE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10 anni</w:t>
            </w:r>
          </w:p>
        </w:tc>
        <w:tc>
          <w:tcPr>
            <w:tcW w:w="8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/</w:t>
            </w:r>
          </w:p>
        </w:tc>
        <w:tc>
          <w:tcPr>
            <w:tcW w:w="1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Pianificazione delle attività</w:t>
            </w:r>
          </w:p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>Riesame della direzione</w:t>
            </w:r>
          </w:p>
          <w:p>
            <w:pPr>
              <w:pStyle w:val="Normal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4"/>
                <w:szCs w:val="24"/>
              </w:rPr>
              <w:t xml:space="preserve">Politica aziendale </w:t>
            </w:r>
          </w:p>
        </w:tc>
      </w:tr>
    </w:tbl>
    <w:p>
      <w:pPr>
        <w:pStyle w:val="BodyText"/>
        <w:numPr>
          <w:ilvl w:val="0"/>
          <w:numId w:val="0"/>
        </w:numPr>
        <w:ind w:hanging="0" w:start="0" w:end="-7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418" w:gutter="0" w:header="737" w:top="2552" w:footer="73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New York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10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8009"/>
      <w:gridCol w:w="1701"/>
    </w:tblGrid>
    <w:tr>
      <w:trPr>
        <w:trHeight w:val="293" w:hRule="atLeast"/>
      </w:trPr>
      <w:tc>
        <w:tcPr>
          <w:tcW w:w="800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both"/>
            <w:rPr>
              <w:rFonts w:ascii="Calibri" w:hAnsi="Calibri" w:cs="Calibri"/>
              <w:sz w:val="24"/>
              <w:szCs w:val="24"/>
              <w:lang w:val="fr-FR" w:eastAsia="it-IT"/>
            </w:rPr>
          </w:pPr>
          <w:r>
            <w:rPr>
              <w:rFonts w:cs="Calibri" w:ascii="Calibri" w:hAnsi="Calibri"/>
              <w:b/>
              <w:sz w:val="24"/>
              <w:szCs w:val="24"/>
              <w:lang w:val="fr-FR" w:eastAsia="it-IT"/>
            </w:rPr>
            <w:t>PR 6.1.1</w:t>
          </w:r>
          <w:r>
            <w:rPr>
              <w:rFonts w:cs="Calibri" w:ascii="Calibri" w:hAnsi="Calibri"/>
              <w:sz w:val="24"/>
              <w:szCs w:val="24"/>
              <w:lang w:val="fr-FR" w:eastAsia="it-IT"/>
            </w:rPr>
            <w:t xml:space="preserve">  Ed. 01 Rev. 00</w:t>
          </w:r>
        </w:p>
      </w:tc>
      <w:tc>
        <w:tcPr>
          <w:tcW w:w="170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</w:tcPr>
        <w:p>
          <w:pPr>
            <w:pStyle w:val="Footer"/>
            <w:jc w:val="center"/>
            <w:rPr>
              <w:rFonts w:ascii="Calibri" w:hAnsi="Calibri" w:cs="Calibri"/>
              <w:sz w:val="24"/>
              <w:szCs w:val="24"/>
              <w:lang w:val="it-IT" w:eastAsia="it-IT"/>
            </w:rPr>
          </w:pPr>
          <w:r>
            <w:rPr>
              <w:rFonts w:cs="Calibri" w:ascii="Calibri" w:hAnsi="Calibri"/>
              <w:sz w:val="24"/>
              <w:szCs w:val="24"/>
              <w:lang w:val="fr-FR" w:eastAsia="it-IT"/>
            </w:rPr>
            <w:t>Pag.</w:t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t>.</w:t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961"/>
      <w:gridCol w:w="3403"/>
      <w:gridCol w:w="1276"/>
    </w:tblGrid>
    <w:tr>
      <w:trPr>
        <w:trHeight w:val="400" w:hRule="atLeast"/>
      </w:trPr>
      <w:tc>
        <w:tcPr>
          <w:tcW w:w="496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tabs>
              <w:tab w:val="right" w:pos="2835" w:leader="none"/>
              <w:tab w:val="center" w:pos="4819" w:leader="none"/>
              <w:tab w:val="right" w:pos="9071" w:leader="none"/>
            </w:tabs>
            <w:spacing w:before="60" w:after="0"/>
            <w:rPr>
              <w:rFonts w:ascii="Calibri" w:hAnsi="Calibri" w:cs="Calibri"/>
              <w:sz w:val="24"/>
              <w:szCs w:val="24"/>
              <w:lang w:val="en-US" w:eastAsia="it-IT"/>
            </w:rPr>
          </w:pPr>
          <w:r>
            <w:rPr>
              <w:rFonts w:cs="Calibri" w:ascii="Calibri" w:hAnsi="Calibri"/>
              <w:sz w:val="24"/>
              <w:szCs w:val="24"/>
              <w:lang w:val="en-US" w:eastAsia="it-IT"/>
            </w:rPr>
            <w:t xml:space="preserve">ELABORATO </w:t>
          </w:r>
          <w:r>
            <w:rPr>
              <w:rFonts w:cs="Tahoma" w:ascii="Calibri" w:hAnsi="Calibri"/>
              <w:color w:val="000000"/>
              <w:sz w:val="24"/>
              <w:szCs w:val="24"/>
              <w:lang w:val="en-US" w:eastAsia="it-IT"/>
            </w:rPr>
            <w:t>My Advisor S.r.l.</w:t>
          </w:r>
        </w:p>
        <w:p>
          <w:pPr>
            <w:pStyle w:val="Footer"/>
            <w:tabs>
              <w:tab w:val="right" w:pos="2835" w:leader="none"/>
              <w:tab w:val="center" w:pos="4819" w:leader="none"/>
              <w:tab w:val="right" w:pos="9071" w:leader="none"/>
            </w:tabs>
            <w:spacing w:before="60" w:after="0"/>
            <w:rPr>
              <w:rFonts w:ascii="Calibri" w:hAnsi="Calibri" w:cs="Calibri"/>
              <w:sz w:val="24"/>
              <w:szCs w:val="24"/>
              <w:lang w:val="it-IT" w:eastAsia="it-IT"/>
            </w:rPr>
          </w:pPr>
          <w:r>
            <w:rPr>
              <w:rFonts w:cs="Calibri" w:ascii="Calibri" w:hAnsi="Calibri"/>
              <w:sz w:val="24"/>
              <w:szCs w:val="24"/>
              <w:lang w:val="it-IT" w:eastAsia="it-IT"/>
            </w:rPr>
            <w:t>DATA: 20/05/2024</w:t>
          </w:r>
        </w:p>
      </w:tc>
      <w:tc>
        <w:tcPr>
          <w:tcW w:w="4679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spacing w:before="60" w:after="0"/>
            <w:rPr>
              <w:rFonts w:ascii="Calibri" w:hAnsi="Calibri" w:cs="Calibri"/>
              <w:sz w:val="24"/>
              <w:szCs w:val="24"/>
              <w:lang w:val="it-IT" w:eastAsia="it-IT"/>
            </w:rPr>
          </w:pPr>
          <w:r>
            <w:rPr>
              <w:rFonts w:cs="Calibri" w:ascii="Calibri" w:hAnsi="Calibri"/>
              <w:sz w:val="24"/>
              <w:szCs w:val="24"/>
              <w:lang w:val="it-IT" w:eastAsia="it-IT"/>
            </w:rPr>
            <w:t xml:space="preserve">APPROVATO </w:t>
          </w:r>
        </w:p>
        <w:p>
          <w:pPr>
            <w:pStyle w:val="Footer"/>
            <w:spacing w:before="60" w:after="0"/>
            <w:rPr>
              <w:rFonts w:ascii="Calibri" w:hAnsi="Calibri" w:cs="Calibri"/>
              <w:sz w:val="24"/>
              <w:szCs w:val="24"/>
              <w:lang w:val="it-IT" w:eastAsia="it-IT"/>
            </w:rPr>
          </w:pPr>
          <w:r>
            <w:rPr>
              <w:rFonts w:cs="Calibri" w:ascii="Calibri" w:hAnsi="Calibri"/>
              <w:sz w:val="24"/>
              <w:szCs w:val="24"/>
              <w:lang w:val="it-IT" w:eastAsia="it-IT"/>
            </w:rPr>
            <w:t>DATA: 20/05/2024</w:t>
          </w:r>
        </w:p>
      </w:tc>
    </w:tr>
    <w:tr>
      <w:trPr>
        <w:trHeight w:val="293" w:hRule="atLeast"/>
      </w:trPr>
      <w:tc>
        <w:tcPr>
          <w:tcW w:w="8364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both"/>
            <w:rPr>
              <w:rFonts w:ascii="Calibri" w:hAnsi="Calibri" w:cs="Calibri"/>
              <w:sz w:val="24"/>
              <w:szCs w:val="24"/>
              <w:lang w:val="fr-FR" w:eastAsia="it-IT"/>
            </w:rPr>
          </w:pPr>
          <w:r>
            <w:rPr>
              <w:rFonts w:cs="Calibri" w:ascii="Calibri" w:hAnsi="Calibri"/>
              <w:b/>
              <w:sz w:val="24"/>
              <w:szCs w:val="24"/>
              <w:lang w:val="fr-FR" w:eastAsia="it-IT"/>
            </w:rPr>
            <w:t>PR 6.1.1</w:t>
          </w:r>
          <w:r>
            <w:rPr>
              <w:rFonts w:cs="Calibri" w:ascii="Calibri" w:hAnsi="Calibri"/>
              <w:sz w:val="24"/>
              <w:szCs w:val="24"/>
              <w:lang w:val="fr-FR" w:eastAsia="it-IT"/>
            </w:rPr>
            <w:t xml:space="preserve">  Ed. 01 Rev. 01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F2F2F2" w:val="clear"/>
          <w:tcMar>
            <w:start w:w="71" w:type="dxa"/>
            <w:end w:w="71" w:type="dxa"/>
          </w:tcMar>
        </w:tcPr>
        <w:p>
          <w:pPr>
            <w:pStyle w:val="Footer"/>
            <w:jc w:val="center"/>
            <w:rPr>
              <w:rFonts w:ascii="Calibri" w:hAnsi="Calibri" w:cs="Calibri"/>
              <w:sz w:val="24"/>
              <w:szCs w:val="24"/>
              <w:lang w:val="it-IT" w:eastAsia="it-IT"/>
            </w:rPr>
          </w:pPr>
          <w:r>
            <w:rPr>
              <w:rFonts w:cs="Calibri" w:ascii="Calibri" w:hAnsi="Calibri"/>
              <w:sz w:val="24"/>
              <w:szCs w:val="24"/>
              <w:lang w:val="fr-FR" w:eastAsia="it-IT"/>
            </w:rPr>
            <w:t>Pag.</w:t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instrText xml:space="preserve"> PAGE </w:instrTex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t>1</w: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end"/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t>.</w:t>
          </w:r>
          <w:r>
            <w:rPr>
              <w:rFonts w:cs="Calibri" w:ascii="Calibri" w:hAnsi="Calibri"/>
              <w:sz w:val="24"/>
              <w:szCs w:val="24"/>
              <w:lang w:val="it-IT" w:eastAsia="it-IT"/>
            </w:rPr>
            <w:fldChar w:fldCharType="begin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instrText xml:space="preserve"> NUMPAGES \* ARABIC </w:instrTex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separate"/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t>6</w:t>
          </w:r>
          <w:r>
            <w:rPr>
              <w:sz w:val="24"/>
              <w:szCs w:val="24"/>
              <w:rFonts w:cs="Calibri" w:ascii="Calibri" w:hAnsi="Calibri"/>
              <w:lang w:val="it-IT" w:eastAsia="it-IT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>
              <w:lang w:val="it-IT" w:eastAsia="it-IT"/>
            </w:rPr>
          </w:pPr>
          <w:r>
            <w:rPr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 xml:space="preserve">Sistema Gestione Ambientale 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6.1.1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Valutazione dei rischi e DELLE OPPORTUNITA’</w:t>
          </w:r>
        </w:p>
      </w:tc>
    </w:tr>
  </w:tbl>
  <w:p>
    <w:pPr>
      <w:pStyle w:val="Header"/>
      <w:widowControl w:val="false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544"/>
      <w:gridCol w:w="6095"/>
    </w:tblGrid>
    <w:tr>
      <w:trPr>
        <w:trHeight w:val="668" w:hRule="atLeast"/>
        <w:cantSplit w:val="true"/>
      </w:trPr>
      <w:tc>
        <w:tcPr>
          <w:tcW w:w="3544" w:type="dxa"/>
          <w:vMerge w:val="restart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Heading4"/>
            <w:snapToGrid w:val="false"/>
            <w:spacing w:lineRule="atLeast" w:line="240" w:before="0" w:after="60"/>
            <w:ind w:hanging="0" w:start="0"/>
            <w:jc w:val="center"/>
            <w:rPr>
              <w:lang w:val="it-IT" w:eastAsia="it-IT"/>
            </w:rPr>
          </w:pPr>
          <w:r>
            <w:rPr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  <w:lang w:val="it-IT" w:eastAsia="it-IT"/>
            </w:rPr>
          </w:pPr>
          <w:r>
            <w:rPr>
              <w:rFonts w:cs="Calibri" w:ascii="Calibri" w:hAnsi="Calibri"/>
              <w:sz w:val="32"/>
              <w:lang w:val="it-IT" w:eastAsia="it-IT"/>
            </w:rPr>
            <w:t xml:space="preserve">Sistema Gestione Ambientale </w:t>
          </w:r>
        </w:p>
        <w:p>
          <w:pPr>
            <w:pStyle w:val="Header"/>
            <w:jc w:val="center"/>
            <w:rPr>
              <w:rFonts w:ascii="Calibri" w:hAnsi="Calibri" w:cs="Calibri"/>
              <w:b/>
              <w:sz w:val="32"/>
              <w:lang w:val="it-IT" w:eastAsia="it-IT"/>
            </w:rPr>
          </w:pPr>
          <w:r>
            <w:rPr>
              <w:rFonts w:cs="Calibri" w:ascii="Calibri" w:hAnsi="Calibri"/>
              <w:b/>
              <w:sz w:val="32"/>
              <w:lang w:val="it-IT" w:eastAsia="it-IT"/>
            </w:rPr>
            <w:t>PROCEDURA PR 6.1.1</w:t>
          </w:r>
        </w:p>
      </w:tc>
    </w:tr>
    <w:tr>
      <w:trPr>
        <w:trHeight w:val="561" w:hRule="atLeast"/>
        <w:cantSplit w:val="true"/>
      </w:trPr>
      <w:tc>
        <w:tcPr>
          <w:tcW w:w="3544" w:type="dxa"/>
          <w:vMerge w:val="continue"/>
          <w:tcBorders>
            <w:top w:val="single" w:sz="4" w:space="0" w:color="000000"/>
            <w:star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  <w:lang w:val="it-IT" w:eastAsia="it-IT"/>
            </w:rPr>
          </w:pPr>
          <w:r>
            <w:rPr>
              <w:rFonts w:cs="Calibri" w:ascii="Calibri" w:hAnsi="Calibri"/>
              <w:b/>
              <w:sz w:val="48"/>
              <w:lang w:val="it-IT" w:eastAsia="it-IT"/>
            </w:rPr>
          </w:r>
        </w:p>
      </w:tc>
      <w:tc>
        <w:tcPr>
          <w:tcW w:w="6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2F2F2" w:val="clear"/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caps/>
              <w:sz w:val="28"/>
              <w:lang w:val="it-IT" w:eastAsia="it-IT"/>
            </w:rPr>
          </w:pPr>
          <w:r>
            <w:rPr>
              <w:rFonts w:cs="Calibri" w:ascii="Calibri" w:hAnsi="Calibri"/>
              <w:b/>
              <w:caps/>
              <w:sz w:val="28"/>
              <w:lang w:val="it-IT" w:eastAsia="it-IT"/>
            </w:rPr>
            <w:t>Valutazione dei rischi e DELLE OPPORTUNITA’</w:t>
          </w:r>
        </w:p>
      </w:tc>
    </w:tr>
  </w:tbl>
  <w:p>
    <w:pPr>
      <w:pStyle w:val="Header"/>
      <w:widowControl w:val="false"/>
      <w:jc w:val="center"/>
      <w:rPr>
        <w:rFonts w:ascii="Arial" w:hAnsi="Arial" w:cs="Arial"/>
      </w:rPr>
    </w:pPr>
    <w:r>
      <w:rPr>
        <w:rFonts w:cs="Arial" w:ascii="Arial" w:hAnsi="Arial"/>
      </w:rPr>
    </w:r>
  </w:p>
  <w:p>
    <w:pPr>
      <w:pStyle w:val="Header"/>
      <w:jc w:val="cent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0" w:hanging="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0" w:hanging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0" w:hanging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0" w:hanging="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ew York;Times New Roman" w:hAnsi="New York;Times New Roman" w:eastAsia="Times New Roman" w:cs="New York;Times New Roman"/>
      <w:color w:val="auto"/>
      <w:sz w:val="22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9"/>
        <w:tab w:val="left" w:pos="600" w:leader="none"/>
        <w:tab w:val="left" w:pos="720" w:leader="none"/>
        <w:tab w:val="left" w:pos="1200" w:leader="none"/>
        <w:tab w:val="left" w:pos="1800" w:leader="none"/>
        <w:tab w:val="left" w:pos="2614" w:leader="none"/>
        <w:tab w:val="left" w:pos="3000" w:leader="none"/>
        <w:tab w:val="left" w:pos="3600" w:leader="none"/>
        <w:tab w:val="left" w:pos="4200" w:leader="none"/>
        <w:tab w:val="left" w:pos="4800" w:leader="none"/>
        <w:tab w:val="left" w:pos="5400" w:leader="none"/>
        <w:tab w:val="left" w:pos="6000" w:leader="none"/>
        <w:tab w:val="left" w:pos="6600" w:leader="none"/>
        <w:tab w:val="left" w:pos="7200" w:leader="none"/>
        <w:tab w:val="left" w:pos="8180" w:leader="none"/>
        <w:tab w:val="left" w:pos="8260" w:leader="none"/>
      </w:tabs>
      <w:spacing w:lineRule="auto" w:line="360" w:before="480" w:after="240"/>
      <w:ind w:hanging="0" w:start="0" w:end="-79"/>
      <w:jc w:val="both"/>
      <w:outlineLvl w:val="0"/>
    </w:pPr>
    <w:rPr>
      <w:rFonts w:ascii="Arial" w:hAnsi="Arial" w:cs="Arial"/>
      <w:b/>
      <w:kern w:val="2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character" w:styleId="WW8Num2z0">
    <w:name w:val="WW8Num2z0"/>
    <w:qFormat/>
    <w:rPr>
      <w:rFonts w:cs="Times New Roman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Times New Roman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color w:val="auto"/>
      <w:sz w:val="18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St38z0">
    <w:name w:val="WW8NumSt38z0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character" w:styleId="Hyperlink">
    <w:name w:val="Hyperlink"/>
    <w:rPr>
      <w:color w:val="0000FF"/>
      <w:u w:val="single"/>
    </w:rPr>
  </w:style>
  <w:style w:type="character" w:styleId="Rientrocorpodeltesto3Carattere">
    <w:name w:val="Rientro corpo del testo 3 Carattere"/>
    <w:qFormat/>
    <w:rPr>
      <w:rFonts w:ascii="New York;Times New Roman" w:hAnsi="New York;Times New Roman" w:cs="New York;Times New Roman"/>
      <w:sz w:val="16"/>
      <w:szCs w:val="16"/>
    </w:rPr>
  </w:style>
  <w:style w:type="character" w:styleId="Titolo2Carattere">
    <w:name w:val="Titolo 2 Carattere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TitoloCarattere">
    <w:name w:val="Titolo Carattere"/>
    <w:qFormat/>
    <w:rPr>
      <w:rFonts w:ascii="Cambria" w:hAnsi="Cambria" w:cs="Cambria"/>
      <w:b/>
      <w:bCs/>
      <w:kern w:val="2"/>
      <w:sz w:val="32"/>
      <w:szCs w:val="32"/>
    </w:rPr>
  </w:style>
  <w:style w:type="character" w:styleId="Titolo3Carattere">
    <w:name w:val="Titolo 3 Carattere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Titolo5Carattere">
    <w:name w:val="Titolo 5 Carattere"/>
    <w:qFormat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Titolo4Carattere">
    <w:name w:val="Titolo 4 Carattere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RientrocorpodeltestoCarattere">
    <w:name w:val="Rientro corpo del testo Carattere"/>
    <w:qFormat/>
    <w:rPr>
      <w:rFonts w:ascii="New York;Times New Roman" w:hAnsi="New York;Times New Roman" w:cs="New York;Times New Roman"/>
      <w:sz w:val="22"/>
    </w:rPr>
  </w:style>
  <w:style w:type="character" w:styleId="IntestazioneCarattere">
    <w:name w:val="Intestazione Carattere"/>
    <w:qFormat/>
    <w:rPr>
      <w:rFonts w:ascii="New York;Times New Roman" w:hAnsi="New York;Times New Roman" w:cs="New York;Times New Roman"/>
      <w:sz w:val="22"/>
    </w:rPr>
  </w:style>
  <w:style w:type="character" w:styleId="PidipaginaCarattere">
    <w:name w:val="Piè di pagina Carattere"/>
    <w:qFormat/>
    <w:rPr>
      <w:rFonts w:ascii="New York;Times New Roman" w:hAnsi="New York;Times New Roman" w:cs="New York;Times New Roman"/>
      <w:sz w:val="22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BodyText">
    <w:name w:val="Body Text"/>
    <w:basedOn w:val="Normal"/>
    <w:pPr>
      <w:spacing w:lineRule="auto" w:line="360"/>
      <w:ind w:hanging="0" w:start="0" w:end="241"/>
      <w:jc w:val="both"/>
    </w:pPr>
    <w:rPr>
      <w:rFonts w:ascii="Arial" w:hAnsi="Arial" w:cs="Arial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071" w:leader="none"/>
      </w:tabs>
    </w:pPr>
    <w:rPr>
      <w:lang w:val="en-US"/>
    </w:rPr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071" w:leader="none"/>
      </w:tabs>
    </w:pPr>
    <w:rPr>
      <w:lang w:val="en-US"/>
    </w:rPr>
  </w:style>
  <w:style w:type="paragraph" w:styleId="BodyText2">
    <w:name w:val="Body Text 2"/>
    <w:basedOn w:val="Normal"/>
    <w:qFormat/>
    <w:pPr>
      <w:spacing w:lineRule="auto" w:line="360"/>
      <w:jc w:val="both"/>
    </w:pPr>
    <w:rPr>
      <w:rFonts w:ascii="Arial" w:hAnsi="Arial" w:cs="Arial"/>
    </w:rPr>
  </w:style>
  <w:style w:type="paragraph" w:styleId="Corpodeltesto2">
    <w:name w:val="Corpo del testo 2"/>
    <w:basedOn w:val="Normal"/>
    <w:qFormat/>
    <w:pPr>
      <w:spacing w:lineRule="auto" w:line="480" w:before="0" w:after="120"/>
    </w:pPr>
    <w:rPr/>
  </w:style>
  <w:style w:type="paragraph" w:styleId="TOC1">
    <w:name w:val="TOC 1"/>
    <w:basedOn w:val="Normal"/>
    <w:next w:val="Normal"/>
    <w:pPr>
      <w:tabs>
        <w:tab w:val="clear" w:pos="709"/>
        <w:tab w:val="left" w:pos="720" w:leader="none"/>
        <w:tab w:val="right" w:pos="8772" w:leader="dot"/>
      </w:tabs>
    </w:pPr>
    <w:rPr>
      <w:rFonts w:ascii="Arial" w:hAnsi="Arial" w:cs="Arial"/>
      <w:caps/>
      <w:szCs w:val="22"/>
      <w:lang w:val="en-US" w:eastAsia="en-US"/>
    </w:rPr>
  </w:style>
  <w:style w:type="paragraph" w:styleId="Rientrocorpodeltesto3">
    <w:name w:val="Rientro corpo del testo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Nessunaspaziatura">
    <w:name w:val="Nessuna spaziatura"/>
    <w:qFormat/>
    <w:pPr>
      <w:widowControl/>
      <w:bidi w:val="0"/>
    </w:pPr>
    <w:rPr>
      <w:rFonts w:ascii="New York;Times New Roman" w:hAnsi="New York;Times New Roman" w:eastAsia="Times New Roman" w:cs="New York;Times New Roman"/>
      <w:color w:val="auto"/>
      <w:sz w:val="22"/>
      <w:szCs w:val="20"/>
      <w:lang w:val="it-IT" w:bidi="ar-SA" w:eastAsia="zh-CN"/>
    </w:rPr>
  </w:style>
  <w:style w:type="paragraph" w:styleId="TOC2">
    <w:name w:val="TOC 2"/>
    <w:basedOn w:val="Normal"/>
    <w:next w:val="Normal"/>
    <w:pPr>
      <w:tabs>
        <w:tab w:val="clear" w:pos="709"/>
        <w:tab w:val="left" w:pos="1100" w:leader="none"/>
        <w:tab w:val="right" w:pos="8772" w:leader="dot"/>
      </w:tabs>
      <w:ind w:hanging="0" w:start="220" w:end="0"/>
    </w:pPr>
    <w:rPr>
      <w:rFonts w:ascii="Tahoma" w:hAnsi="Tahoma" w:cs="Tahoma"/>
      <w:szCs w:val="22"/>
      <w:lang w:val="en-US" w:eastAsia="en-US"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Stile1">
    <w:name w:val="Stile1"/>
    <w:basedOn w:val="Normal"/>
    <w:qFormat/>
    <w:pPr>
      <w:ind w:firstLine="284" w:start="0" w:end="0"/>
    </w:pPr>
    <w:rPr>
      <w:rFonts w:ascii="Times New Roman" w:hAnsi="Times New Roman" w:cs="Times New Roman"/>
      <w:sz w:val="20"/>
      <w:lang w:bidi="he-IL"/>
    </w:rPr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itolosommario">
    <w:name w:val="Titolo sommario"/>
    <w:basedOn w:val="Heading1"/>
    <w:next w:val="Normal"/>
    <w:qFormat/>
    <w:pPr>
      <w:keepLines/>
      <w:numPr>
        <w:ilvl w:val="0"/>
        <w:numId w:val="0"/>
      </w:numPr>
      <w:tabs>
        <w:tab w:val="clear" w:pos="600"/>
        <w:tab w:val="clear" w:pos="720"/>
        <w:tab w:val="clear" w:pos="1200"/>
        <w:tab w:val="clear" w:pos="1800"/>
        <w:tab w:val="clear" w:pos="2614"/>
        <w:tab w:val="clear" w:pos="3000"/>
        <w:tab w:val="clear" w:pos="3600"/>
        <w:tab w:val="clear" w:pos="4200"/>
        <w:tab w:val="clear" w:pos="4800"/>
        <w:tab w:val="clear" w:pos="5400"/>
        <w:tab w:val="clear" w:pos="6000"/>
        <w:tab w:val="clear" w:pos="6600"/>
        <w:tab w:val="clear" w:pos="7200"/>
        <w:tab w:val="clear" w:pos="8180"/>
        <w:tab w:val="clear" w:pos="8260"/>
      </w:tabs>
      <w:spacing w:lineRule="auto" w:line="276" w:before="480" w:after="0"/>
      <w:ind w:hanging="0" w:start="0" w:end="0"/>
      <w:jc w:val="start"/>
      <w:outlineLvl w:val="9"/>
    </w:pPr>
    <w:rPr>
      <w:rFonts w:ascii="Cambria" w:hAnsi="Cambria" w:eastAsia="Times New Roman" w:cs="Times New Roman"/>
      <w:bCs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