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rStyle w:val="PageNumber"/>
          <w:rFonts w:ascii="Tahoma" w:hAnsi="Tahoma" w:cs="Tahoma"/>
          <w:sz w:val="20"/>
        </w:rPr>
      </w:pPr>
      <w:r>
        <w:rPr/>
      </w:r>
    </w:p>
    <w:p>
      <w:pPr>
        <w:pStyle w:val="Heading"/>
        <w:rPr/>
      </w:pPr>
      <w:r>
        <w:rPr>
          <w:rStyle w:val="PageNumber"/>
          <w:rFonts w:cs="Calibri" w:ascii="Calibri" w:hAnsi="Calibri"/>
          <w:b/>
          <w:sz w:val="24"/>
          <w:szCs w:val="24"/>
        </w:rPr>
        <w:t>INDICE</w:t>
      </w:r>
    </w:p>
    <w:p>
      <w:pPr>
        <w:pStyle w:val="Normal"/>
        <w:ind w:firstLine="567" w:end="0"/>
        <w:jc w:val="center"/>
        <w:rPr>
          <w:rStyle w:val="PageNumber"/>
          <w:rFonts w:ascii="Calibri" w:hAnsi="Calibri" w:cs="Calibri"/>
          <w:b/>
          <w:sz w:val="24"/>
          <w:szCs w:val="24"/>
        </w:rPr>
      </w:pPr>
      <w:r>
        <w:rPr/>
      </w:r>
    </w:p>
    <w:p>
      <w:pPr>
        <w:pStyle w:val="Normal"/>
        <w:ind w:firstLine="567" w:end="0"/>
        <w:jc w:val="center"/>
        <w:rPr>
          <w:rStyle w:val="PageNumber"/>
          <w:rFonts w:ascii="Calibri" w:hAnsi="Calibri" w:cs="Calibri"/>
          <w:b/>
          <w:sz w:val="24"/>
          <w:szCs w:val="24"/>
        </w:rPr>
      </w:pPr>
      <w:r>
        <w:rPr/>
      </w:r>
    </w:p>
    <w:p>
      <w:pPr>
        <w:pStyle w:val="Normal"/>
        <w:ind w:firstLine="567" w:end="0"/>
        <w:jc w:val="center"/>
        <w:rPr>
          <w:rStyle w:val="PageNumber"/>
          <w:rFonts w:ascii="Calibri" w:hAnsi="Calibri" w:cs="Calibri"/>
          <w:b/>
          <w:sz w:val="24"/>
          <w:szCs w:val="24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708"/>
              <w:tab w:val="right" w:pos="962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fldChar w:fldCharType="begin"/>
          </w:r>
          <w:r>
            <w:rPr>
              <w:sz w:val="24"/>
              <w:b w:val="false"/>
              <w:szCs w:val="24"/>
              <w:rFonts w:cs="Tahoma" w:ascii="Calibri" w:hAnsi="Calibri"/>
              <w:lang w:val="en-US" w:eastAsia="en-US"/>
            </w:rPr>
            <w:instrText xml:space="preserve"> TOC \o "1-3" </w:instrText>
          </w:r>
          <w:r>
            <w:rPr>
              <w:sz w:val="24"/>
              <w:b w:val="false"/>
              <w:szCs w:val="24"/>
              <w:rFonts w:cs="Tahoma" w:ascii="Calibri" w:hAnsi="Calibri"/>
              <w:lang w:val="en-US" w:eastAsia="en-US"/>
            </w:rPr>
            <w:fldChar w:fldCharType="separate"/>
          </w: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1.  SCOPO E GENERALITÀ</w:t>
            <w:tab/>
          </w:r>
          <w:hyperlink w:anchor="__RefHeading___Toc442167591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2"/>
            <w:tabs>
              <w:tab w:val="clear" w:pos="708"/>
              <w:tab w:val="right" w:pos="962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2.  APPLICABILITÀ E RESPONSABILITÀ</w:t>
            <w:tab/>
          </w:r>
          <w:hyperlink w:anchor="__RefHeading___Toc442167592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2"/>
            <w:tabs>
              <w:tab w:val="clear" w:pos="708"/>
              <w:tab w:val="right" w:pos="962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3.  DESCRIZIONE DELLE ATTIVITÀ</w:t>
            <w:tab/>
          </w:r>
          <w:hyperlink w:anchor="__RefHeading___Toc442167593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3"/>
            <w:tabs>
              <w:tab w:val="clear" w:pos="708"/>
              <w:tab w:val="left" w:pos="1000" w:leader="none"/>
              <w:tab w:val="right" w:pos="9628" w:leader="underscore"/>
            </w:tabs>
            <w:rPr>
              <w:rFonts w:ascii="Calibri" w:hAnsi="Calibri" w:cs="Tahoma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sz w:val="24"/>
              <w:szCs w:val="24"/>
              <w:lang w:val="en-US" w:eastAsia="en-US"/>
            </w:rPr>
            <w:t>3.1</w:t>
            <w:tab/>
            <w:t>MODALITA’ DI ESECUZIONE DEI RIESAMI E DI DEFINIZIONE DELLE POLITICHE E DEGLI OBIETTIVI AZIENDALI</w:t>
            <w:tab/>
          </w:r>
          <w:hyperlink w:anchor="__RefHeading___Toc442167594">
            <w:r>
              <w:rPr>
                <w:rStyle w:val="IndexLink"/>
                <w:rFonts w:cs="Tahoma" w:ascii="Calibri" w:hAnsi="Calibri"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3"/>
            <w:tabs>
              <w:tab w:val="clear" w:pos="708"/>
              <w:tab w:val="right" w:pos="9628" w:leader="underscore"/>
            </w:tabs>
            <w:rPr>
              <w:rFonts w:ascii="Calibri" w:hAnsi="Calibri" w:cs="Tahoma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sz w:val="24"/>
              <w:szCs w:val="24"/>
              <w:lang w:val="en-US" w:eastAsia="en-US"/>
            </w:rPr>
            <w:t>3.2    MODALITA’ DI GESTIONE DELLE RIUNIONI</w:t>
            <w:tab/>
          </w:r>
          <w:hyperlink w:anchor="__RefHeading___Toc442167595">
            <w:r>
              <w:rPr>
                <w:rStyle w:val="IndexLink"/>
                <w:rFonts w:cs="Tahoma" w:ascii="Calibri" w:hAnsi="Calibri"/>
                <w:sz w:val="24"/>
                <w:szCs w:val="24"/>
                <w:lang w:val="en-US" w:eastAsia="en-US"/>
              </w:rPr>
              <w:t>4</w:t>
            </w:r>
          </w:hyperlink>
        </w:p>
        <w:p>
          <w:pPr>
            <w:pStyle w:val="TOC2"/>
            <w:tabs>
              <w:tab w:val="clear" w:pos="708"/>
              <w:tab w:val="left" w:pos="800" w:leader="none"/>
              <w:tab w:val="right" w:pos="962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4.  TERMINI, DEFINIZIONI, ABBREVIAZIONI E NORME</w:t>
            <w:tab/>
          </w:r>
          <w:hyperlink w:anchor="__RefHeading___Toc442167596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4</w:t>
            </w:r>
          </w:hyperlink>
        </w:p>
        <w:p>
          <w:pPr>
            <w:pStyle w:val="TOC2"/>
            <w:tabs>
              <w:tab w:val="clear" w:pos="708"/>
              <w:tab w:val="left" w:pos="800" w:leader="none"/>
              <w:tab w:val="right" w:pos="962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5.  DISTRIBUZIONE</w:t>
            <w:tab/>
          </w:r>
          <w:hyperlink w:anchor="__RefHeading___Toc442167597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4</w:t>
            </w:r>
          </w:hyperlink>
        </w:p>
        <w:p>
          <w:pPr>
            <w:pStyle w:val="TOC2"/>
            <w:tabs>
              <w:tab w:val="clear" w:pos="708"/>
              <w:tab w:val="right" w:pos="962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6.  DOCUMENTAZIONE DI RIFERIMENTO</w:t>
            <w:tab/>
          </w:r>
          <w:hyperlink w:anchor="__RefHeading___Toc442167598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4</w:t>
            </w:r>
          </w:hyperlink>
        </w:p>
        <w:p>
          <w:pPr>
            <w:pStyle w:val="TOC2"/>
            <w:tabs>
              <w:tab w:val="clear" w:pos="708"/>
              <w:tab w:val="right" w:pos="962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7.  ARCHIVIAZIONE E CONSERVAZIONE REGISTRAZIONI</w:t>
            <w:tab/>
          </w:r>
          <w:hyperlink w:anchor="__RefHeading___Toc442167599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5</w:t>
            </w:r>
          </w:hyperlink>
          <w:r>
            <w:rPr>
              <w:rStyle w:val="IndexLink"/>
              <w:sz w:val="24"/>
              <w:b w:val="false"/>
              <w:szCs w:val="24"/>
              <w:rFonts w:cs="Tahoma" w:ascii="Calibri" w:hAnsi="Calibri"/>
              <w:lang w:val="en-US" w:eastAsia="en-US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tabs>
          <w:tab w:val="clear" w:pos="708"/>
          <w:tab w:val="left" w:pos="-567" w:leader="none"/>
          <w:tab w:val="left" w:pos="284" w:leader="none"/>
          <w:tab w:val="left" w:pos="567" w:leader="none"/>
          <w:tab w:val="left" w:pos="851" w:leader="none"/>
          <w:tab w:val="left" w:pos="2268" w:leader="none"/>
        </w:tabs>
        <w:spacing w:before="0" w:after="0"/>
        <w:jc w:val="both"/>
        <w:rPr>
          <w:rStyle w:val="PageNumber"/>
          <w:rFonts w:ascii="Calibri" w:hAnsi="Calibri" w:cs="Calibri"/>
          <w:b/>
          <w:i/>
          <w:i/>
          <w:caps/>
          <w:kern w:val="0"/>
          <w:sz w:val="24"/>
          <w:szCs w:val="24"/>
        </w:rPr>
      </w:pPr>
      <w:r>
        <w:rPr>
          <w:rFonts w:cs="Tahoma" w:ascii="Calibri" w:hAnsi="Calibri"/>
          <w:b w:val="false"/>
          <w:sz w:val="24"/>
          <w:szCs w:val="24"/>
          <w:lang w:val="en-US" w:eastAsia="en-US"/>
        </w:rPr>
      </w:r>
      <w:r>
        <w:br w:type="page"/>
      </w:r>
    </w:p>
    <w:p>
      <w:pPr>
        <w:pStyle w:val="Heading1"/>
        <w:tabs>
          <w:tab w:val="clear" w:pos="708"/>
          <w:tab w:val="left" w:pos="-567" w:leader="none"/>
          <w:tab w:val="left" w:pos="284" w:leader="none"/>
          <w:tab w:val="left" w:pos="567" w:leader="none"/>
          <w:tab w:val="left" w:pos="851" w:leader="none"/>
          <w:tab w:val="left" w:pos="2268" w:leader="none"/>
        </w:tabs>
        <w:spacing w:before="0" w:after="0"/>
        <w:ind w:hanging="0" w:start="0"/>
        <w:jc w:val="both"/>
        <w:rPr>
          <w:rStyle w:val="PageNumber"/>
          <w:rFonts w:ascii="Calibri" w:hAnsi="Calibri" w:cs="Calibri"/>
          <w:b/>
          <w:i/>
          <w:i/>
          <w:caps/>
          <w:kern w:val="0"/>
          <w:sz w:val="24"/>
          <w:szCs w:val="24"/>
        </w:rPr>
      </w:pPr>
      <w:r>
        <w:rPr/>
      </w:r>
    </w:p>
    <w:p>
      <w:pPr>
        <w:pStyle w:val="Heading2"/>
        <w:ind w:hanging="0" w:start="0"/>
        <w:rPr/>
      </w:pPr>
      <w:bookmarkStart w:id="0" w:name="__RefHeading___Toc442167591"/>
      <w:bookmarkEnd w:id="0"/>
      <w:r>
        <w:rPr>
          <w:rFonts w:cs="Calibri" w:ascii="Calibri" w:hAnsi="Calibri"/>
          <w:caps w:val="false"/>
          <w:smallCaps w:val="false"/>
          <w:sz w:val="24"/>
          <w:szCs w:val="24"/>
        </w:rPr>
        <w:t>1.                     SCOPO E GENERALITÀ</w:t>
      </w:r>
    </w:p>
    <w:p>
      <w:pPr>
        <w:pStyle w:val="Normal"/>
        <w:rPr>
          <w:rFonts w:ascii="Calibri" w:hAnsi="Calibri" w:cs="Calibri"/>
          <w:smallCaps/>
          <w:sz w:val="24"/>
          <w:szCs w:val="24"/>
        </w:rPr>
      </w:pPr>
      <w:r>
        <w:rPr>
          <w:rFonts w:cs="Calibri" w:ascii="Calibri" w:hAnsi="Calibri"/>
          <w:smallCaps/>
          <w:sz w:val="24"/>
          <w:szCs w:val="24"/>
        </w:rPr>
      </w:r>
    </w:p>
    <w:p>
      <w:pPr>
        <w:pStyle w:val="Rientrocorpodeltesto3"/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La presente Procedura gestionale definisce le modalità e le responsabilità messe in campo da </w:t>
      </w:r>
      <w:r>
        <w:rPr>
          <w:rFonts w:cs="Tahoma" w:ascii="Calibri" w:hAnsi="Calibri"/>
          <w:b/>
          <w:szCs w:val="24"/>
        </w:rPr>
        <w:t xml:space="preserve">NOME VS. AZIENDA </w:t>
      </w:r>
      <w:r>
        <w:rPr>
          <w:rFonts w:cs="Calibri" w:ascii="Calibri" w:hAnsi="Calibri"/>
          <w:caps w:val="false"/>
          <w:smallCaps w:val="false"/>
          <w:szCs w:val="24"/>
        </w:rPr>
        <w:t xml:space="preserve"> per la definizione, coerentemente alla </w:t>
      </w:r>
      <w:r>
        <w:rPr>
          <w:rFonts w:cs="Calibri" w:ascii="Calibri" w:hAnsi="Calibri"/>
          <w:i/>
          <w:caps w:val="false"/>
          <w:smallCaps w:val="false"/>
          <w:szCs w:val="24"/>
        </w:rPr>
        <w:t>mission</w:t>
      </w:r>
      <w:r>
        <w:rPr>
          <w:rFonts w:cs="Calibri" w:ascii="Calibri" w:hAnsi="Calibri"/>
          <w:caps w:val="false"/>
          <w:smallCaps w:val="false"/>
          <w:szCs w:val="24"/>
        </w:rPr>
        <w:t>, delle politiche e degli obiettivi aziendali.</w:t>
      </w:r>
    </w:p>
    <w:p>
      <w:pPr>
        <w:pStyle w:val="Rientrocorpodeltesto3"/>
        <w:rPr/>
      </w:pPr>
      <w:r>
        <w:rPr>
          <w:rFonts w:cs="Calibri" w:ascii="Calibri" w:hAnsi="Calibri"/>
          <w:caps w:val="false"/>
          <w:smallCaps w:val="false"/>
          <w:szCs w:val="24"/>
        </w:rPr>
        <w:t>Inoltre si definiscono le modalità e le responsabilità circa le attività di riesame della Direzione aziendale, in ordine alla verifica dell’adeguatezza nel tempo  delle risorse messe in campo e del livello di raggiungimento degli obiettivi fissati.</w:t>
      </w:r>
    </w:p>
    <w:p>
      <w:pPr>
        <w:pStyle w:val="Rientrocorpodeltesto3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La procedura definisce anche le modalità svolgimento e verbalizzazione delle Riunioni aziendali.</w:t>
      </w:r>
    </w:p>
    <w:p>
      <w:pPr>
        <w:pStyle w:val="Rientrocorpodeltesto3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Heading2"/>
        <w:ind w:hanging="0" w:start="0"/>
        <w:rPr/>
      </w:pPr>
      <w:bookmarkStart w:id="1" w:name="__RefHeading___Toc442167592"/>
      <w:bookmarkEnd w:id="1"/>
      <w:r>
        <w:rPr>
          <w:rFonts w:cs="Calibri" w:ascii="Calibri" w:hAnsi="Calibri"/>
          <w:caps w:val="false"/>
          <w:smallCaps w:val="false"/>
          <w:sz w:val="24"/>
          <w:szCs w:val="24"/>
        </w:rPr>
        <w:t>2.                     APPLICABILITÀ E RESPONSABILITÀ</w:t>
      </w:r>
    </w:p>
    <w:p>
      <w:pPr>
        <w:pStyle w:val="Normal"/>
        <w:rPr>
          <w:rFonts w:ascii="Calibri" w:hAnsi="Calibri" w:cs="Calibri"/>
          <w:smallCaps/>
          <w:sz w:val="24"/>
          <w:szCs w:val="24"/>
        </w:rPr>
      </w:pPr>
      <w:r>
        <w:rPr>
          <w:rFonts w:cs="Calibri" w:ascii="Calibri" w:hAnsi="Calibri"/>
          <w:smallCaps/>
          <w:sz w:val="24"/>
          <w:szCs w:val="24"/>
        </w:rPr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La procedura si applica alle funzioni direttive aziendali</w:t>
      </w:r>
    </w:p>
    <w:p>
      <w:pPr>
        <w:pStyle w:val="Heading8"/>
        <w:ind w:firstLine="142" w:start="0" w:end="0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>Le responsabilità coinvolte sono:</w:t>
      </w:r>
    </w:p>
    <w:p>
      <w:pPr>
        <w:pStyle w:val="Normal"/>
        <w:rPr>
          <w:rFonts w:ascii="Calibri" w:hAnsi="Calibri" w:cs="Calibri"/>
          <w:smallCaps/>
          <w:sz w:val="24"/>
          <w:szCs w:val="24"/>
        </w:rPr>
      </w:pPr>
      <w:r>
        <w:rPr>
          <w:rFonts w:cs="Calibri" w:ascii="Calibri" w:hAnsi="Calibri"/>
          <w:smallCaps/>
          <w:sz w:val="24"/>
          <w:szCs w:val="24"/>
        </w:rPr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DIREZIONE GENERALE (DGE)</w:t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RESPONSABILE GESTIONE AMBIENTALE (RSGQ) </w:t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RESPONSABILI FUNZIONALI</w:t>
      </w:r>
    </w:p>
    <w:p>
      <w:pPr>
        <w:pStyle w:val="Normal"/>
        <w:ind w:start="720" w:end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2"/>
        <w:ind w:hanging="0" w:start="0"/>
        <w:rPr/>
      </w:pPr>
      <w:bookmarkStart w:id="2" w:name="__RefHeading___Toc442167593"/>
      <w:bookmarkEnd w:id="2"/>
      <w:r>
        <w:rPr>
          <w:rFonts w:cs="Calibri" w:ascii="Calibri" w:hAnsi="Calibri"/>
          <w:caps w:val="false"/>
          <w:smallCaps w:val="false"/>
          <w:sz w:val="24"/>
          <w:szCs w:val="24"/>
        </w:rPr>
        <w:t>3.                    DESCRIZIONE DELLE ATTIVITÀ</w:t>
      </w:r>
    </w:p>
    <w:p>
      <w:pPr>
        <w:pStyle w:val="Normal"/>
        <w:rPr>
          <w:rFonts w:ascii="Calibri" w:hAnsi="Calibri" w:cs="Calibri"/>
          <w:smallCaps/>
          <w:sz w:val="24"/>
          <w:szCs w:val="24"/>
        </w:rPr>
      </w:pPr>
      <w:r>
        <w:rPr>
          <w:rFonts w:cs="Calibri" w:ascii="Calibri" w:hAnsi="Calibri"/>
          <w:smallCaps/>
          <w:sz w:val="24"/>
          <w:szCs w:val="24"/>
        </w:rPr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Distinguiamo tra: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modalità di definizione delle politiche e degli obiettivi aziendali e dei riesami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modalità di gestione delle riunioni</w:t>
      </w:r>
    </w:p>
    <w:p>
      <w:pPr>
        <w:pStyle w:val="Normal"/>
        <w:ind w:start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3"/>
        <w:ind w:hanging="1418" w:start="1418" w:end="0"/>
        <w:rPr>
          <w:rFonts w:ascii="Calibri" w:hAnsi="Calibri" w:cs="Calibri"/>
          <w:i w:val="false"/>
          <w:i w:val="false"/>
          <w:szCs w:val="24"/>
        </w:rPr>
      </w:pPr>
      <w:bookmarkStart w:id="3" w:name="__RefHeading___Toc442167594"/>
      <w:r>
        <w:rPr>
          <w:rFonts w:cs="Calibri" w:ascii="Calibri" w:hAnsi="Calibri"/>
          <w:i w:val="false"/>
          <w:szCs w:val="24"/>
        </w:rPr>
        <w:t>3.1</w:t>
        <w:tab/>
        <w:t>MODALITA’ DI ESECUZIONE DEI RIESAMI E DI DEFINIZIONE DELLE POLITICHE E DEGLI OBIETTIVI AZIENDALI</w:t>
      </w:r>
      <w:bookmarkEnd w:id="3"/>
      <w:r>
        <w:rPr>
          <w:rFonts w:cs="Calibri" w:ascii="Calibri" w:hAnsi="Calibri"/>
          <w:i w:val="false"/>
          <w:szCs w:val="24"/>
        </w:rPr>
        <w:t xml:space="preserve"> </w:t>
      </w:r>
    </w:p>
    <w:p>
      <w:pPr>
        <w:pStyle w:val="Normal"/>
        <w:ind w:firstLine="142" w:end="0"/>
        <w:jc w:val="both"/>
        <w:rPr>
          <w:rFonts w:ascii="Calibri" w:hAnsi="Calibri" w:cs="Calibri"/>
          <w:i/>
          <w:i/>
          <w:sz w:val="24"/>
          <w:szCs w:val="24"/>
        </w:rPr>
      </w:pPr>
      <w:r>
        <w:rPr>
          <w:rFonts w:cs="Calibri" w:ascii="Calibri" w:hAnsi="Calibri"/>
          <w:i/>
          <w:sz w:val="24"/>
          <w:szCs w:val="24"/>
        </w:rPr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L’attività di </w:t>
      </w:r>
      <w:r>
        <w:rPr>
          <w:rFonts w:cs="Calibri" w:ascii="Calibri" w:hAnsi="Calibri"/>
          <w:b/>
          <w:sz w:val="24"/>
          <w:szCs w:val="24"/>
        </w:rPr>
        <w:t xml:space="preserve">Riesame del Sistema di gestione Ambientale </w:t>
      </w:r>
      <w:r>
        <w:rPr>
          <w:rFonts w:cs="Calibri" w:ascii="Calibri" w:hAnsi="Calibri"/>
          <w:sz w:val="24"/>
          <w:szCs w:val="24"/>
        </w:rPr>
        <w:t>viene effettuato da DGE almeno una volta l’anno, se non vengono riscontrate particolari necessità.</w:t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Tale attività di riesame si basa principalmente:</w:t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gli esiti degli audit interni e delle valutazioni di conformità ai requisiti di legge applicabili e ai requisiti di altro tipo che l’organizzazione sottoscrive;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 risultati della partecipazione e consultazione;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le comunicazioni pertinenti da parti interessate esterne all’organizzazione, compresi i reclami;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le azioni conseguenti a precedenti riesami della direzione;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le raccomandazioni per il miglioramento.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analisi degli indicatori di processo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Piani di informazione, formazione e addestramento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analisi degli obiettivi dell’anno precedente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i riepiloghi analitici – vedi procedura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PR 9.1 Soddisfazione Cliente-Analisi dati e tecniche statistiche</w:t>
      </w:r>
      <w:r>
        <w:rPr>
          <w:rFonts w:cs="Calibri" w:ascii="Calibri" w:hAnsi="Calibri"/>
          <w:b/>
          <w:sz w:val="24"/>
          <w:szCs w:val="24"/>
        </w:rPr>
        <w:t xml:space="preserve"> 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risultati delle Verifiche Ispettive Interne di funzione – vedi procedura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PR 9.2 Gestione degli Audit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analisi delle registrazioni di Non Conformità e Reclami di periodo – vedi procedura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PR 8.7 Gestione NC e Reclami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analisi dell’efficacia delle azioni di miglioramento intraprese nel periodo.</w:t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Tutta la documentazione assoggettata all’attività di riesame viene elencata da RSGQ sul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Mod.9.3.1-Verbale di Riesame</w:t>
      </w:r>
      <w:r>
        <w:rPr>
          <w:rFonts w:cs="Calibri" w:ascii="Calibri" w:hAnsi="Calibri"/>
          <w:sz w:val="24"/>
          <w:szCs w:val="24"/>
        </w:rPr>
        <w:t xml:space="preserve"> e, quando possibile, allegata in copia a questo.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 xml:space="preserve">DGE dopo aver visionato e analizzato  tutti i documenti e, se necessario, intervistato i responsabili funzionali,  riporta sul Mod.9.3.1 nell’apposita zona “ESITO DEL RIESAME”  le considerazioni del caso, se necessario la nuova </w:t>
      </w:r>
      <w:r>
        <w:rPr>
          <w:rFonts w:cs="Calibri" w:ascii="Calibri" w:hAnsi="Calibri"/>
          <w:b/>
          <w:sz w:val="24"/>
          <w:szCs w:val="24"/>
        </w:rPr>
        <w:t>Politica del SGA</w:t>
      </w:r>
      <w:r>
        <w:rPr>
          <w:rFonts w:cs="Calibri" w:ascii="Calibri" w:hAnsi="Calibri"/>
          <w:sz w:val="24"/>
          <w:szCs w:val="24"/>
        </w:rPr>
        <w:t xml:space="preserve">,  ridefinendo strategie e  obiettivi generali, che vengono poi esplosi a livello di Responsabili Funzionali e descritti sul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 6.1.1.1 – Analisi dei rischi di Sistema-</w:t>
      </w:r>
      <w:r>
        <w:rPr>
          <w:rFonts w:cs="Calibri" w:ascii="Calibri" w:hAnsi="Calibri"/>
          <w:b/>
          <w:sz w:val="24"/>
          <w:szCs w:val="24"/>
        </w:rPr>
        <w:t>.</w:t>
      </w:r>
    </w:p>
    <w:p>
      <w:pPr>
        <w:pStyle w:val="Normal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   </w:t>
      </w:r>
      <w:r>
        <w:rPr>
          <w:rFonts w:cs="Calibri" w:ascii="Calibri" w:hAnsi="Calibri"/>
          <w:sz w:val="24"/>
          <w:szCs w:val="24"/>
        </w:rPr>
        <w:t xml:space="preserve">Attraverso il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 6.1.1.1 – Analisi dei rischi di Sistema-</w:t>
      </w:r>
      <w:r>
        <w:rPr>
          <w:rFonts w:cs="Calibri" w:ascii="Calibri" w:hAnsi="Calibri"/>
          <w:b/>
          <w:sz w:val="24"/>
          <w:szCs w:val="24"/>
        </w:rPr>
        <w:t xml:space="preserve"> </w:t>
      </w:r>
      <w:r>
        <w:rPr>
          <w:rFonts w:cs="Calibri" w:ascii="Calibri" w:hAnsi="Calibri"/>
          <w:sz w:val="24"/>
          <w:szCs w:val="24"/>
        </w:rPr>
        <w:t>la DGE individua gli specifici obiettivi annuali coinvolgendo laddove ritenuto necessario altri eventuali Responsabili di funzione, ridefinendo o riproponendo obiettivi e/o azioni di miglioramento, corredandole delle indicazioni circa le tempistiche e le  responsabilità incaricate per l’esecuzione.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   </w:t>
      </w:r>
      <w:r>
        <w:rPr>
          <w:rFonts w:cs="Calibri" w:ascii="Calibri" w:hAnsi="Calibri"/>
          <w:sz w:val="24"/>
          <w:szCs w:val="24"/>
        </w:rPr>
        <w:t xml:space="preserve">Alcuni obiettivi poi possono essere riesaminati periodicamente (cadenza 6 mesi) da DGE, il quale attraverso il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 6.1.1.1 – Analisi dei rischi di Sistema-</w:t>
      </w:r>
      <w:r>
        <w:rPr>
          <w:rFonts w:cs="Calibri" w:ascii="Calibri" w:hAnsi="Calibri"/>
          <w:b/>
          <w:sz w:val="24"/>
          <w:szCs w:val="24"/>
        </w:rPr>
        <w:t xml:space="preserve"> </w:t>
      </w:r>
      <w:r>
        <w:rPr>
          <w:rFonts w:cs="Calibri" w:ascii="Calibri" w:hAnsi="Calibri"/>
          <w:sz w:val="24"/>
          <w:szCs w:val="24"/>
        </w:rPr>
        <w:t>stesso, effettua una pianificazione, definendo i tempi entro cui effettuare le opportune verifiche ed analisi volte a tenere sotto controllo il grado di raggiungimento di alcuni degli obiettivi espressi.</w:t>
      </w:r>
    </w:p>
    <w:p>
      <w:pPr>
        <w:pStyle w:val="Rientrocorpodeltesto3"/>
        <w:rPr>
          <w:rFonts w:ascii="Calibri" w:hAnsi="Calibri" w:cs="Calibri"/>
          <w:caps w:val="false"/>
          <w:smallCaps w:val="false"/>
          <w:sz w:val="24"/>
          <w:szCs w:val="24"/>
        </w:rPr>
      </w:pPr>
      <w:r>
        <w:rPr>
          <w:rFonts w:cs="Calibri" w:ascii="Calibri" w:hAnsi="Calibri"/>
          <w:caps w:val="false"/>
          <w:smallCaps w:val="false"/>
          <w:sz w:val="24"/>
          <w:szCs w:val="24"/>
        </w:rPr>
      </w:r>
    </w:p>
    <w:p>
      <w:pPr>
        <w:pStyle w:val="Rientrocorpodeltesto3"/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Il </w:t>
      </w:r>
      <w:r>
        <w:rPr>
          <w:rFonts w:cs="Calibri" w:ascii="Calibri" w:hAnsi="Calibri"/>
          <w:b/>
          <w:caps/>
          <w:szCs w:val="24"/>
          <w:u w:val="single"/>
        </w:rPr>
        <w:t>Mod 6.1.1.1 – Analisi dei rischi di Sistema-</w:t>
      </w:r>
      <w:r>
        <w:rPr>
          <w:rFonts w:cs="Calibri" w:ascii="Calibri" w:hAnsi="Calibri"/>
          <w:caps w:val="false"/>
          <w:smallCaps w:val="false"/>
          <w:szCs w:val="24"/>
        </w:rPr>
        <w:t xml:space="preserve"> riportanti l’eventuale firma del Responsabile di funzione, sono sottoposti al personale di funzione e archiviati da RSGQ in apposito faldone per un periodo di almeno 10 anni.</w:t>
      </w:r>
    </w:p>
    <w:p>
      <w:pPr>
        <w:pStyle w:val="Normal"/>
        <w:ind w:firstLine="142" w:end="0"/>
        <w:jc w:val="both"/>
        <w:rPr>
          <w:rFonts w:ascii="Calibri" w:hAnsi="Calibri" w:cs="Calibri"/>
          <w:smallCaps/>
          <w:sz w:val="24"/>
          <w:szCs w:val="24"/>
        </w:rPr>
      </w:pPr>
      <w:r>
        <w:rPr>
          <w:rFonts w:cs="Calibri" w:ascii="Calibri" w:hAnsi="Calibri"/>
          <w:smallCaps/>
          <w:sz w:val="24"/>
          <w:szCs w:val="24"/>
        </w:rPr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I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 9.3.1</w:t>
      </w:r>
      <w:r>
        <w:rPr>
          <w:rFonts w:cs="Calibri" w:ascii="Calibri" w:hAnsi="Calibri"/>
          <w:sz w:val="24"/>
          <w:szCs w:val="24"/>
        </w:rPr>
        <w:t xml:space="preserve"> e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 6.1.1.1 – Analisi dei rischi di Sistema-</w:t>
      </w:r>
      <w:r>
        <w:rPr>
          <w:rFonts w:cs="Calibri" w:ascii="Calibri" w:hAnsi="Calibri"/>
          <w:sz w:val="24"/>
          <w:szCs w:val="24"/>
        </w:rPr>
        <w:t xml:space="preserve"> firmati da DGE, sono conservati da RSGQ in originale nella </w:t>
      </w:r>
      <w:r>
        <w:rPr>
          <w:rFonts w:cs="Calibri" w:ascii="Calibri" w:hAnsi="Calibri"/>
          <w:b/>
          <w:sz w:val="24"/>
          <w:szCs w:val="24"/>
        </w:rPr>
        <w:t>cartella &lt;Politiche e Riesami - Riunioni&gt;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3"/>
        <w:ind w:hanging="0" w:start="0"/>
        <w:rPr/>
      </w:pPr>
      <w:bookmarkStart w:id="4" w:name="__RefHeading___Toc442167595"/>
      <w:bookmarkEnd w:id="4"/>
      <w:r>
        <w:rPr>
          <w:rFonts w:cs="Calibri" w:ascii="Calibri" w:hAnsi="Calibri"/>
          <w:i w:val="false"/>
          <w:szCs w:val="24"/>
        </w:rPr>
        <w:t>3.2         MODALITA’ DI GESTIONE DELLE RIUNIONI</w:t>
      </w:r>
    </w:p>
    <w:p>
      <w:pPr>
        <w:pStyle w:val="Normal"/>
        <w:rPr>
          <w:rFonts w:ascii="Calibri" w:hAnsi="Calibri" w:cs="Calibri"/>
          <w:i/>
          <w:i/>
          <w:sz w:val="24"/>
          <w:szCs w:val="24"/>
        </w:rPr>
      </w:pPr>
      <w:r>
        <w:rPr>
          <w:rFonts w:cs="Calibri" w:ascii="Calibri" w:hAnsi="Calibri"/>
          <w:i/>
          <w:sz w:val="24"/>
          <w:szCs w:val="24"/>
        </w:rPr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Almeno una volta ogni sei mesi la Direzione Generale per la Gestione del sistema Ambientale e i Responsabili di funzione sviluppano una riunione formale per effettuare il punto circa la situazione in merito all’andamento in generale e agli obiettivi e alle tempistiche fissate dalla Direzione in sede di Riesami (sulla base quindi di quanto indicato nei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 9.3.1</w:t>
      </w:r>
      <w:r>
        <w:rPr>
          <w:rFonts w:cs="Calibri" w:ascii="Calibri" w:hAnsi="Calibri"/>
          <w:sz w:val="24"/>
          <w:szCs w:val="24"/>
        </w:rPr>
        <w:t xml:space="preserve">,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 6.1.1.1 – Analisi dei rischi di Sistema-</w:t>
      </w:r>
      <w:r>
        <w:rPr>
          <w:rFonts w:cs="Calibri" w:ascii="Calibri" w:hAnsi="Calibri"/>
          <w:sz w:val="24"/>
          <w:szCs w:val="24"/>
        </w:rPr>
        <w:t xml:space="preserve">). </w:t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La riunione è convocata dal DGE, con almeno </w:t>
      </w:r>
      <w:r>
        <w:rPr>
          <w:rFonts w:cs="Calibri" w:ascii="Calibri" w:hAnsi="Calibri"/>
          <w:b/>
          <w:sz w:val="24"/>
          <w:szCs w:val="24"/>
        </w:rPr>
        <w:t>5 giorni lavorativi</w:t>
      </w:r>
      <w:r>
        <w:rPr>
          <w:rFonts w:cs="Calibri" w:ascii="Calibri" w:hAnsi="Calibri"/>
          <w:sz w:val="24"/>
          <w:szCs w:val="24"/>
        </w:rPr>
        <w:t xml:space="preserve"> di preavviso. La convocazione deve prevedere la definizione di un </w:t>
      </w:r>
      <w:r>
        <w:rPr>
          <w:rFonts w:cs="Calibri" w:ascii="Calibri" w:hAnsi="Calibri"/>
          <w:b/>
          <w:sz w:val="24"/>
          <w:szCs w:val="24"/>
        </w:rPr>
        <w:t>ordine del giorno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Rientrocorpodeltesto3"/>
        <w:rPr>
          <w:rFonts w:ascii="Calibri" w:hAnsi="Calibri" w:cs="Calibri"/>
          <w:caps w:val="false"/>
          <w:smallCaps w:val="false"/>
          <w:sz w:val="24"/>
          <w:szCs w:val="24"/>
        </w:rPr>
      </w:pPr>
      <w:r>
        <w:rPr>
          <w:rFonts w:cs="Calibri" w:ascii="Calibri" w:hAnsi="Calibri"/>
          <w:caps w:val="false"/>
          <w:smallCaps w:val="false"/>
          <w:sz w:val="24"/>
          <w:szCs w:val="24"/>
        </w:rPr>
      </w:r>
    </w:p>
    <w:p>
      <w:pPr>
        <w:pStyle w:val="Rientrocorpodeltesto3"/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Lo svolgimento della riunione viene poi verbalizzato da DGE su documenti  </w:t>
      </w:r>
      <w:r>
        <w:rPr>
          <w:rFonts w:cs="Calibri" w:ascii="Calibri" w:hAnsi="Calibri"/>
          <w:b/>
          <w:caps w:val="false"/>
          <w:smallCaps w:val="false"/>
          <w:szCs w:val="24"/>
        </w:rPr>
        <w:t>- “Verbale Riunione”</w:t>
      </w:r>
      <w:r>
        <w:rPr>
          <w:rFonts w:cs="Calibri" w:ascii="Calibri" w:hAnsi="Calibri"/>
          <w:caps w:val="false"/>
          <w:smallCaps w:val="false"/>
          <w:szCs w:val="24"/>
        </w:rPr>
        <w:t xml:space="preserve"> - riportanti il logo aziendale, la data, l’ordine del giorno e la sintetica descrizione circa le decisioni e le osservazioni emerse.</w:t>
      </w:r>
    </w:p>
    <w:p>
      <w:pPr>
        <w:pStyle w:val="Normal"/>
        <w:ind w:firstLine="142" w:end="0"/>
        <w:jc w:val="both"/>
        <w:rPr>
          <w:rFonts w:ascii="Calibri" w:hAnsi="Calibri" w:cs="Calibri"/>
          <w:smallCaps/>
          <w:sz w:val="24"/>
          <w:szCs w:val="24"/>
        </w:rPr>
      </w:pPr>
      <w:r>
        <w:rPr>
          <w:rFonts w:cs="Calibri" w:ascii="Calibri" w:hAnsi="Calibri"/>
          <w:smallCaps/>
          <w:sz w:val="24"/>
          <w:szCs w:val="24"/>
        </w:rPr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sz w:val="24"/>
          <w:szCs w:val="24"/>
        </w:rPr>
        <w:t>Il verbale dopo essere stato letto deve essere firmato da tutti i partecipanti e conservato, da RSGQ nella cartella &lt;Politiche e Riesami – Riunioni&gt;, per almeno 10 anni.</w:t>
      </w:r>
    </w:p>
    <w:p>
      <w:pPr>
        <w:pStyle w:val="Normal"/>
        <w:ind w:firstLine="142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sz w:val="24"/>
          <w:szCs w:val="24"/>
        </w:rPr>
        <w:t>Con le stesse modalità devono eventualmente essere gestite anche le riunioni periodiche funzionali tra la direzione tecnica e la direzione generale.</w:t>
      </w:r>
    </w:p>
    <w:p>
      <w:pPr>
        <w:pStyle w:val="Heading2"/>
        <w:ind w:hanging="0" w:start="0"/>
        <w:rPr>
          <w:rFonts w:ascii="Calibri" w:hAnsi="Calibri" w:cs="Calibri"/>
          <w:caps w:val="false"/>
          <w:smallCaps w:val="false"/>
          <w:sz w:val="24"/>
          <w:szCs w:val="24"/>
        </w:rPr>
      </w:pPr>
      <w:bookmarkStart w:id="5" w:name="__RefHeading___Toc442167596"/>
      <w:bookmarkEnd w:id="5"/>
      <w:r>
        <w:rPr>
          <w:rFonts w:cs="Calibri" w:ascii="Calibri" w:hAnsi="Calibri"/>
          <w:caps w:val="false"/>
          <w:smallCaps w:val="false"/>
          <w:sz w:val="24"/>
          <w:szCs w:val="24"/>
        </w:rPr>
        <w:t xml:space="preserve">4. </w:t>
        <w:tab/>
        <w:t>TERMINI, DEFINIZIONI, ABBREVIAZIONI E NORME</w:t>
      </w:r>
    </w:p>
    <w:p>
      <w:pPr>
        <w:pStyle w:val="Testodelblocco"/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Per i termini, le definizioni e le abbreviazioni utilizzate in questa procedura si fa riferimento alla norma ISO 14001:2015 ed al Manuale Ambientale di </w:t>
      </w:r>
      <w:r>
        <w:rPr>
          <w:rFonts w:cs="Tahoma" w:ascii="Calibri" w:hAnsi="Calibri"/>
          <w:b/>
          <w:szCs w:val="24"/>
        </w:rPr>
        <w:t xml:space="preserve">NOME VS. AZIENDA </w:t>
      </w:r>
      <w:r>
        <w:rPr>
          <w:rFonts w:cs="Calibri" w:ascii="Calibri" w:hAnsi="Calibri"/>
          <w:b/>
          <w:bCs/>
          <w:caps w:val="false"/>
          <w:smallCaps w:val="false"/>
          <w:szCs w:val="24"/>
        </w:rPr>
        <w:t>.</w:t>
      </w:r>
    </w:p>
    <w:p>
      <w:pPr>
        <w:pStyle w:val="Normal"/>
        <w:rPr>
          <w:rFonts w:ascii="Calibri" w:hAnsi="Calibri" w:cs="Calibri"/>
          <w:smallCaps/>
          <w:sz w:val="24"/>
          <w:szCs w:val="24"/>
        </w:rPr>
      </w:pPr>
      <w:r>
        <w:rPr>
          <w:rFonts w:eastAsia="Calibri" w:cs="Calibri" w:ascii="Calibri" w:hAnsi="Calibri"/>
          <w:smallCaps/>
          <w:sz w:val="24"/>
          <w:szCs w:val="24"/>
          <w:lang w:val="en-US"/>
        </w:rPr>
        <w:t xml:space="preserve">         </w:t>
      </w:r>
    </w:p>
    <w:p>
      <w:pPr>
        <w:pStyle w:val="Heading2"/>
        <w:ind w:hanging="0" w:start="0"/>
        <w:rPr/>
      </w:pPr>
      <w:bookmarkStart w:id="6" w:name="__RefHeading___Toc442167597"/>
      <w:bookmarkEnd w:id="6"/>
      <w:r>
        <w:rPr>
          <w:rFonts w:cs="Calibri" w:ascii="Calibri" w:hAnsi="Calibri"/>
          <w:caps w:val="false"/>
          <w:smallCaps w:val="false"/>
          <w:sz w:val="24"/>
          <w:szCs w:val="24"/>
        </w:rPr>
        <w:t>5.</w:t>
        <w:tab/>
        <w:t>DISTRIBUZIONE</w:t>
      </w:r>
    </w:p>
    <w:p>
      <w:pPr>
        <w:pStyle w:val="Heading7"/>
        <w:ind w:hanging="0" w:start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DGE     RSGQ</w:t>
        <w:tab/>
        <w:t xml:space="preserve">Responsabili Funzionali  </w:t>
      </w:r>
    </w:p>
    <w:p>
      <w:pPr>
        <w:pStyle w:val="Heading2"/>
        <w:ind w:hanging="0" w:start="0"/>
        <w:rPr/>
      </w:pPr>
      <w:bookmarkStart w:id="7" w:name="__RefHeading___Toc442167598"/>
      <w:bookmarkEnd w:id="7"/>
      <w:r>
        <w:rPr>
          <w:rFonts w:cs="Calibri" w:ascii="Calibri" w:hAnsi="Calibri"/>
          <w:caps w:val="false"/>
          <w:smallCaps w:val="false"/>
          <w:sz w:val="24"/>
          <w:szCs w:val="24"/>
        </w:rPr>
        <w:t>6.         DOCUMENTAZIONE DI RIFERIMENTO</w:t>
      </w:r>
    </w:p>
    <w:p>
      <w:pPr>
        <w:pStyle w:val="Normal"/>
        <w:rPr/>
      </w:pPr>
      <w:r>
        <w:rPr>
          <w:rFonts w:cs="Calibri" w:ascii="Calibri" w:hAnsi="Calibri"/>
          <w:b/>
          <w:caps/>
          <w:sz w:val="24"/>
          <w:szCs w:val="24"/>
          <w:u w:val="single"/>
        </w:rPr>
        <w:t>Mod.9.3.1 “Verbale di Riesame ….”</w:t>
      </w:r>
    </w:p>
    <w:p>
      <w:pPr>
        <w:pStyle w:val="Normal"/>
        <w:rPr>
          <w:rFonts w:ascii="Calibri" w:hAnsi="Calibri" w:cs="Calibri"/>
          <w:b/>
          <w:caps/>
          <w:sz w:val="24"/>
          <w:szCs w:val="24"/>
          <w:u w:val="single"/>
        </w:rPr>
      </w:pPr>
      <w:r>
        <w:rPr>
          <w:rFonts w:cs="Calibri" w:ascii="Calibri" w:hAnsi="Calibri"/>
          <w:b/>
          <w:caps/>
          <w:sz w:val="24"/>
          <w:szCs w:val="24"/>
          <w:u w:val="single"/>
        </w:rPr>
        <w:t>Mod 6.1.1.1 “Analisi dei rischi di Sistema”</w:t>
      </w:r>
    </w:p>
    <w:p>
      <w:pPr>
        <w:pStyle w:val="Heading9"/>
        <w:ind w:hanging="0" w:start="0"/>
        <w:rPr/>
      </w:pPr>
      <w:r>
        <w:rPr>
          <w:rFonts w:cs="Calibri" w:ascii="Calibri" w:hAnsi="Calibri"/>
          <w:b/>
          <w:caps/>
          <w:szCs w:val="24"/>
          <w:u w:val="single"/>
        </w:rPr>
        <w:t>Documento “Verbale di Riunione”</w:t>
      </w:r>
    </w:p>
    <w:p>
      <w:pPr>
        <w:pStyle w:val="Normal"/>
        <w:rPr/>
      </w:pPr>
      <w:r>
        <w:rPr>
          <w:rFonts w:cs="Calibri" w:ascii="Calibri" w:hAnsi="Calibri"/>
          <w:b/>
          <w:caps/>
          <w:sz w:val="24"/>
          <w:szCs w:val="24"/>
          <w:u w:val="single"/>
        </w:rPr>
        <w:t xml:space="preserve">PR 9.2 Gestione degli Audit </w:t>
      </w:r>
    </w:p>
    <w:p>
      <w:pPr>
        <w:pStyle w:val="Normal"/>
        <w:rPr/>
      </w:pPr>
      <w:r>
        <w:rPr>
          <w:rFonts w:cs="Calibri" w:ascii="Calibri" w:hAnsi="Calibri"/>
          <w:b/>
          <w:caps/>
          <w:sz w:val="24"/>
          <w:szCs w:val="24"/>
          <w:u w:val="single"/>
        </w:rPr>
        <w:t>PR 8.7 Gestione NC e Reclami</w:t>
      </w:r>
    </w:p>
    <w:p>
      <w:pPr>
        <w:pStyle w:val="Normal"/>
        <w:rPr>
          <w:rFonts w:ascii="Calibri" w:hAnsi="Calibri" w:cs="Calibri"/>
          <w:b/>
          <w:caps/>
          <w:sz w:val="24"/>
          <w:szCs w:val="24"/>
          <w:u w:val="single"/>
        </w:rPr>
      </w:pPr>
      <w:r>
        <w:rPr>
          <w:rFonts w:cs="Calibri" w:ascii="Calibri" w:hAnsi="Calibri"/>
          <w:b/>
          <w:caps/>
          <w:sz w:val="24"/>
          <w:szCs w:val="24"/>
          <w:u w:val="single"/>
        </w:rPr>
      </w:r>
    </w:p>
    <w:p>
      <w:pPr>
        <w:pStyle w:val="Heading2"/>
        <w:ind w:hanging="0" w:start="0"/>
        <w:rPr>
          <w:rFonts w:ascii="Calibri" w:hAnsi="Calibri" w:cs="Tahoma"/>
          <w:color w:val="000000"/>
          <w:sz w:val="24"/>
          <w:szCs w:val="24"/>
        </w:rPr>
      </w:pPr>
      <w:bookmarkStart w:id="8" w:name="__RefHeading___Toc442167599"/>
      <w:bookmarkEnd w:id="8"/>
      <w:r>
        <w:rPr>
          <w:rFonts w:cs="Tahoma" w:ascii="Calibri" w:hAnsi="Calibri"/>
          <w:sz w:val="24"/>
          <w:szCs w:val="24"/>
        </w:rPr>
        <w:t>7.           ARCHIVIAZIONE E CONSERVAZIONE REGISTRAZIONI</w:t>
      </w:r>
    </w:p>
    <w:p>
      <w:pPr>
        <w:pStyle w:val="Normal"/>
        <w:tabs>
          <w:tab w:val="clear" w:pos="708"/>
          <w:tab w:val="left" w:pos="-1701" w:leader="none"/>
          <w:tab w:val="left" w:pos="-1560" w:leader="none"/>
          <w:tab w:val="left" w:pos="3544" w:leader="none"/>
          <w:tab w:val="left" w:pos="3686" w:leader="none"/>
        </w:tabs>
        <w:ind w:end="-1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</w:r>
    </w:p>
    <w:tbl>
      <w:tblPr>
        <w:tblW w:w="9356" w:type="dxa"/>
        <w:jc w:val="start"/>
        <w:tblInd w:w="-7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8"/>
              <w:ind w:hanging="0" w:start="0"/>
              <w:jc w:val="center"/>
              <w:rPr>
                <w:rFonts w:ascii="Calibri" w:hAnsi="Calibri" w:cs="Calibri"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TABELLA DI CONTROLLO DELLE REGISTRAZIONI</w:t>
            </w:r>
          </w:p>
        </w:tc>
      </w:tr>
    </w:tbl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tbl>
      <w:tblPr>
        <w:tblW w:w="10207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78"/>
        <w:gridCol w:w="748"/>
        <w:gridCol w:w="692"/>
        <w:gridCol w:w="448"/>
        <w:gridCol w:w="1346"/>
        <w:gridCol w:w="1046"/>
        <w:gridCol w:w="880"/>
        <w:gridCol w:w="709"/>
        <w:gridCol w:w="992"/>
        <w:gridCol w:w="850"/>
        <w:gridCol w:w="1418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Descrizione</w:t>
            </w:r>
          </w:p>
          <w:p>
            <w:pPr>
              <w:pStyle w:val="Normal"/>
              <w:spacing w:before="60" w:after="0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Registrazione</w:t>
            </w:r>
          </w:p>
        </w:tc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Origine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Id.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ReQ</w:t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Resp.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Approvazione</w:t>
            </w:r>
          </w:p>
        </w:tc>
        <w:tc>
          <w:tcPr>
            <w:tcW w:w="1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Resp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/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Registraz ed Archiviaz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Luogo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 xml:space="preserve">Archiviaz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Resp. Eliminazione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Tempo di archiviaz.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Protezione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Destinazione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Finale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/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Verbale di Riesame</w:t>
            </w:r>
          </w:p>
        </w:tc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en-GB" w:eastAsia="it-IT"/>
              </w:rPr>
            </w:pPr>
            <w:r>
              <w:rPr>
                <w:rFonts w:cs="Calibri" w:ascii="Calibri" w:hAnsi="Calibri"/>
                <w:szCs w:val="24"/>
                <w:lang w:val="en-GB" w:eastAsia="it-IT"/>
              </w:rPr>
              <w:t>INT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Mod 9.3.1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rPr>
                <w:rFonts w:ascii="Calibri" w:hAnsi="Calibri" w:cs="Calibri"/>
                <w:b w:val="false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 w:val="false"/>
                <w:sz w:val="24"/>
                <w:szCs w:val="24"/>
                <w:lang w:val="en-GB"/>
              </w:rPr>
              <w:t>XX</w:t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DGE</w:t>
            </w:r>
          </w:p>
        </w:tc>
        <w:tc>
          <w:tcPr>
            <w:tcW w:w="1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RSGQ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Ufficio DGE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DGE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10 anni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/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Supp. Attività vertice organizz - Riesame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/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Verbale Riunione</w:t>
            </w:r>
          </w:p>
        </w:tc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INT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/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rPr>
                <w:rFonts w:ascii="Calibri" w:hAnsi="Calibri" w:cs="Calibri"/>
                <w:b w:val="false"/>
                <w:sz w:val="24"/>
                <w:szCs w:val="24"/>
              </w:rPr>
            </w:pPr>
            <w:r>
              <w:rPr>
                <w:rFonts w:cs="Calibri" w:ascii="Calibri" w:hAnsi="Calibri"/>
                <w:b w:val="false"/>
                <w:sz w:val="24"/>
                <w:szCs w:val="24"/>
              </w:rPr>
              <w:t>XX</w:t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DGE e partecipanti riunioni</w:t>
            </w:r>
          </w:p>
        </w:tc>
        <w:tc>
          <w:tcPr>
            <w:tcW w:w="1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RSGQ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Ufficio DGE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DGE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10 anni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/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Supp. Attività vertice organizz  - Riesame</w:t>
            </w:r>
          </w:p>
        </w:tc>
      </w:tr>
    </w:tbl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hanging="0" w:start="0"/>
        <w:jc w:val="both"/>
        <w:rPr/>
      </w:pPr>
      <w:r>
        <w:rPr>
          <w:rFonts w:cs="Calibri" w:ascii="Calibri" w:hAnsi="Calibri"/>
          <w:b/>
          <w:sz w:val="24"/>
          <w:szCs w:val="24"/>
          <w:u w:val="single"/>
          <w:lang w:val="en-US" w:eastAsia="en-US"/>
        </w:rPr>
        <w:t>Responsabile di Processo</w:t>
      </w:r>
      <w:r>
        <w:rPr>
          <w:rFonts w:cs="Calibri" w:ascii="Calibri" w:hAnsi="Calibri"/>
          <w:sz w:val="24"/>
          <w:szCs w:val="24"/>
          <w:lang w:val="en-US" w:eastAsia="en-US"/>
        </w:rPr>
        <w:t>:</w:t>
        <w:tab/>
        <w:t xml:space="preserve">DGE 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sz w:val="24"/>
          <w:szCs w:val="24"/>
          <w:lang w:val="en-US" w:eastAsia="en-US"/>
        </w:rPr>
      </w:pPr>
      <w:r>
        <w:rPr>
          <w:rFonts w:cs="Calibri" w:ascii="Calibri" w:hAnsi="Calibri"/>
          <w:sz w:val="24"/>
          <w:szCs w:val="24"/>
          <w:lang w:val="en-US" w:eastAsia="en-US"/>
        </w:rPr>
        <w:tab/>
        <w:t>RSGQ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sz w:val="24"/>
          <w:szCs w:val="24"/>
          <w:lang w:val="en-US" w:eastAsia="en-US"/>
        </w:rPr>
      </w:pPr>
      <w:r>
        <w:rPr>
          <w:rFonts w:cs="Calibri" w:ascii="Calibri" w:hAnsi="Calibri"/>
          <w:sz w:val="24"/>
          <w:szCs w:val="24"/>
          <w:lang w:val="en-US" w:eastAsia="en-US"/>
        </w:rPr>
        <w:tab/>
        <w:t>Responsabili di Funzione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sz w:val="24"/>
          <w:szCs w:val="24"/>
          <w:lang w:val="en-US" w:eastAsia="en-US"/>
        </w:rPr>
      </w:pPr>
      <w:r>
        <w:rPr>
          <w:rFonts w:cs="Calibri" w:ascii="Calibri" w:hAnsi="Calibri"/>
          <w:sz w:val="24"/>
          <w:szCs w:val="24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cs="Tahoma" w:ascii="Tahoma" w:hAnsi="Tahoma"/>
          <w:sz w:val="24"/>
          <w:szCs w:val="24"/>
          <w:lang w:val="en-US" w:eastAsia="en-US"/>
        </w:rPr>
      </w:r>
    </w:p>
    <w:p>
      <w:pPr>
        <w:pStyle w:val="Normal"/>
        <w:rPr>
          <w:rFonts w:ascii="Tahoma" w:hAnsi="Tahoma" w:cs="Tahoma"/>
          <w:lang w:val="en-US" w:eastAsia="en-US"/>
        </w:rPr>
      </w:pPr>
      <w:r>
        <w:rPr>
          <w:rFonts w:cs="Tahoma" w:ascii="Tahoma" w:hAnsi="Tahoma"/>
          <w:lang w:val="en-US" w:eastAsia="en-US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color w:val="008080"/>
        </w:rPr>
      </w:pPr>
      <w:r>
        <w:rPr>
          <w:rFonts w:cs="Tahoma" w:ascii="Tahoma" w:hAnsi="Tahoma"/>
          <w:color w:val="008080"/>
        </w:rPr>
      </w:r>
    </w:p>
    <w:p>
      <w:pPr>
        <w:pStyle w:val="Normal"/>
        <w:jc w:val="center"/>
        <w:rPr>
          <w:rFonts w:ascii="Tahoma" w:hAnsi="Tahoma" w:cs="Tahoma"/>
          <w:b/>
          <w:color w:val="008080"/>
        </w:rPr>
      </w:pPr>
      <w:r>
        <w:rPr>
          <w:rFonts w:cs="Tahoma" w:ascii="Tahoma" w:hAnsi="Tahoma"/>
          <w:b/>
          <w:color w:val="008080"/>
        </w:rPr>
      </w:r>
    </w:p>
    <w:p>
      <w:pPr>
        <w:pStyle w:val="Normal"/>
        <w:jc w:val="center"/>
        <w:rPr>
          <w:rFonts w:ascii="Tahoma" w:hAnsi="Tahoma" w:cs="Tahoma"/>
          <w:b/>
        </w:rPr>
      </w:pPr>
      <w:r>
        <w:rPr>
          <w:rFonts w:cs="Tahoma" w:ascii="Tahoma" w:hAnsi="Tahoma"/>
          <w:b/>
        </w:rPr>
      </w:r>
    </w:p>
    <w:p>
      <w:pPr>
        <w:pStyle w:val="Normal"/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  <w:t>Modalità di definizione delle politiche e degli obiettivi aziendali – Gestione dei Riesami</w:t>
      </w:r>
    </w:p>
    <w:p>
      <w:pPr>
        <w:pStyle w:val="Normal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2292350</wp:posOffset>
                </wp:positionH>
                <wp:positionV relativeFrom="paragraph">
                  <wp:posOffset>64135</wp:posOffset>
                </wp:positionV>
                <wp:extent cx="1654810" cy="39243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810" cy="39243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SULLA BASE DI: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Indicatori di processo/Obiettivi anno in corso/Politica Ambientale aziendale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 xml:space="preserve">Andamento del mercato/leggi e normative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Verbali di Riunioni dell’anno in corso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Risultati audit interni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NC di periodo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Efficacia AC/AP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Dati statistici</w:t>
                            </w:r>
                          </w:p>
                          <w:p>
                            <w:pPr>
                              <w:pStyle w:val="Paragrafoelenc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Mancati incidenti ambientali</w:t>
                            </w:r>
                          </w:p>
                          <w:p>
                            <w:pPr>
                              <w:pStyle w:val="Paragrafoelenc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Incidenti Ambientali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30.3pt;height:309pt;mso-wrap-distance-left:9.05pt;mso-wrap-distance-right:9.05pt;mso-wrap-distance-top:0pt;mso-wrap-distance-bottom:0pt;margin-top:5.05pt;mso-position-vertical-relative:text;margin-left:180.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SULLA BASE DI: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Indicatori di processo/Obiettivi anno in corso/Politica Ambientale aziendale</w:t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 xml:space="preserve">Andamento del mercato/leggi e normative </w:t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Verbali di Riunioni dell’anno in corso</w:t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Risultati audit interni</w:t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NC di periodo</w:t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Efficacia AC/AP</w:t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Dati statistici</w:t>
                      </w:r>
                    </w:p>
                    <w:p>
                      <w:pPr>
                        <w:pStyle w:val="Paragrafoelenc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Mancati incidenti ambientali</w:t>
                      </w:r>
                    </w:p>
                    <w:p>
                      <w:pPr>
                        <w:pStyle w:val="Paragrafoelenc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Incidenti Ambientali</w:t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-263525</wp:posOffset>
                </wp:positionH>
                <wp:positionV relativeFrom="paragraph">
                  <wp:posOffset>286385</wp:posOffset>
                </wp:positionV>
                <wp:extent cx="1737360" cy="762000"/>
                <wp:effectExtent l="5080" t="5080" r="5715" b="571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762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0"/>
                                <w:rFonts w:ascii="Times New Roman" w:hAnsi="Times New Roman" w:eastAsia="Times New Roman" w:cs="Times New Roman"/>
                                <w:color w:val="auto"/>
                                <w:lang w:val="it-IT" w:bidi="ar-SA"/>
                              </w:rPr>
                              <w:t>Effettuazione Riesame del Sistema di Gestione Ambientale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-20.75pt;margin-top:22.55pt;width:136.75pt;height:59.9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20"/>
                          <w:szCs w:val="20"/>
                          <w:rFonts w:ascii="Times New Roman" w:hAnsi="Times New Roman" w:eastAsia="Times New Roman" w:cs="Times New Roman"/>
                          <w:color w:val="auto"/>
                          <w:lang w:val="it-IT" w:bidi="ar-SA"/>
                        </w:rPr>
                        <w:t>Effettuazione Riesame del Sistema di Gestione Ambientale</w:t>
                      </w:r>
                    </w:p>
                  </w:txbxContent>
                </v:textbox>
                <v:fill o:detectmouseclick="t" on="false"/>
                <v:stroke color="black" weight="9360" joinstyle="miter" endcap="flat"/>
                <w10:wrap type="none"/>
              </v:roundrect>
            </w:pict>
          </mc:Fallback>
        </mc:AlternateContent>
      </w:r>
    </w:p>
    <w:tbl>
      <w:tblPr>
        <w:tblW w:w="3418" w:type="dxa"/>
        <w:jc w:val="start"/>
        <w:tblInd w:w="687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76"/>
        <w:gridCol w:w="2142"/>
      </w:tblGrid>
      <w:tr>
        <w:trPr>
          <w:trHeight w:val="268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Heading5"/>
              <w:ind w:hanging="0" w:end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Responsabili</w:t>
            </w:r>
          </w:p>
        </w:tc>
        <w:tc>
          <w:tcPr>
            <w:tcW w:w="2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TOC1"/>
              <w:spacing w:before="0" w:after="0"/>
              <w:jc w:val="center"/>
              <w:rPr/>
            </w:pPr>
            <w:r>
              <w:rPr>
                <w:rFonts w:cs="Calibri" w:ascii="Calibri" w:hAnsi="Calibri"/>
                <w:i w:val="false"/>
                <w:sz w:val="20"/>
              </w:rPr>
              <w:t>Attività/Registrazioni</w:t>
            </w:r>
          </w:p>
        </w:tc>
      </w:tr>
      <w:tr>
        <w:trPr>
          <w:trHeight w:val="1298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i w:val="false"/>
                <w:i w:val="false"/>
                <w:sz w:val="20"/>
                <w:lang w:val="en-US" w:eastAsia="en-US"/>
              </w:rPr>
            </w:pPr>
            <w:r>
              <w:rPr>
                <w:rFonts w:cs="Calibri" w:ascii="Calibri" w:hAnsi="Calibri"/>
                <w:i w:val="false"/>
                <w:sz w:val="20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">
                      <wp:simplePos x="0" y="0"/>
                      <wp:positionH relativeFrom="margin">
                        <wp:posOffset>376555</wp:posOffset>
                      </wp:positionH>
                      <wp:positionV relativeFrom="paragraph">
                        <wp:posOffset>814070</wp:posOffset>
                      </wp:positionV>
                      <wp:extent cx="485775" cy="1242060"/>
                      <wp:effectExtent l="10795" t="5080" r="9525" b="889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640" cy="124200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63936"/>
                                </a:avLst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67" coordsize="21600,21600" o:spt="67" adj="10800,10800" path="m0@3l@5@3l@5,l@6,l@6@3l21600@3l10800,21600xe">
                      <v:stroke joinstyle="miter"/>
                      <v:formulas>
                        <v:f eqn="val 21600"/>
                        <v:f eqn="val #1"/>
                        <v:f eqn="val #0"/>
                        <v:f eqn="sum height 0 @2"/>
                        <v:f eqn="prod 1 @1 2"/>
                        <v:f eqn="sum 10800 0 @4"/>
                        <v:f eqn="sum 10800 @4 0"/>
                        <v:f eqn="prod @5 @2 10800"/>
                        <v:f eqn="sum @3 @7 0"/>
                      </v:formulas>
                      <v:path gradientshapeok="t" o:connecttype="rect" textboxrect="@5,0,@6,@8"/>
                      <v:handles>
                        <v:h position="@5,0"/>
                        <v:h position="0,@3"/>
                      </v:handles>
                    </v:shapetype>
                    <v:shape id="shape_0" stroked="t" o:allowincell="f" style="position:absolute;margin-left:29.65pt;margin-top:64.1pt;width:38.2pt;height:97.75pt;mso-wrap-style:none;v-text-anchor:middle;mso-position-horizontal-relative:margin" type="_x0000_t67">
                      <v:fill o:detectmouseclick="t" on="false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">
                      <wp:simplePos x="0" y="0"/>
                      <wp:positionH relativeFrom="margin">
                        <wp:posOffset>1656715</wp:posOffset>
                      </wp:positionH>
                      <wp:positionV relativeFrom="paragraph">
                        <wp:posOffset>265430</wp:posOffset>
                      </wp:positionV>
                      <wp:extent cx="548640" cy="0"/>
                      <wp:effectExtent l="0" t="38100" r="0" b="3810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30.45pt,20.9pt" to="173.6pt,20.9pt" stroked="t" o:allowincell="f" style="position:absolute;mso-position-horizontal-relative:margin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">
                      <wp:simplePos x="0" y="0"/>
                      <wp:positionH relativeFrom="margin">
                        <wp:posOffset>1656715</wp:posOffset>
                      </wp:positionH>
                      <wp:positionV relativeFrom="paragraph">
                        <wp:posOffset>996950</wp:posOffset>
                      </wp:positionV>
                      <wp:extent cx="548640" cy="0"/>
                      <wp:effectExtent l="0" t="38100" r="0" b="3810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548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30.45pt,78.5pt" to="173.6pt,78.5pt" stroked="t" o:allowincell="f" style="position:absolute;flip:x;mso-position-horizontal-relative:margin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rPr>
                <w:rFonts w:ascii="Calibri" w:hAnsi="Calibri" w:cs="Calibri"/>
                <w:lang w:val="en-GB"/>
              </w:rPr>
            </w:pPr>
            <w:r>
              <w:rPr>
                <w:rFonts w:cs="Calibri" w:ascii="Calibri" w:hAnsi="Calibri"/>
                <w:lang w:val="en-GB"/>
              </w:rPr>
              <w:t>DGE (R)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lang w:val="en-GB"/>
              </w:rPr>
              <w:t>RSGQ (A)</w:t>
            </w:r>
          </w:p>
          <w:p>
            <w:pPr>
              <w:pStyle w:val="Normal"/>
              <w:rPr>
                <w:rFonts w:ascii="Calibri" w:hAnsi="Calibri" w:cs="Calibri"/>
                <w:lang w:val="en-GB"/>
              </w:rPr>
            </w:pPr>
            <w:r>
              <w:rPr>
                <w:rFonts w:cs="Calibri" w:ascii="Calibri" w:hAnsi="Calibri"/>
                <w:lang w:val="en-GB"/>
              </w:rPr>
            </w:r>
          </w:p>
        </w:tc>
        <w:tc>
          <w:tcPr>
            <w:tcW w:w="2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</w:rPr>
              <w:t>Almeno una volta all’anno DGE analizza e riesamina i dati di proiezione dell’anno sulla base della politica della qualità</w:t>
            </w:r>
          </w:p>
        </w:tc>
      </w:tr>
      <w:tr>
        <w:trPr>
          <w:trHeight w:val="1223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RSGQ (R)</w:t>
            </w:r>
          </w:p>
        </w:tc>
        <w:tc>
          <w:tcPr>
            <w:tcW w:w="2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cs="Calibri" w:ascii="Calibri" w:hAnsi="Calibri"/>
              </w:rPr>
              <w:t xml:space="preserve">Sulla base dei dati analizzati, effettua una valutazione circa l’andamento del SGA definendo politica per la qualità, strategie ed obiettivi generici. </w:t>
            </w:r>
            <w:r>
              <w:rPr>
                <w:rFonts w:cs="Calibri" w:ascii="Calibri" w:hAnsi="Calibri"/>
                <w:b/>
                <w:caps/>
                <w:u w:val="single"/>
                <w:lang w:val="en-GB"/>
              </w:rPr>
              <w:t>Mod 9.3.1</w:t>
            </w:r>
          </w:p>
        </w:tc>
      </w:tr>
      <w:tr>
        <w:trPr>
          <w:trHeight w:val="1490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lang w:val="en-GB" w:eastAsia="en-US"/>
              </w:rPr>
            </w:pPr>
            <w:r>
              <w:rPr>
                <w:rFonts w:cs="Calibri" w:ascii="Calibri" w:hAnsi="Calibri"/>
                <w:b/>
                <w:lang w:val="en-GB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">
                      <wp:simplePos x="0" y="0"/>
                      <wp:positionH relativeFrom="margin">
                        <wp:posOffset>1713865</wp:posOffset>
                      </wp:positionH>
                      <wp:positionV relativeFrom="paragraph">
                        <wp:posOffset>872490</wp:posOffset>
                      </wp:positionV>
                      <wp:extent cx="459105" cy="640080"/>
                      <wp:effectExtent l="8255" t="5080" r="5080" b="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9000" cy="640080"/>
                              </a:xfrm>
                              <a:custGeom>
                                <a:avLst/>
                                <a:gdLst>
                                  <a:gd name="textAreaLeft" fmla="*/ 34560 w 260280"/>
                                  <a:gd name="textAreaRight" fmla="*/ 225720 w 260280"/>
                                  <a:gd name="textAreaTop" fmla="*/ 63360 h 362880"/>
                                  <a:gd name="textAreaBottom" fmla="*/ 263160 h 3628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arcTo wR="21600" hR="7560" stAng="-5400000" swAng="5400000"/>
                                    <a:lnTo>
                                      <a:pt x="21600" y="11880"/>
                                    </a:lnTo>
                                    <a:arcTo wR="21600" hR="7560" stAng="0" swAng="2682637"/>
                                    <a:lnTo>
                                      <a:pt x="7200" y="21168"/>
                                    </a:lnTo>
                                    <a:lnTo>
                                      <a:pt x="0" y="17280"/>
                                    </a:lnTo>
                                    <a:lnTo>
                                      <a:pt x="7200" y="12528"/>
                                    </a:lnTo>
                                    <a:lnTo>
                                      <a:pt x="7200" y="14688"/>
                                    </a:lnTo>
                                    <a:arcTo wR="21600" hR="7560" stAng="2682637" swAng="-2325203"/>
                                    <a:lnTo>
                                      <a:pt x="20700" y="9720"/>
                                    </a:lnTo>
                                    <a:arcTo wR="21600" hR="7560" stAng="-357435" swAng="-5042565"/>
                                    <a:close/>
                                  </a:path>
                                  <a:path fill="darkenLess" w="21600" h="21600">
                                    <a:moveTo>
                                      <a:pt x="0" y="0"/>
                                    </a:moveTo>
                                    <a:arcTo wR="21600" hR="7560" stAng="-5400000" swAng="5400000"/>
                                    <a:lnTo>
                                      <a:pt x="21600" y="11880"/>
                                    </a:lnTo>
                                    <a:arcTo wR="21600" hR="7560" stAng="0" swAng="-357435"/>
                                    <a:lnTo>
                                      <a:pt x="20700" y="9720"/>
                                    </a:lnTo>
                                    <a:arcTo wR="21600" hR="7560" stAng="-357435" swAng="-5042565"/>
                                    <a:close/>
                                  </a:path>
                                </a:pathLst>
                              </a:cu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134.95pt;margin-top:68.7pt;width:36.1pt;height:50.35pt;mso-wrap-style:none;v-text-anchor:middle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">
                      <wp:simplePos x="0" y="0"/>
                      <wp:positionH relativeFrom="margin">
                        <wp:posOffset>-184150</wp:posOffset>
                      </wp:positionH>
                      <wp:positionV relativeFrom="paragraph">
                        <wp:posOffset>56515</wp:posOffset>
                      </wp:positionV>
                      <wp:extent cx="1746250" cy="648970"/>
                      <wp:effectExtent l="0" t="0" r="0" b="0"/>
                      <wp:wrapNone/>
                      <wp:docPr id="7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6250" cy="64897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Definizione obiettivi specifici di funzione, termini e Responsabilità e budget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137.5pt;height:51.1pt;mso-wrap-distance-left:9.05pt;mso-wrap-distance-right:9.05pt;mso-wrap-distance-top:0pt;mso-wrap-distance-bottom:0pt;margin-top:4.45pt;mso-position-vertical-relative:text;margin-left:-14.5pt;mso-position-horizontal-relative:margin">
                      <v:textbo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Definizione obiettivi specifici di funzione, termini e Responsabilità e budget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rFonts w:ascii="Calibri" w:hAnsi="Calibri" w:cs="Calibri"/>
                <w:lang w:val="en-GB"/>
              </w:rPr>
            </w:pPr>
            <w:r>
              <w:rPr>
                <w:rFonts w:cs="Calibri" w:ascii="Calibri" w:hAnsi="Calibri"/>
                <w:lang w:val="en-GB"/>
              </w:rPr>
              <w:t>DGE (R)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RSGQ (A)</w:t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</w:rPr>
              <w:t xml:space="preserve">Sulla base del </w:t>
            </w:r>
            <w:r>
              <w:rPr>
                <w:rFonts w:cs="Calibri" w:ascii="Calibri" w:hAnsi="Calibri"/>
                <w:b/>
                <w:caps/>
                <w:u w:val="single"/>
                <w:lang w:val="en-GB"/>
              </w:rPr>
              <w:t>Mod 9.3.1</w:t>
            </w:r>
            <w:r>
              <w:rPr>
                <w:rFonts w:cs="Calibri" w:ascii="Calibri" w:hAnsi="Calibri"/>
              </w:rPr>
              <w:t xml:space="preserve">, definisce gli obiettivi, i budget, i Responsabili e i termini di attuazione degli obiettivi specifici di funzione - </w:t>
            </w:r>
            <w:r>
              <w:rPr>
                <w:rFonts w:cs="Calibri" w:ascii="Calibri" w:hAnsi="Calibri"/>
                <w:b/>
                <w:caps/>
                <w:u w:val="single"/>
                <w:lang w:val="en-GB"/>
              </w:rPr>
              <w:t>Mod 6.1.1.1 – Analisi dei rischi di Sistema-</w:t>
            </w:r>
            <w:r>
              <w:rPr>
                <w:rFonts w:cs="Calibri" w:ascii="Calibri" w:hAnsi="Calibri"/>
              </w:rPr>
              <w:t xml:space="preserve"> </w:t>
            </w:r>
          </w:p>
        </w:tc>
      </w:tr>
      <w:tr>
        <w:trPr>
          <w:trHeight w:val="1490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lang w:val="en-US" w:eastAsia="en-US"/>
              </w:rPr>
            </w:pPr>
            <w:r>
              <w:rPr>
                <w:rFonts w:cs="Calibri" w:ascii="Calibri" w:hAnsi="Calibri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">
                      <wp:simplePos x="0" y="0"/>
                      <wp:positionH relativeFrom="margin">
                        <wp:posOffset>635</wp:posOffset>
                      </wp:positionH>
                      <wp:positionV relativeFrom="paragraph">
                        <wp:posOffset>662940</wp:posOffset>
                      </wp:positionV>
                      <wp:extent cx="457200" cy="640080"/>
                      <wp:effectExtent l="5715" t="0" r="7620" b="5080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57200" cy="640080"/>
                              </a:xfrm>
                              <a:custGeom>
                                <a:avLst/>
                                <a:gdLst>
                                  <a:gd name="textAreaLeft" fmla="*/ 34560 w 259200"/>
                                  <a:gd name="textAreaRight" fmla="*/ 224640 w 259200"/>
                                  <a:gd name="textAreaTop" fmla="*/ 63360 h 362880"/>
                                  <a:gd name="textAreaBottom" fmla="*/ 263160 h 3628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arcTo wR="21600" hR="7560" stAng="-5400000" swAng="5400000"/>
                                    <a:lnTo>
                                      <a:pt x="21600" y="11880"/>
                                    </a:lnTo>
                                    <a:arcTo wR="21600" hR="7560" stAng="0" swAng="2682637"/>
                                    <a:lnTo>
                                      <a:pt x="7200" y="21168"/>
                                    </a:lnTo>
                                    <a:lnTo>
                                      <a:pt x="0" y="17280"/>
                                    </a:lnTo>
                                    <a:lnTo>
                                      <a:pt x="7200" y="12528"/>
                                    </a:lnTo>
                                    <a:lnTo>
                                      <a:pt x="7200" y="14688"/>
                                    </a:lnTo>
                                    <a:arcTo wR="21600" hR="7560" stAng="2682637" swAng="-2325203"/>
                                    <a:lnTo>
                                      <a:pt x="20700" y="9720"/>
                                    </a:lnTo>
                                    <a:arcTo wR="21600" hR="7560" stAng="-357435" swAng="-5042565"/>
                                    <a:close/>
                                  </a:path>
                                  <a:path fill="darkenLess" w="21600" h="21600">
                                    <a:moveTo>
                                      <a:pt x="0" y="0"/>
                                    </a:moveTo>
                                    <a:arcTo wR="21600" hR="7560" stAng="-5400000" swAng="5400000"/>
                                    <a:lnTo>
                                      <a:pt x="21600" y="11880"/>
                                    </a:lnTo>
                                    <a:arcTo wR="21600" hR="7560" stAng="0" swAng="-357435"/>
                                    <a:lnTo>
                                      <a:pt x="20700" y="9720"/>
                                    </a:lnTo>
                                    <a:arcTo wR="21600" hR="7560" stAng="-357435" swAng="-5042565"/>
                                    <a:close/>
                                  </a:path>
                                </a:pathLst>
                              </a:cu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0.05pt;margin-top:52.2pt;width:35.95pt;height:50.35pt;mso-wrap-style:none;v-text-anchor:middle;rotation:180;mso-position-horizontal-relative:margin">
                      <v:fill o:detectmouseclick="t" on="fals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">
                      <wp:simplePos x="0" y="0"/>
                      <wp:positionH relativeFrom="margin">
                        <wp:posOffset>717550</wp:posOffset>
                      </wp:positionH>
                      <wp:positionV relativeFrom="paragraph">
                        <wp:posOffset>658495</wp:posOffset>
                      </wp:positionV>
                      <wp:extent cx="2112010" cy="557530"/>
                      <wp:effectExtent l="0" t="0" r="0" b="0"/>
                      <wp:wrapNone/>
                      <wp:docPr id="9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2010" cy="55753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rPr/>
                                  </w:pPr>
                                  <w:r>
                                    <w:rPr/>
                                    <w:t>Analisi grado raggiungimento obiettivi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166.3pt;height:43.9pt;mso-wrap-distance-left:9.05pt;mso-wrap-distance-right:9.05pt;mso-wrap-distance-top:0pt;mso-wrap-distance-bottom:0pt;margin-top:51.85pt;mso-position-vertical-relative:text;margin-left:56.5pt;mso-position-horizontal-relative:margin">
                      <v:textbox>
                        <w:txbxContent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  <w:t>Analisi grado raggiungimento obiettivi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DGE (R)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RSGQ (A)</w:t>
            </w:r>
          </w:p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RF (P)</w:t>
            </w:r>
          </w:p>
        </w:tc>
        <w:tc>
          <w:tcPr>
            <w:tcW w:w="2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</w:rPr>
              <w:t>Sulla base degli obiettivi di Funzione fissati, DGE rivede periodicamente gli obiettivi per verificarne il grado di raggiungimento.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start="7230" w:end="0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Legenda:</w:t>
      </w:r>
    </w:p>
    <w:p>
      <w:pPr>
        <w:pStyle w:val="Normal"/>
        <w:ind w:start="7230" w:end="0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ind w:start="7230" w:end="0"/>
        <w:rPr/>
      </w:pPr>
      <w:r>
        <w:rPr>
          <w:rFonts w:cs="Calibri" w:ascii="Calibri" w:hAnsi="Calibri"/>
          <w:b/>
        </w:rPr>
        <w:t>R:  Responsabile</w:t>
      </w:r>
    </w:p>
    <w:p>
      <w:pPr>
        <w:pStyle w:val="Normal"/>
        <w:ind w:start="7230" w:end="0"/>
        <w:rPr/>
      </w:pPr>
      <w:r>
        <w:rPr>
          <w:rFonts w:cs="Calibri" w:ascii="Calibri" w:hAnsi="Calibri"/>
          <w:b/>
        </w:rPr>
        <w:t>A:  Assistente</w:t>
      </w:r>
    </w:p>
    <w:p>
      <w:pPr>
        <w:pStyle w:val="Normal"/>
        <w:ind w:start="7230" w:end="0"/>
        <w:rPr/>
      </w:pPr>
      <w:r>
        <w:rPr>
          <w:rFonts w:cs="Calibri" w:ascii="Calibri" w:hAnsi="Calibri"/>
          <w:b/>
        </w:rPr>
        <w:t>P :  Partecipante</w:t>
      </w:r>
    </w:p>
    <w:p>
      <w:pPr>
        <w:pStyle w:val="Normal"/>
        <w:rPr>
          <w:rFonts w:ascii="Tahoma" w:hAnsi="Tahoma" w:cs="Tahoma"/>
          <w:b/>
        </w:rPr>
      </w:pPr>
      <w:r>
        <w:rPr>
          <w:rFonts w:cs="Tahoma" w:ascii="Tahoma" w:hAnsi="Tahoma"/>
          <w:b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134" w:right="1134" w:gutter="0" w:header="567" w:top="1134" w:footer="567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1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8009"/>
      <w:gridCol w:w="1701"/>
    </w:tblGrid>
    <w:tr>
      <w:trPr>
        <w:trHeight w:val="293" w:hRule="atLeast"/>
      </w:trPr>
      <w:tc>
        <w:tcPr>
          <w:tcW w:w="800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9.3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70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center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6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6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4961"/>
      <w:gridCol w:w="3403"/>
      <w:gridCol w:w="1276"/>
    </w:tblGrid>
    <w:tr>
      <w:trPr>
        <w:trHeight w:val="400" w:hRule="atLeast"/>
      </w:trPr>
      <w:tc>
        <w:tcPr>
          <w:tcW w:w="496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Cs w:val="24"/>
              <w:lang w:val="en-US" w:eastAsia="it-IT"/>
            </w:rPr>
          </w:pPr>
          <w:r>
            <w:rPr>
              <w:rFonts w:cs="Calibri" w:ascii="Calibri" w:hAnsi="Calibri"/>
              <w:szCs w:val="24"/>
              <w:lang w:val="en-US" w:eastAsia="it-IT"/>
            </w:rPr>
            <w:t xml:space="preserve">ELABORATO </w:t>
          </w:r>
          <w:r>
            <w:rPr>
              <w:rFonts w:cs="Tahoma" w:ascii="Calibri" w:hAnsi="Calibri"/>
              <w:color w:val="000000"/>
              <w:szCs w:val="24"/>
              <w:lang w:val="en-US" w:eastAsia="it-IT"/>
            </w:rPr>
            <w:t>My Advisor S.r.l.</w:t>
          </w:r>
        </w:p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>DATA: 22/01/2019</w:t>
          </w:r>
        </w:p>
      </w:tc>
      <w:tc>
        <w:tcPr>
          <w:tcW w:w="4679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 xml:space="preserve">APPROVATO </w:t>
          </w:r>
        </w:p>
        <w:p>
          <w:pPr>
            <w:pStyle w:val="Footer"/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>DATA: 22/01/2019</w:t>
          </w:r>
        </w:p>
      </w:tc>
    </w:tr>
    <w:tr>
      <w:trPr>
        <w:trHeight w:val="293" w:hRule="atLeast"/>
      </w:trPr>
      <w:tc>
        <w:tcPr>
          <w:tcW w:w="8364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9.3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center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1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6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 w:before="0" w:after="60"/>
            <w:ind w:hanging="0" w:start="0"/>
            <w:jc w:val="center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9.3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MODALITA’ DI DEFINIZIONE DELLE POLITICHE E DEGLI OBIETTIVI AZIENDALI – GESTIONE DEI RIESAMI</w:t>
          </w:r>
        </w:p>
      </w:tc>
    </w:tr>
  </w:tbl>
  <w:p>
    <w:pPr>
      <w:pStyle w:val="Header"/>
      <w:rPr>
        <w:sz w:val="8"/>
      </w:rPr>
    </w:pPr>
    <w:r>
      <w:rPr>
        <w:sz w:val="8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 w:before="0" w:after="60"/>
            <w:ind w:hanging="0" w:start="0"/>
            <w:jc w:val="center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9.3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MODALITA’ DI DEFINIZIONE DELLE POLITICHE E DEGLI OBIETTIVI AZIENDALI – GESTIONE DEI RIESAMI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"/>
      <w:lvlJc w:val="start"/>
      <w:pPr>
        <w:tabs>
          <w:tab w:val="num" w:pos="360"/>
        </w:tabs>
        <w:ind w:start="36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"/>
      <w:lvlJc w:val="start"/>
      <w:pPr>
        <w:tabs>
          <w:tab w:val="num" w:pos="360"/>
        </w:tabs>
        <w:ind w:start="36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5"/>
      <w:numFmt w:val="bullet"/>
      <w:lvlText w:val="-"/>
      <w:lvlJc w:val="start"/>
      <w:pPr>
        <w:tabs>
          <w:tab w:val="num" w:pos="502"/>
        </w:tabs>
        <w:ind w:start="502" w:hanging="360"/>
      </w:pPr>
      <w:rPr>
        <w:rFonts w:ascii="Times New Roman" w:hAnsi="Times New Roman" w:cs="Times New Roman" w:hint="default"/>
      </w:rPr>
    </w:lvl>
  </w:abstractNum>
  <w:abstractNum w:abstractNumId="6">
    <w:lvl w:ilvl="0">
      <w:start w:val="1"/>
      <w:numFmt w:val="bullet"/>
      <w:lvlText w:val=""/>
      <w:lvlJc w:val="start"/>
      <w:pPr>
        <w:tabs>
          <w:tab w:val="num" w:pos="360"/>
        </w:tabs>
        <w:ind w:start="340" w:hanging="340"/>
      </w:pPr>
      <w:rPr>
        <w:rFonts w:ascii="Wingdings" w:hAnsi="Wingdings" w:cs="Wingdings" w:hint="default"/>
        <w:outline w:val="false"/>
        <w:sz w:val="22"/>
        <w:i w:val="false"/>
        <w:shadow w:val="false"/>
        <w:b/>
        <w:emboss/>
        <w:color w:val="00008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center"/>
      <w:outlineLvl w:val="0"/>
    </w:pPr>
    <w:rPr>
      <w:rFonts w:ascii="Arial" w:hAnsi="Arial" w:cs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smallCaps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i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708" w:start="0" w:end="0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smallCaps/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outlineLvl w:val="8"/>
    </w:pPr>
    <w:rPr>
      <w:smallCaps/>
      <w:sz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Wingdings" w:hAnsi="Wingdings" w:cs="Wingdings"/>
      <w:b/>
      <w:i w:val="false"/>
      <w:outline w:val="false"/>
      <w:shadow w:val="false"/>
      <w:emboss/>
      <w:color w:val="000080"/>
      <w:sz w:val="22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revisioni">
    <w:name w:val="revisioni"/>
    <w:qFormat/>
    <w:rPr>
      <w:color w:val="0000FF"/>
      <w:u w:val="single"/>
    </w:rPr>
  </w:style>
  <w:style w:type="character" w:styleId="PidipaginaCarattere">
    <w:name w:val="Piè di pagina Carattere"/>
    <w:qFormat/>
    <w:rPr>
      <w:sz w:val="24"/>
    </w:rPr>
  </w:style>
  <w:style w:type="character" w:styleId="TestofumettoCarattere">
    <w:name w:val="Testo fumetto Carattere"/>
    <w:qFormat/>
    <w:rPr>
      <w:rFonts w:ascii="Tahoma" w:hAnsi="Tahoma" w:cs="Tahoma"/>
      <w:sz w:val="16"/>
      <w:szCs w:val="16"/>
    </w:rPr>
  </w:style>
  <w:style w:type="character" w:styleId="IntestazioneCarattere">
    <w:name w:val="Intestazione Carattere"/>
    <w:qFormat/>
    <w:rPr>
      <w:sz w:val="24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sz w:val="28"/>
    </w:rPr>
  </w:style>
  <w:style w:type="paragraph" w:styleId="BodyText">
    <w:name w:val="Body Text"/>
    <w:basedOn w:val="Normal"/>
    <w:pPr>
      <w:jc w:val="center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  <w:lang w:val="en-US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  <w:lang w:val="en-US"/>
    </w:rPr>
  </w:style>
  <w:style w:type="paragraph" w:styleId="TOC1">
    <w:name w:val="TOC 1"/>
    <w:basedOn w:val="Normal"/>
    <w:next w:val="Normal"/>
    <w:pPr>
      <w:spacing w:before="120" w:after="0"/>
    </w:pPr>
    <w:rPr>
      <w:b/>
      <w:i/>
      <w:sz w:val="24"/>
    </w:rPr>
  </w:style>
  <w:style w:type="paragraph" w:styleId="TOC2">
    <w:name w:val="TOC 2"/>
    <w:basedOn w:val="Normal"/>
    <w:next w:val="Normal"/>
    <w:pPr>
      <w:spacing w:before="120" w:after="0"/>
      <w:ind w:hanging="0" w:start="200" w:end="0"/>
    </w:pPr>
    <w:rPr>
      <w:b/>
      <w:sz w:val="22"/>
    </w:rPr>
  </w:style>
  <w:style w:type="paragraph" w:styleId="TOC3">
    <w:name w:val="TOC 3"/>
    <w:basedOn w:val="Normal"/>
    <w:next w:val="Normal"/>
    <w:pPr>
      <w:ind w:hanging="0" w:start="400" w:end="0"/>
    </w:pPr>
    <w:rPr/>
  </w:style>
  <w:style w:type="paragraph" w:styleId="TOC4">
    <w:name w:val="TOC 4"/>
    <w:basedOn w:val="Normal"/>
    <w:next w:val="Normal"/>
    <w:pPr>
      <w:ind w:hanging="0" w:start="600" w:end="0"/>
    </w:pPr>
    <w:rPr/>
  </w:style>
  <w:style w:type="paragraph" w:styleId="TOC5">
    <w:name w:val="TOC 5"/>
    <w:basedOn w:val="Normal"/>
    <w:next w:val="Normal"/>
    <w:pPr>
      <w:ind w:hanging="0" w:start="800" w:end="0"/>
    </w:pPr>
    <w:rPr/>
  </w:style>
  <w:style w:type="paragraph" w:styleId="TOC6">
    <w:name w:val="TOC 6"/>
    <w:basedOn w:val="Normal"/>
    <w:next w:val="Normal"/>
    <w:pPr>
      <w:ind w:hanging="0" w:start="1000" w:end="0"/>
    </w:pPr>
    <w:rPr/>
  </w:style>
  <w:style w:type="paragraph" w:styleId="TOC7">
    <w:name w:val="TOC 7"/>
    <w:basedOn w:val="Normal"/>
    <w:next w:val="Normal"/>
    <w:pPr>
      <w:ind w:hanging="0" w:start="1200" w:end="0"/>
    </w:pPr>
    <w:rPr/>
  </w:style>
  <w:style w:type="paragraph" w:styleId="TOC8">
    <w:name w:val="TOC 8"/>
    <w:basedOn w:val="Normal"/>
    <w:next w:val="Normal"/>
    <w:pPr>
      <w:ind w:hanging="0" w:start="1400" w:end="0"/>
    </w:pPr>
    <w:rPr/>
  </w:style>
  <w:style w:type="paragraph" w:styleId="TOC9">
    <w:name w:val="TOC 9"/>
    <w:basedOn w:val="Normal"/>
    <w:next w:val="Normal"/>
    <w:pPr>
      <w:ind w:hanging="0" w:start="1600" w:end="0"/>
    </w:pPr>
    <w:rPr/>
  </w:style>
  <w:style w:type="paragraph" w:styleId="BodyTextIndent">
    <w:name w:val="Body Text Indent"/>
    <w:basedOn w:val="Normal"/>
    <w:pPr>
      <w:ind w:firstLine="708" w:start="0" w:end="0"/>
      <w:jc w:val="both"/>
    </w:pPr>
    <w:rPr/>
  </w:style>
  <w:style w:type="paragraph" w:styleId="Rientrocorpodeltesto2">
    <w:name w:val="Rientro corpo del testo 2"/>
    <w:basedOn w:val="Normal"/>
    <w:qFormat/>
    <w:pPr>
      <w:ind w:hanging="284" w:start="426" w:end="0"/>
      <w:jc w:val="both"/>
    </w:pPr>
    <w:rPr>
      <w:smallCaps/>
      <w:sz w:val="24"/>
    </w:rPr>
  </w:style>
  <w:style w:type="paragraph" w:styleId="Testodelblocco">
    <w:name w:val="Testo del blocco"/>
    <w:basedOn w:val="Normal"/>
    <w:qFormat/>
    <w:pPr>
      <w:tabs>
        <w:tab w:val="clear" w:pos="708"/>
        <w:tab w:val="left" w:pos="-1701" w:leader="none"/>
        <w:tab w:val="left" w:pos="-1560" w:leader="none"/>
        <w:tab w:val="left" w:pos="3686" w:leader="none"/>
        <w:tab w:val="right" w:pos="8647" w:leader="none"/>
      </w:tabs>
      <w:ind w:firstLine="142" w:start="284" w:end="283"/>
      <w:jc w:val="both"/>
    </w:pPr>
    <w:rPr>
      <w:smallCaps/>
      <w:sz w:val="24"/>
    </w:rPr>
  </w:style>
  <w:style w:type="paragraph" w:styleId="Rientrocorpodeltesto3">
    <w:name w:val="Rientro corpo del testo 3"/>
    <w:basedOn w:val="Normal"/>
    <w:qFormat/>
    <w:pPr>
      <w:ind w:firstLine="142" w:start="0" w:end="0"/>
      <w:jc w:val="both"/>
    </w:pPr>
    <w:rPr>
      <w:smallCaps/>
      <w:sz w:val="24"/>
    </w:rPr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mallCaps/>
      <w:sz w:val="24"/>
    </w:rPr>
  </w:style>
  <w:style w:type="paragraph" w:styleId="BodyTextIndent2">
    <w:name w:val="Body Text Indent 2"/>
    <w:basedOn w:val="Normal"/>
    <w:qFormat/>
    <w:pPr>
      <w:ind w:firstLine="284" w:start="0" w:end="0"/>
      <w:jc w:val="both"/>
    </w:pPr>
    <w:rPr>
      <w:smallCaps/>
      <w:sz w:val="24"/>
    </w:rPr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Paragrafoelenco">
    <w:name w:val="Paragrafo elenco"/>
    <w:basedOn w:val="Normal"/>
    <w:qFormat/>
    <w:pPr>
      <w:ind w:hanging="0" w:start="708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