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8AE5F" w14:textId="77777777" w:rsidR="000D66B3" w:rsidRDefault="000D66B3" w:rsidP="000D66B3">
      <w:pPr>
        <w:spacing w:line="257" w:lineRule="auto"/>
        <w:jc w:val="center"/>
      </w:pPr>
      <w:r w:rsidRPr="74589ED8">
        <w:rPr>
          <w:rFonts w:ascii="Calibri" w:eastAsia="Calibri" w:hAnsi="Calibri" w:cs="Calibri"/>
          <w:b/>
          <w:bCs/>
        </w:rPr>
        <w:t>Multiple Myeloma Treatment Algorithm</w:t>
      </w:r>
    </w:p>
    <w:p w14:paraId="0FB62F5B" w14:textId="77777777" w:rsidR="000D66B3" w:rsidRDefault="000D66B3" w:rsidP="000D66B3">
      <w:pPr>
        <w:spacing w:line="257" w:lineRule="auto"/>
      </w:pPr>
      <w:r w:rsidRPr="74589ED8">
        <w:rPr>
          <w:rFonts w:ascii="Calibri" w:eastAsia="Calibri" w:hAnsi="Calibri" w:cs="Calibri"/>
          <w:u w:val="single"/>
        </w:rPr>
        <w:t>Overview and Scope</w:t>
      </w:r>
    </w:p>
    <w:p w14:paraId="5B437C6A" w14:textId="77777777" w:rsidR="000D66B3" w:rsidRDefault="000D66B3" w:rsidP="000D66B3">
      <w:pPr>
        <w:spacing w:line="257" w:lineRule="auto"/>
        <w:rPr>
          <w:rFonts w:ascii="Calibri" w:eastAsia="Calibri" w:hAnsi="Calibri" w:cs="Calibri"/>
        </w:rPr>
      </w:pPr>
      <w:r w:rsidRPr="3B723640">
        <w:rPr>
          <w:rFonts w:ascii="Calibri" w:eastAsia="Calibri" w:hAnsi="Calibri" w:cs="Calibri"/>
        </w:rPr>
        <w:t>In addition to tracking demographic and other characteristics of the simulants in our model, we will also assign and track multiple myeloma treatment regimens at each line of treatment for simulants who develop multiple myeloma and relapsed and refractory multiple myelom</w:t>
      </w:r>
      <w:r>
        <w:rPr>
          <w:rFonts w:ascii="Calibri" w:eastAsia="Calibri" w:hAnsi="Calibri" w:cs="Calibri"/>
        </w:rPr>
        <w:t xml:space="preserve">a. Simulants may receive a </w:t>
      </w:r>
      <w:r w:rsidRPr="3B723640">
        <w:rPr>
          <w:rFonts w:ascii="Calibri" w:eastAsia="Calibri" w:hAnsi="Calibri" w:cs="Calibri"/>
        </w:rPr>
        <w:t>treatment regimen</w:t>
      </w:r>
      <w:r>
        <w:rPr>
          <w:rFonts w:ascii="Calibri" w:eastAsia="Calibri" w:hAnsi="Calibri" w:cs="Calibri"/>
        </w:rPr>
        <w:t xml:space="preserve"> in one of the three categories below at </w:t>
      </w:r>
      <w:r w:rsidRPr="3B723640">
        <w:rPr>
          <w:rFonts w:ascii="Calibri" w:eastAsia="Calibri" w:hAnsi="Calibri" w:cs="Calibri"/>
        </w:rPr>
        <w:t>each line of treatment:</w:t>
      </w:r>
    </w:p>
    <w:p w14:paraId="4708DDDA" w14:textId="77777777" w:rsidR="000D66B3" w:rsidRDefault="000D66B3" w:rsidP="000D66B3">
      <w:pPr>
        <w:pStyle w:val="ListParagraph"/>
        <w:numPr>
          <w:ilvl w:val="0"/>
          <w:numId w:val="1"/>
        </w:numPr>
        <w:spacing w:line="257" w:lineRule="auto"/>
      </w:pPr>
      <w:r>
        <w:t>Isatuxamib-containing treatment</w:t>
      </w:r>
    </w:p>
    <w:p w14:paraId="3A33CAE3" w14:textId="77777777" w:rsidR="00A349C3" w:rsidRDefault="000D66B3" w:rsidP="000D66B3">
      <w:pPr>
        <w:pStyle w:val="ListParagraph"/>
        <w:numPr>
          <w:ilvl w:val="0"/>
          <w:numId w:val="1"/>
        </w:numPr>
        <w:spacing w:line="257" w:lineRule="auto"/>
      </w:pPr>
      <w:r>
        <w:t>Daratumumab-containing treatment</w:t>
      </w:r>
    </w:p>
    <w:p w14:paraId="6FFB465F" w14:textId="77777777" w:rsidR="000D66B3" w:rsidRDefault="000D66B3" w:rsidP="000D66B3">
      <w:pPr>
        <w:pStyle w:val="ListParagraph"/>
        <w:numPr>
          <w:ilvl w:val="0"/>
          <w:numId w:val="1"/>
        </w:numPr>
        <w:spacing w:line="257" w:lineRule="auto"/>
      </w:pPr>
      <w:r>
        <w:t>All other treatments</w:t>
      </w:r>
    </w:p>
    <w:p w14:paraId="15C79789" w14:textId="77777777" w:rsidR="000D66B3" w:rsidRDefault="000D66B3" w:rsidP="000D66B3">
      <w:pPr>
        <w:spacing w:line="257" w:lineRule="auto"/>
        <w:rPr>
          <w:rFonts w:ascii="Calibri" w:eastAsia="Calibri" w:hAnsi="Calibri" w:cs="Calibri"/>
        </w:rPr>
      </w:pPr>
      <w:r>
        <w:t xml:space="preserve">A simulant’s assigned treatment category for a given line of treatment will affect both their progression-free and overall survival hazard rate for that stage of disease. </w:t>
      </w:r>
      <w:r>
        <w:rPr>
          <w:rFonts w:ascii="Calibri" w:eastAsia="Calibri" w:hAnsi="Calibri" w:cs="Calibri"/>
        </w:rPr>
        <w:t>Only a certain proportion of s</w:t>
      </w:r>
      <w:r w:rsidRPr="3B723640">
        <w:rPr>
          <w:rFonts w:ascii="Calibri" w:eastAsia="Calibri" w:hAnsi="Calibri" w:cs="Calibri"/>
        </w:rPr>
        <w:t>imulants who receive an isatuxamib- or daratumumab-containing regimen for a given line of treatment will be eligible for isatuxamib- or daratumumab-containing regimens at all other subsequent lines of treatment. Our simulation will examine the impact of increasing the proportion of newly diagnosed and newly relapsed MM/RRMM cases that are treated with an isatuxamib-containing treatment regimen.</w:t>
      </w:r>
    </w:p>
    <w:p w14:paraId="250D2156" w14:textId="77777777" w:rsidR="00667310" w:rsidRDefault="00667310" w:rsidP="00667310">
      <w:pPr>
        <w:spacing w:line="257" w:lineRule="auto"/>
      </w:pPr>
      <w:r w:rsidRPr="74589ED8">
        <w:rPr>
          <w:rFonts w:ascii="Calibri" w:eastAsia="Calibri" w:hAnsi="Calibri" w:cs="Calibri"/>
          <w:u w:val="single"/>
        </w:rPr>
        <w:t>Coverage Scale-Up</w:t>
      </w:r>
    </w:p>
    <w:p w14:paraId="03C4AD6C" w14:textId="77777777" w:rsidR="00667310" w:rsidRDefault="00667310" w:rsidP="00667310">
      <w:pPr>
        <w:spacing w:line="257" w:lineRule="auto"/>
      </w:pPr>
      <w:r w:rsidRPr="3B723640">
        <w:rPr>
          <w:rFonts w:ascii="Calibri" w:eastAsia="Calibri" w:hAnsi="Calibri" w:cs="Calibri"/>
        </w:rPr>
        <w:t>In our simulation, isatuxamib-containing regimens will increase in coverage linearly from 2021 to 2025 according to the maximum target coverage values listed in the table below (see the retreatment section for details on why these values are maximum target rather than absolute values):</w:t>
      </w:r>
    </w:p>
    <w:p w14:paraId="2B3DBF29" w14:textId="77777777" w:rsidR="00667310" w:rsidRDefault="00667310" w:rsidP="00667310">
      <w:pPr>
        <w:spacing w:line="257" w:lineRule="auto"/>
        <w:rPr>
          <w:rFonts w:ascii="Calibri" w:eastAsia="Calibri" w:hAnsi="Calibri" w:cs="Calibri"/>
          <w:sz w:val="18"/>
          <w:szCs w:val="18"/>
        </w:rPr>
      </w:pPr>
      <w:r w:rsidRPr="3B723640">
        <w:rPr>
          <w:rFonts w:ascii="Calibri" w:eastAsia="Calibri" w:hAnsi="Calibri" w:cs="Calibri"/>
          <w:sz w:val="18"/>
          <w:szCs w:val="18"/>
        </w:rPr>
        <w:t xml:space="preserve">Table 1. Percentage of newly diagnosed (or newly relapsed) patients receiving </w:t>
      </w:r>
      <w:r w:rsidR="003C05B2" w:rsidRPr="3B723640">
        <w:rPr>
          <w:rFonts w:ascii="Calibri" w:eastAsia="Calibri" w:hAnsi="Calibri" w:cs="Calibri"/>
          <w:sz w:val="18"/>
          <w:szCs w:val="18"/>
        </w:rPr>
        <w:t>isatuxamib</w:t>
      </w:r>
      <w:r w:rsidRPr="3B723640">
        <w:rPr>
          <w:rFonts w:ascii="Calibri" w:eastAsia="Calibri" w:hAnsi="Calibri" w:cs="Calibri"/>
          <w:sz w:val="18"/>
          <w:szCs w:val="18"/>
        </w:rPr>
        <w:t xml:space="preserve"> as part of their treatment regimen in 2021 (start of simulation) and 2025 (end of the simulation) in baseline and alternative scenarios.</w:t>
      </w:r>
    </w:p>
    <w:tbl>
      <w:tblPr>
        <w:tblStyle w:val="TableGrid"/>
        <w:tblW w:w="0" w:type="auto"/>
        <w:tblLayout w:type="fixed"/>
        <w:tblLook w:val="04A0" w:firstRow="1" w:lastRow="0" w:firstColumn="1" w:lastColumn="0" w:noHBand="0" w:noVBand="1"/>
      </w:tblPr>
      <w:tblGrid>
        <w:gridCol w:w="2340"/>
        <w:gridCol w:w="2340"/>
        <w:gridCol w:w="2340"/>
        <w:gridCol w:w="2340"/>
      </w:tblGrid>
      <w:tr w:rsidR="00667310" w14:paraId="77B6D415" w14:textId="77777777" w:rsidTr="004253AE">
        <w:tc>
          <w:tcPr>
            <w:tcW w:w="2340" w:type="dxa"/>
            <w:tcBorders>
              <w:top w:val="single" w:sz="8" w:space="0" w:color="auto"/>
              <w:left w:val="single" w:sz="8" w:space="0" w:color="auto"/>
              <w:bottom w:val="single" w:sz="8" w:space="0" w:color="auto"/>
              <w:right w:val="single" w:sz="8" w:space="0" w:color="auto"/>
            </w:tcBorders>
          </w:tcPr>
          <w:p w14:paraId="7ADB40D6" w14:textId="77777777" w:rsidR="00667310" w:rsidRDefault="00667310" w:rsidP="004253AE">
            <w:r w:rsidRPr="74589ED8">
              <w:rPr>
                <w:rFonts w:ascii="Calibri" w:eastAsia="Calibri" w:hAnsi="Calibri" w:cs="Calibri"/>
                <w:b/>
                <w:bCs/>
              </w:rPr>
              <w:t>Line of treatment</w:t>
            </w:r>
          </w:p>
        </w:tc>
        <w:tc>
          <w:tcPr>
            <w:tcW w:w="2340" w:type="dxa"/>
            <w:tcBorders>
              <w:top w:val="single" w:sz="8" w:space="0" w:color="auto"/>
              <w:left w:val="single" w:sz="8" w:space="0" w:color="auto"/>
              <w:bottom w:val="single" w:sz="8" w:space="0" w:color="auto"/>
              <w:right w:val="single" w:sz="8" w:space="0" w:color="auto"/>
            </w:tcBorders>
          </w:tcPr>
          <w:p w14:paraId="485353BE" w14:textId="77777777" w:rsidR="00667310" w:rsidRDefault="00667310" w:rsidP="004253AE">
            <w:r w:rsidRPr="3B723640">
              <w:rPr>
                <w:rFonts w:ascii="Calibri" w:eastAsia="Calibri" w:hAnsi="Calibri" w:cs="Calibri"/>
                <w:b/>
                <w:bCs/>
              </w:rPr>
              <w:t>2021 coverage, % (Baseline and Alternative Scenarios)</w:t>
            </w:r>
          </w:p>
        </w:tc>
        <w:tc>
          <w:tcPr>
            <w:tcW w:w="2340" w:type="dxa"/>
            <w:tcBorders>
              <w:top w:val="single" w:sz="8" w:space="0" w:color="auto"/>
              <w:left w:val="single" w:sz="8" w:space="0" w:color="auto"/>
              <w:bottom w:val="single" w:sz="8" w:space="0" w:color="auto"/>
              <w:right w:val="single" w:sz="8" w:space="0" w:color="auto"/>
            </w:tcBorders>
          </w:tcPr>
          <w:p w14:paraId="3FC07F8F" w14:textId="77777777" w:rsidR="00667310" w:rsidRDefault="00667310" w:rsidP="004253AE">
            <w:r w:rsidRPr="3B723640">
              <w:rPr>
                <w:rFonts w:ascii="Calibri" w:eastAsia="Calibri" w:hAnsi="Calibri" w:cs="Calibri"/>
                <w:b/>
                <w:bCs/>
              </w:rPr>
              <w:t>2025 coverage, % (Baseline Scenario)</w:t>
            </w:r>
          </w:p>
        </w:tc>
        <w:tc>
          <w:tcPr>
            <w:tcW w:w="2340" w:type="dxa"/>
            <w:tcBorders>
              <w:top w:val="single" w:sz="8" w:space="0" w:color="auto"/>
              <w:left w:val="single" w:sz="8" w:space="0" w:color="auto"/>
              <w:bottom w:val="single" w:sz="8" w:space="0" w:color="auto"/>
              <w:right w:val="single" w:sz="8" w:space="0" w:color="auto"/>
            </w:tcBorders>
          </w:tcPr>
          <w:p w14:paraId="56EA5B21" w14:textId="77777777" w:rsidR="00667310" w:rsidRDefault="00667310" w:rsidP="004253AE">
            <w:r w:rsidRPr="3B723640">
              <w:rPr>
                <w:rFonts w:ascii="Calibri" w:eastAsia="Calibri" w:hAnsi="Calibri" w:cs="Calibri"/>
                <w:b/>
                <w:bCs/>
              </w:rPr>
              <w:t>2025 coverage, % (Alternative Scenario)</w:t>
            </w:r>
          </w:p>
        </w:tc>
      </w:tr>
      <w:tr w:rsidR="00667310" w14:paraId="1682756F" w14:textId="77777777" w:rsidTr="004253AE">
        <w:tc>
          <w:tcPr>
            <w:tcW w:w="2340" w:type="dxa"/>
            <w:tcBorders>
              <w:top w:val="single" w:sz="8" w:space="0" w:color="auto"/>
              <w:left w:val="single" w:sz="8" w:space="0" w:color="auto"/>
              <w:bottom w:val="single" w:sz="8" w:space="0" w:color="auto"/>
              <w:right w:val="single" w:sz="8" w:space="0" w:color="auto"/>
            </w:tcBorders>
          </w:tcPr>
          <w:p w14:paraId="3BF31454" w14:textId="77777777" w:rsidR="00667310" w:rsidRDefault="00667310" w:rsidP="004253AE">
            <w:r w:rsidRPr="74589ED8">
              <w:rPr>
                <w:rFonts w:ascii="Calibri" w:eastAsia="Calibri" w:hAnsi="Calibri" w:cs="Calibri"/>
              </w:rPr>
              <w:t>1</w:t>
            </w:r>
          </w:p>
        </w:tc>
        <w:tc>
          <w:tcPr>
            <w:tcW w:w="2340" w:type="dxa"/>
            <w:tcBorders>
              <w:top w:val="single" w:sz="8" w:space="0" w:color="auto"/>
              <w:left w:val="single" w:sz="8" w:space="0" w:color="auto"/>
              <w:bottom w:val="single" w:sz="8" w:space="0" w:color="auto"/>
              <w:right w:val="single" w:sz="8" w:space="0" w:color="auto"/>
            </w:tcBorders>
          </w:tcPr>
          <w:p w14:paraId="775FA72A" w14:textId="77777777" w:rsidR="00667310" w:rsidRDefault="00667310" w:rsidP="004253AE">
            <w:r w:rsidRPr="74589ED8">
              <w:rPr>
                <w:rFonts w:ascii="Calibri" w:eastAsia="Calibri" w:hAnsi="Calibri" w:cs="Calibri"/>
              </w:rPr>
              <w:t>0</w:t>
            </w:r>
          </w:p>
        </w:tc>
        <w:tc>
          <w:tcPr>
            <w:tcW w:w="2340" w:type="dxa"/>
            <w:tcBorders>
              <w:top w:val="single" w:sz="8" w:space="0" w:color="auto"/>
              <w:left w:val="single" w:sz="8" w:space="0" w:color="auto"/>
              <w:bottom w:val="single" w:sz="8" w:space="0" w:color="auto"/>
              <w:right w:val="single" w:sz="8" w:space="0" w:color="auto"/>
            </w:tcBorders>
          </w:tcPr>
          <w:p w14:paraId="2B9CEF7E" w14:textId="77777777" w:rsidR="00667310" w:rsidRDefault="00667310" w:rsidP="004253AE">
            <w:r w:rsidRPr="74589ED8">
              <w:rPr>
                <w:rFonts w:ascii="Calibri" w:eastAsia="Calibri" w:hAnsi="Calibri" w:cs="Calibri"/>
              </w:rPr>
              <w:t>0</w:t>
            </w:r>
          </w:p>
        </w:tc>
        <w:tc>
          <w:tcPr>
            <w:tcW w:w="2340" w:type="dxa"/>
            <w:tcBorders>
              <w:top w:val="single" w:sz="8" w:space="0" w:color="auto"/>
              <w:left w:val="single" w:sz="8" w:space="0" w:color="auto"/>
              <w:bottom w:val="single" w:sz="8" w:space="0" w:color="auto"/>
              <w:right w:val="single" w:sz="8" w:space="0" w:color="auto"/>
            </w:tcBorders>
          </w:tcPr>
          <w:p w14:paraId="3E9C8AB7" w14:textId="77777777" w:rsidR="00667310" w:rsidRDefault="00667310" w:rsidP="004253AE">
            <w:r w:rsidRPr="3B723640">
              <w:rPr>
                <w:rFonts w:ascii="Calibri" w:eastAsia="Calibri" w:hAnsi="Calibri" w:cs="Calibri"/>
              </w:rPr>
              <w:t>10</w:t>
            </w:r>
          </w:p>
        </w:tc>
      </w:tr>
      <w:tr w:rsidR="00667310" w14:paraId="30567D8C" w14:textId="77777777" w:rsidTr="004253AE">
        <w:tc>
          <w:tcPr>
            <w:tcW w:w="2340" w:type="dxa"/>
            <w:tcBorders>
              <w:top w:val="single" w:sz="8" w:space="0" w:color="auto"/>
              <w:left w:val="single" w:sz="8" w:space="0" w:color="auto"/>
              <w:bottom w:val="single" w:sz="8" w:space="0" w:color="auto"/>
              <w:right w:val="single" w:sz="8" w:space="0" w:color="auto"/>
            </w:tcBorders>
          </w:tcPr>
          <w:p w14:paraId="25DFECD5" w14:textId="77777777" w:rsidR="00667310" w:rsidRDefault="00667310" w:rsidP="004253AE">
            <w:r w:rsidRPr="74589ED8">
              <w:rPr>
                <w:rFonts w:ascii="Calibri" w:eastAsia="Calibri" w:hAnsi="Calibri" w:cs="Calibri"/>
              </w:rPr>
              <w:t>2</w:t>
            </w:r>
          </w:p>
        </w:tc>
        <w:tc>
          <w:tcPr>
            <w:tcW w:w="2340" w:type="dxa"/>
            <w:tcBorders>
              <w:top w:val="single" w:sz="8" w:space="0" w:color="auto"/>
              <w:left w:val="single" w:sz="8" w:space="0" w:color="auto"/>
              <w:bottom w:val="single" w:sz="8" w:space="0" w:color="auto"/>
              <w:right w:val="single" w:sz="8" w:space="0" w:color="auto"/>
            </w:tcBorders>
          </w:tcPr>
          <w:p w14:paraId="1A8D6220" w14:textId="77777777" w:rsidR="00667310" w:rsidRDefault="00937CE3" w:rsidP="004253AE">
            <w:r>
              <w:rPr>
                <w:rFonts w:ascii="Calibri" w:eastAsia="Calibri" w:hAnsi="Calibri" w:cs="Calibri"/>
              </w:rPr>
              <w:t>0.8%</w:t>
            </w:r>
          </w:p>
        </w:tc>
        <w:tc>
          <w:tcPr>
            <w:tcW w:w="2340" w:type="dxa"/>
            <w:tcBorders>
              <w:top w:val="single" w:sz="8" w:space="0" w:color="auto"/>
              <w:left w:val="single" w:sz="8" w:space="0" w:color="auto"/>
              <w:bottom w:val="single" w:sz="8" w:space="0" w:color="auto"/>
              <w:right w:val="single" w:sz="8" w:space="0" w:color="auto"/>
            </w:tcBorders>
          </w:tcPr>
          <w:p w14:paraId="3CFA28B0" w14:textId="77777777" w:rsidR="00667310" w:rsidRDefault="00667310" w:rsidP="004253AE">
            <w:r w:rsidRPr="3B723640">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63F7B137" w14:textId="77777777" w:rsidR="00667310" w:rsidRDefault="00667310" w:rsidP="004253AE">
            <w:r w:rsidRPr="3B723640">
              <w:rPr>
                <w:rFonts w:ascii="Calibri" w:eastAsia="Calibri" w:hAnsi="Calibri" w:cs="Calibri"/>
              </w:rPr>
              <w:t>10</w:t>
            </w:r>
          </w:p>
        </w:tc>
      </w:tr>
      <w:tr w:rsidR="00667310" w14:paraId="3DA8FECE" w14:textId="77777777" w:rsidTr="004253AE">
        <w:tc>
          <w:tcPr>
            <w:tcW w:w="2340" w:type="dxa"/>
            <w:tcBorders>
              <w:top w:val="single" w:sz="8" w:space="0" w:color="auto"/>
              <w:left w:val="single" w:sz="8" w:space="0" w:color="auto"/>
              <w:bottom w:val="single" w:sz="8" w:space="0" w:color="auto"/>
              <w:right w:val="single" w:sz="8" w:space="0" w:color="auto"/>
            </w:tcBorders>
          </w:tcPr>
          <w:p w14:paraId="011B334A" w14:textId="77777777" w:rsidR="00667310" w:rsidRDefault="00667310" w:rsidP="004253AE">
            <w:r w:rsidRPr="74589ED8">
              <w:rPr>
                <w:rFonts w:ascii="Calibri" w:eastAsia="Calibri" w:hAnsi="Calibri" w:cs="Calibri"/>
              </w:rPr>
              <w:t>3</w:t>
            </w:r>
          </w:p>
        </w:tc>
        <w:tc>
          <w:tcPr>
            <w:tcW w:w="2340" w:type="dxa"/>
            <w:tcBorders>
              <w:top w:val="single" w:sz="8" w:space="0" w:color="auto"/>
              <w:left w:val="single" w:sz="8" w:space="0" w:color="auto"/>
              <w:bottom w:val="single" w:sz="8" w:space="0" w:color="auto"/>
              <w:right w:val="single" w:sz="8" w:space="0" w:color="auto"/>
            </w:tcBorders>
          </w:tcPr>
          <w:p w14:paraId="0B8B3FAE" w14:textId="77777777" w:rsidR="00667310" w:rsidRDefault="00937CE3" w:rsidP="004253AE">
            <w:r>
              <w:t>1.3%</w:t>
            </w:r>
          </w:p>
        </w:tc>
        <w:tc>
          <w:tcPr>
            <w:tcW w:w="2340" w:type="dxa"/>
            <w:tcBorders>
              <w:top w:val="single" w:sz="8" w:space="0" w:color="auto"/>
              <w:left w:val="single" w:sz="8" w:space="0" w:color="auto"/>
              <w:bottom w:val="single" w:sz="8" w:space="0" w:color="auto"/>
              <w:right w:val="single" w:sz="8" w:space="0" w:color="auto"/>
            </w:tcBorders>
          </w:tcPr>
          <w:p w14:paraId="7816A69D" w14:textId="77777777" w:rsidR="00667310" w:rsidRDefault="00667310" w:rsidP="004253AE">
            <w:r w:rsidRPr="3B723640">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1802C76A" w14:textId="77777777" w:rsidR="00667310" w:rsidRDefault="00667310" w:rsidP="004253AE">
            <w:r w:rsidRPr="3B723640">
              <w:rPr>
                <w:rFonts w:ascii="Calibri" w:eastAsia="Calibri" w:hAnsi="Calibri" w:cs="Calibri"/>
              </w:rPr>
              <w:t>10</w:t>
            </w:r>
          </w:p>
        </w:tc>
      </w:tr>
      <w:tr w:rsidR="00667310" w14:paraId="6E315310" w14:textId="77777777" w:rsidTr="004253AE">
        <w:tc>
          <w:tcPr>
            <w:tcW w:w="2340" w:type="dxa"/>
            <w:tcBorders>
              <w:top w:val="single" w:sz="8" w:space="0" w:color="auto"/>
              <w:left w:val="single" w:sz="8" w:space="0" w:color="auto"/>
              <w:bottom w:val="single" w:sz="8" w:space="0" w:color="auto"/>
              <w:right w:val="single" w:sz="8" w:space="0" w:color="auto"/>
            </w:tcBorders>
          </w:tcPr>
          <w:p w14:paraId="174401C0" w14:textId="77777777" w:rsidR="00667310" w:rsidRDefault="00937CE3" w:rsidP="004253AE">
            <w:r>
              <w:rPr>
                <w:rFonts w:ascii="Calibri" w:eastAsia="Calibri" w:hAnsi="Calibri" w:cs="Calibri"/>
              </w:rPr>
              <w:t>4</w:t>
            </w:r>
          </w:p>
        </w:tc>
        <w:tc>
          <w:tcPr>
            <w:tcW w:w="2340" w:type="dxa"/>
            <w:tcBorders>
              <w:top w:val="single" w:sz="8" w:space="0" w:color="auto"/>
              <w:left w:val="single" w:sz="8" w:space="0" w:color="auto"/>
              <w:bottom w:val="single" w:sz="8" w:space="0" w:color="auto"/>
              <w:right w:val="single" w:sz="8" w:space="0" w:color="auto"/>
            </w:tcBorders>
          </w:tcPr>
          <w:p w14:paraId="2703DF38" w14:textId="77777777" w:rsidR="00667310" w:rsidRDefault="00937CE3" w:rsidP="004253AE">
            <w:r>
              <w:t>1.5%</w:t>
            </w:r>
          </w:p>
        </w:tc>
        <w:tc>
          <w:tcPr>
            <w:tcW w:w="2340" w:type="dxa"/>
            <w:tcBorders>
              <w:top w:val="single" w:sz="8" w:space="0" w:color="auto"/>
              <w:left w:val="single" w:sz="8" w:space="0" w:color="auto"/>
              <w:bottom w:val="single" w:sz="8" w:space="0" w:color="auto"/>
              <w:right w:val="single" w:sz="8" w:space="0" w:color="auto"/>
            </w:tcBorders>
          </w:tcPr>
          <w:p w14:paraId="5A973139" w14:textId="77777777" w:rsidR="00667310" w:rsidRDefault="00667310" w:rsidP="004253AE">
            <w:pPr>
              <w:rPr>
                <w:rFonts w:ascii="Calibri" w:eastAsia="Calibri" w:hAnsi="Calibri" w:cs="Calibri"/>
              </w:rPr>
            </w:pPr>
            <w:r w:rsidRPr="3B723640">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7548354A" w14:textId="77777777" w:rsidR="00667310" w:rsidRDefault="00667310" w:rsidP="004253AE">
            <w:r w:rsidRPr="3B723640">
              <w:rPr>
                <w:rFonts w:ascii="Calibri" w:eastAsia="Calibri" w:hAnsi="Calibri" w:cs="Calibri"/>
              </w:rPr>
              <w:t>10</w:t>
            </w:r>
          </w:p>
        </w:tc>
      </w:tr>
      <w:tr w:rsidR="00937CE3" w14:paraId="117DE0BD" w14:textId="77777777" w:rsidTr="004253AE">
        <w:tc>
          <w:tcPr>
            <w:tcW w:w="2340" w:type="dxa"/>
            <w:tcBorders>
              <w:top w:val="single" w:sz="8" w:space="0" w:color="auto"/>
              <w:left w:val="single" w:sz="8" w:space="0" w:color="auto"/>
              <w:bottom w:val="single" w:sz="8" w:space="0" w:color="auto"/>
              <w:right w:val="single" w:sz="8" w:space="0" w:color="auto"/>
            </w:tcBorders>
          </w:tcPr>
          <w:p w14:paraId="754C7E53" w14:textId="77777777" w:rsidR="00937CE3" w:rsidRPr="74589ED8" w:rsidRDefault="00937CE3" w:rsidP="004253AE">
            <w:pPr>
              <w:rPr>
                <w:rFonts w:ascii="Calibri" w:eastAsia="Calibri" w:hAnsi="Calibri" w:cs="Calibri"/>
              </w:rPr>
            </w:pPr>
            <w:r>
              <w:rPr>
                <w:rFonts w:ascii="Calibri" w:eastAsia="Calibri" w:hAnsi="Calibri" w:cs="Calibri"/>
              </w:rPr>
              <w:t>5+</w:t>
            </w:r>
          </w:p>
        </w:tc>
        <w:tc>
          <w:tcPr>
            <w:tcW w:w="2340" w:type="dxa"/>
            <w:tcBorders>
              <w:top w:val="single" w:sz="8" w:space="0" w:color="auto"/>
              <w:left w:val="single" w:sz="8" w:space="0" w:color="auto"/>
              <w:bottom w:val="single" w:sz="8" w:space="0" w:color="auto"/>
              <w:right w:val="single" w:sz="8" w:space="0" w:color="auto"/>
            </w:tcBorders>
          </w:tcPr>
          <w:p w14:paraId="12973D8D" w14:textId="77777777" w:rsidR="00937CE3" w:rsidRDefault="00937CE3" w:rsidP="00937CE3">
            <w:pPr>
              <w:rPr>
                <w:rFonts w:ascii="Calibri" w:eastAsia="Calibri" w:hAnsi="Calibri" w:cs="Calibri"/>
              </w:rPr>
            </w:pPr>
            <w:r>
              <w:rPr>
                <w:rFonts w:ascii="Calibri" w:eastAsia="Calibri" w:hAnsi="Calibri" w:cs="Calibri"/>
              </w:rPr>
              <w:t>0.9%</w:t>
            </w:r>
          </w:p>
        </w:tc>
        <w:tc>
          <w:tcPr>
            <w:tcW w:w="2340" w:type="dxa"/>
            <w:tcBorders>
              <w:top w:val="single" w:sz="8" w:space="0" w:color="auto"/>
              <w:left w:val="single" w:sz="8" w:space="0" w:color="auto"/>
              <w:bottom w:val="single" w:sz="8" w:space="0" w:color="auto"/>
              <w:right w:val="single" w:sz="8" w:space="0" w:color="auto"/>
            </w:tcBorders>
          </w:tcPr>
          <w:p w14:paraId="4F210664" w14:textId="77777777" w:rsidR="00937CE3" w:rsidRPr="3B723640" w:rsidRDefault="00937CE3" w:rsidP="004253AE">
            <w:pPr>
              <w:rPr>
                <w:rFonts w:ascii="Calibri" w:eastAsia="Calibri" w:hAnsi="Calibri" w:cs="Calibri"/>
              </w:rPr>
            </w:pPr>
            <w:r>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40FEFEB3" w14:textId="77777777" w:rsidR="00937CE3" w:rsidRPr="3B723640" w:rsidRDefault="00937CE3" w:rsidP="004253AE">
            <w:pPr>
              <w:rPr>
                <w:rFonts w:ascii="Calibri" w:eastAsia="Calibri" w:hAnsi="Calibri" w:cs="Calibri"/>
              </w:rPr>
            </w:pPr>
            <w:r>
              <w:rPr>
                <w:rFonts w:ascii="Calibri" w:eastAsia="Calibri" w:hAnsi="Calibri" w:cs="Calibri"/>
              </w:rPr>
              <w:t>10</w:t>
            </w:r>
          </w:p>
        </w:tc>
      </w:tr>
    </w:tbl>
    <w:p w14:paraId="25235F9E" w14:textId="77777777" w:rsidR="00667310" w:rsidRDefault="00667310" w:rsidP="000D66B3">
      <w:pPr>
        <w:spacing w:line="257" w:lineRule="auto"/>
        <w:rPr>
          <w:rFonts w:ascii="Calibri" w:eastAsia="Calibri" w:hAnsi="Calibri" w:cs="Calibri"/>
        </w:rPr>
      </w:pPr>
    </w:p>
    <w:p w14:paraId="591809A3" w14:textId="77777777" w:rsidR="00937CE3" w:rsidRDefault="00937CE3" w:rsidP="000D66B3">
      <w:pPr>
        <w:spacing w:line="257" w:lineRule="auto"/>
        <w:rPr>
          <w:rFonts w:ascii="Calibri" w:eastAsia="Calibri" w:hAnsi="Calibri" w:cs="Calibri"/>
        </w:rPr>
      </w:pPr>
      <w:r>
        <w:rPr>
          <w:rFonts w:ascii="Calibri" w:eastAsia="Calibri" w:hAnsi="Calibri" w:cs="Calibri"/>
        </w:rPr>
        <w:t>The coverage of isatuxamib-containing treatments in 2021 was estimated using IQVIA sales data and the respective costs of daratumumab and isatuxamib to derive a ratio of isatuxamib sales to daratumumab sales in 2021 (0.05:1), which was then paired with our estimated coverage of daratumumab by line of treatment in 2021 (described below). In the absence of data to the contrary, we assumed that this ratio applied equally to each line of treatment, except for the first line, which we set to zero due to lack of current FDA approval for use of isatuxamib in the first line of treatment.</w:t>
      </w:r>
    </w:p>
    <w:p w14:paraId="0A3698DF" w14:textId="77777777" w:rsidR="0079195F" w:rsidRDefault="00BC4D26" w:rsidP="006B5B49">
      <w:pPr>
        <w:spacing w:line="257" w:lineRule="auto"/>
        <w:rPr>
          <w:rFonts w:ascii="Calibri" w:eastAsia="Calibri" w:hAnsi="Calibri" w:cs="Calibri"/>
          <w:sz w:val="18"/>
          <w:szCs w:val="18"/>
        </w:rPr>
      </w:pPr>
      <w:r>
        <w:rPr>
          <w:rFonts w:ascii="Calibri" w:eastAsia="Calibri" w:hAnsi="Calibri" w:cs="Calibri"/>
        </w:rPr>
        <w:t xml:space="preserve">The coverage of daratumumab-containing treatments in 2021 by line of treatment is informed by </w:t>
      </w:r>
      <w:proofErr w:type="spellStart"/>
      <w:r>
        <w:rPr>
          <w:rFonts w:ascii="Calibri" w:eastAsia="Calibri" w:hAnsi="Calibri" w:cs="Calibri"/>
        </w:rPr>
        <w:t>Braunlin</w:t>
      </w:r>
      <w:proofErr w:type="spellEnd"/>
      <w:r>
        <w:rPr>
          <w:rFonts w:ascii="Calibri" w:eastAsia="Calibri" w:hAnsi="Calibri" w:cs="Calibri"/>
        </w:rPr>
        <w:t xml:space="preserve"> et al. 2019, which reported the coverage of </w:t>
      </w:r>
      <w:r w:rsidRPr="3B723640">
        <w:rPr>
          <w:rFonts w:ascii="Calibri" w:eastAsia="Calibri" w:hAnsi="Calibri" w:cs="Calibri"/>
        </w:rPr>
        <w:t>treatment regimens containing a monoclonal antibody, an immunomodulatory imide, and dexamethasone</w:t>
      </w:r>
      <w:r>
        <w:rPr>
          <w:rFonts w:ascii="Calibri" w:eastAsia="Calibri" w:hAnsi="Calibri" w:cs="Calibri"/>
        </w:rPr>
        <w:t xml:space="preserve">, which we assume is a proxy for </w:t>
      </w:r>
      <w:r>
        <w:rPr>
          <w:rFonts w:ascii="Calibri" w:eastAsia="Calibri" w:hAnsi="Calibri" w:cs="Calibri"/>
        </w:rPr>
        <w:lastRenderedPageBreak/>
        <w:t xml:space="preserve">daratumumab-containing regimens in the absence of more detailed data. </w:t>
      </w:r>
      <w:r w:rsidRPr="3B723640">
        <w:rPr>
          <w:rFonts w:ascii="Calibri" w:eastAsia="Calibri" w:hAnsi="Calibri" w:cs="Calibri"/>
        </w:rPr>
        <w:t>Since coverage data for other daratumumab-containing regimens were not reported, we do not consider them in our treatment algorithm, which is a limitation of our analysis.</w:t>
      </w:r>
      <w:r>
        <w:rPr>
          <w:rFonts w:ascii="Calibri" w:eastAsia="Calibri" w:hAnsi="Calibri" w:cs="Calibri"/>
        </w:rPr>
        <w:t xml:space="preserve"> We assume that daratumumab-containing treatments will increase at each line of treatment in proportion to the forecasted sales data obtained from IQVIA </w:t>
      </w:r>
      <w:r w:rsidR="006B5B49">
        <w:rPr>
          <w:rFonts w:ascii="Calibri" w:eastAsia="Calibri" w:hAnsi="Calibri" w:cs="Calibri"/>
        </w:rPr>
        <w:t xml:space="preserve">in our simulation </w:t>
      </w:r>
      <w:r>
        <w:rPr>
          <w:rFonts w:ascii="Calibri" w:eastAsia="Calibri" w:hAnsi="Calibri" w:cs="Calibri"/>
        </w:rPr>
        <w:t>from 2021 to 2025 in each scenario. IQVIA forecasts that daratumumab sales will increase</w:t>
      </w:r>
      <w:r w:rsidR="006B5B49">
        <w:rPr>
          <w:rFonts w:ascii="Calibri" w:eastAsia="Calibri" w:hAnsi="Calibri" w:cs="Calibri"/>
        </w:rPr>
        <w:t>d</w:t>
      </w:r>
      <w:r>
        <w:rPr>
          <w:rFonts w:ascii="Calibri" w:eastAsia="Calibri" w:hAnsi="Calibri" w:cs="Calibri"/>
        </w:rPr>
        <w:t xml:space="preserve"> </w:t>
      </w:r>
      <w:r w:rsidR="006B5B49">
        <w:rPr>
          <w:rFonts w:ascii="Calibri" w:eastAsia="Calibri" w:hAnsi="Calibri" w:cs="Calibri"/>
        </w:rPr>
        <w:t>64</w:t>
      </w:r>
      <w:r>
        <w:rPr>
          <w:rFonts w:ascii="Calibri" w:eastAsia="Calibri" w:hAnsi="Calibri" w:cs="Calibri"/>
        </w:rPr>
        <w:t xml:space="preserve"> percent from </w:t>
      </w:r>
      <w:r w:rsidR="006B5B49">
        <w:rPr>
          <w:rFonts w:ascii="Calibri" w:eastAsia="Calibri" w:hAnsi="Calibri" w:cs="Calibri"/>
        </w:rPr>
        <w:t xml:space="preserve">2019 to </w:t>
      </w:r>
      <w:r>
        <w:rPr>
          <w:rFonts w:ascii="Calibri" w:eastAsia="Calibri" w:hAnsi="Calibri" w:cs="Calibri"/>
        </w:rPr>
        <w:t xml:space="preserve">2021 </w:t>
      </w:r>
      <w:r w:rsidR="006B5B49">
        <w:rPr>
          <w:rFonts w:ascii="Calibri" w:eastAsia="Calibri" w:hAnsi="Calibri" w:cs="Calibri"/>
        </w:rPr>
        <w:t>and 196 percent from 2019 to</w:t>
      </w:r>
      <w:r>
        <w:rPr>
          <w:rFonts w:ascii="Calibri" w:eastAsia="Calibri" w:hAnsi="Calibri" w:cs="Calibri"/>
        </w:rPr>
        <w:t xml:space="preserve"> 2025. </w:t>
      </w:r>
      <w:r w:rsidR="006B5B49">
        <w:rPr>
          <w:rFonts w:ascii="Calibri" w:eastAsia="Calibri" w:hAnsi="Calibri" w:cs="Calibri"/>
        </w:rPr>
        <w:t xml:space="preserve">In the absence of data to inform otherwise, we assumed that these increases scaled equally across all lines of treatment. </w:t>
      </w:r>
      <w:r>
        <w:rPr>
          <w:rFonts w:ascii="Calibri" w:eastAsia="Calibri" w:hAnsi="Calibri" w:cs="Calibri"/>
        </w:rPr>
        <w:t>The table below reports</w:t>
      </w:r>
      <w:r w:rsidR="006B5B49">
        <w:rPr>
          <w:rFonts w:ascii="Calibri" w:eastAsia="Calibri" w:hAnsi="Calibri" w:cs="Calibri"/>
        </w:rPr>
        <w:t xml:space="preserve"> the 2019 data informed by </w:t>
      </w:r>
      <w:proofErr w:type="spellStart"/>
      <w:r w:rsidR="006B5B49">
        <w:rPr>
          <w:rFonts w:ascii="Calibri" w:eastAsia="Calibri" w:hAnsi="Calibri" w:cs="Calibri"/>
        </w:rPr>
        <w:t>Braunlin</w:t>
      </w:r>
      <w:proofErr w:type="spellEnd"/>
      <w:r w:rsidR="006B5B49">
        <w:rPr>
          <w:rFonts w:ascii="Calibri" w:eastAsia="Calibri" w:hAnsi="Calibri" w:cs="Calibri"/>
        </w:rPr>
        <w:t xml:space="preserve"> et al. (2019) as well as</w:t>
      </w:r>
      <w:r>
        <w:rPr>
          <w:rFonts w:ascii="Calibri" w:eastAsia="Calibri" w:hAnsi="Calibri" w:cs="Calibri"/>
        </w:rPr>
        <w:t xml:space="preserve"> our assumed coverage of daratumumab-containing treatments by line in 2021 and 2025; we assume a linear increase over this time period.</w:t>
      </w:r>
      <w:r w:rsidRPr="00BC4D26">
        <w:rPr>
          <w:rFonts w:ascii="Calibri" w:eastAsia="Calibri" w:hAnsi="Calibri" w:cs="Calibri"/>
          <w:sz w:val="18"/>
          <w:szCs w:val="18"/>
        </w:rPr>
        <w:t xml:space="preserve"> </w:t>
      </w:r>
    </w:p>
    <w:p w14:paraId="6B9350A4" w14:textId="77777777" w:rsidR="00BC4D26" w:rsidRDefault="00BC4D26" w:rsidP="00BC4D26">
      <w:pPr>
        <w:spacing w:line="257" w:lineRule="auto"/>
        <w:rPr>
          <w:rFonts w:ascii="Calibri" w:eastAsia="Calibri" w:hAnsi="Calibri" w:cs="Calibri"/>
          <w:sz w:val="18"/>
          <w:szCs w:val="18"/>
        </w:rPr>
      </w:pPr>
      <w:r w:rsidRPr="3B723640">
        <w:rPr>
          <w:rFonts w:ascii="Calibri" w:eastAsia="Calibri" w:hAnsi="Calibri" w:cs="Calibri"/>
          <w:sz w:val="18"/>
          <w:szCs w:val="18"/>
        </w:rPr>
        <w:t xml:space="preserve">Table </w:t>
      </w:r>
      <w:r>
        <w:rPr>
          <w:rFonts w:ascii="Calibri" w:eastAsia="Calibri" w:hAnsi="Calibri" w:cs="Calibri"/>
          <w:sz w:val="18"/>
          <w:szCs w:val="18"/>
        </w:rPr>
        <w:t>2</w:t>
      </w:r>
      <w:r w:rsidRPr="3B723640">
        <w:rPr>
          <w:rFonts w:ascii="Calibri" w:eastAsia="Calibri" w:hAnsi="Calibri" w:cs="Calibri"/>
          <w:sz w:val="18"/>
          <w:szCs w:val="18"/>
        </w:rPr>
        <w:t>. Proportion of newly diagnosed (or newly relapsed) cases of MM/RRMM treated with daratumumab + lenalidomide + dexamethasone at each line of treatment.</w:t>
      </w:r>
    </w:p>
    <w:tbl>
      <w:tblPr>
        <w:tblStyle w:val="TableGrid"/>
        <w:tblW w:w="8090" w:type="dxa"/>
        <w:tblLayout w:type="fixed"/>
        <w:tblLook w:val="04A0" w:firstRow="1" w:lastRow="0" w:firstColumn="1" w:lastColumn="0" w:noHBand="0" w:noVBand="1"/>
      </w:tblPr>
      <w:tblGrid>
        <w:gridCol w:w="1890"/>
        <w:gridCol w:w="2780"/>
        <w:gridCol w:w="2070"/>
        <w:gridCol w:w="1350"/>
      </w:tblGrid>
      <w:tr w:rsidR="006B5B49" w14:paraId="1F1A2FC5" w14:textId="77777777" w:rsidTr="00C46D5D">
        <w:tc>
          <w:tcPr>
            <w:tcW w:w="1890" w:type="dxa"/>
            <w:tcBorders>
              <w:top w:val="single" w:sz="8" w:space="0" w:color="auto"/>
              <w:left w:val="single" w:sz="8" w:space="0" w:color="auto"/>
              <w:bottom w:val="single" w:sz="8" w:space="0" w:color="auto"/>
              <w:right w:val="single" w:sz="8" w:space="0" w:color="auto"/>
            </w:tcBorders>
          </w:tcPr>
          <w:p w14:paraId="0D89952C" w14:textId="77777777" w:rsidR="006B5B49" w:rsidRDefault="006B5B49" w:rsidP="004253AE">
            <w:r w:rsidRPr="74589ED8">
              <w:rPr>
                <w:rFonts w:ascii="Calibri" w:eastAsia="Calibri" w:hAnsi="Calibri" w:cs="Calibri"/>
                <w:b/>
                <w:bCs/>
              </w:rPr>
              <w:t>Line of treatment</w:t>
            </w:r>
          </w:p>
        </w:tc>
        <w:tc>
          <w:tcPr>
            <w:tcW w:w="2780" w:type="dxa"/>
            <w:tcBorders>
              <w:top w:val="single" w:sz="8" w:space="0" w:color="auto"/>
              <w:left w:val="single" w:sz="8" w:space="0" w:color="auto"/>
              <w:bottom w:val="single" w:sz="8" w:space="0" w:color="auto"/>
              <w:right w:val="single" w:sz="8" w:space="0" w:color="auto"/>
            </w:tcBorders>
          </w:tcPr>
          <w:p w14:paraId="722C7A8B" w14:textId="77777777" w:rsidR="006B5B49" w:rsidRPr="00BC4D26" w:rsidRDefault="006B5B49" w:rsidP="006B5B49">
            <w:pPr>
              <w:rPr>
                <w:b/>
              </w:rPr>
            </w:pPr>
            <w:r>
              <w:rPr>
                <w:rFonts w:ascii="Calibri" w:eastAsia="Calibri" w:hAnsi="Calibri" w:cs="Calibri"/>
                <w:b/>
                <w:bCs/>
              </w:rPr>
              <w:t>2019 (</w:t>
            </w:r>
            <w:proofErr w:type="spellStart"/>
            <w:r>
              <w:rPr>
                <w:rFonts w:ascii="Calibri" w:eastAsia="Calibri" w:hAnsi="Calibri" w:cs="Calibri"/>
                <w:b/>
                <w:bCs/>
              </w:rPr>
              <w:t>Brau</w:t>
            </w:r>
            <w:r w:rsidR="00C46D5D">
              <w:rPr>
                <w:rFonts w:ascii="Calibri" w:eastAsia="Calibri" w:hAnsi="Calibri" w:cs="Calibri"/>
                <w:b/>
                <w:bCs/>
              </w:rPr>
              <w:t>n</w:t>
            </w:r>
            <w:r>
              <w:rPr>
                <w:rFonts w:ascii="Calibri" w:eastAsia="Calibri" w:hAnsi="Calibri" w:cs="Calibri"/>
                <w:b/>
                <w:bCs/>
              </w:rPr>
              <w:t>lin</w:t>
            </w:r>
            <w:proofErr w:type="spellEnd"/>
            <w:r>
              <w:rPr>
                <w:rFonts w:ascii="Calibri" w:eastAsia="Calibri" w:hAnsi="Calibri" w:cs="Calibri"/>
                <w:b/>
                <w:bCs/>
              </w:rPr>
              <w:t xml:space="preserve"> et al. 2020)</w:t>
            </w:r>
          </w:p>
        </w:tc>
        <w:tc>
          <w:tcPr>
            <w:tcW w:w="2070" w:type="dxa"/>
            <w:tcBorders>
              <w:top w:val="single" w:sz="8" w:space="0" w:color="auto"/>
              <w:left w:val="single" w:sz="8" w:space="0" w:color="auto"/>
              <w:bottom w:val="single" w:sz="8" w:space="0" w:color="auto"/>
              <w:right w:val="single" w:sz="8" w:space="0" w:color="auto"/>
            </w:tcBorders>
          </w:tcPr>
          <w:p w14:paraId="2F66243A" w14:textId="77777777" w:rsidR="006B5B49" w:rsidRPr="74589ED8" w:rsidRDefault="006B5B49" w:rsidP="00BC4D26">
            <w:pPr>
              <w:rPr>
                <w:rFonts w:ascii="Calibri" w:eastAsia="Calibri" w:hAnsi="Calibri" w:cs="Calibri"/>
                <w:b/>
                <w:bCs/>
              </w:rPr>
            </w:pPr>
            <w:r>
              <w:rPr>
                <w:rFonts w:ascii="Calibri" w:eastAsia="Calibri" w:hAnsi="Calibri" w:cs="Calibri"/>
                <w:b/>
                <w:bCs/>
              </w:rPr>
              <w:t>2021</w:t>
            </w:r>
          </w:p>
        </w:tc>
        <w:tc>
          <w:tcPr>
            <w:tcW w:w="1350" w:type="dxa"/>
            <w:tcBorders>
              <w:top w:val="single" w:sz="8" w:space="0" w:color="auto"/>
              <w:left w:val="single" w:sz="8" w:space="0" w:color="auto"/>
              <w:bottom w:val="single" w:sz="8" w:space="0" w:color="auto"/>
              <w:right w:val="single" w:sz="8" w:space="0" w:color="auto"/>
            </w:tcBorders>
          </w:tcPr>
          <w:p w14:paraId="7C88971D" w14:textId="77777777" w:rsidR="006B5B49" w:rsidRDefault="006B5B49" w:rsidP="00BC4D26">
            <w:pPr>
              <w:rPr>
                <w:rFonts w:ascii="Calibri" w:eastAsia="Calibri" w:hAnsi="Calibri" w:cs="Calibri"/>
                <w:b/>
                <w:bCs/>
              </w:rPr>
            </w:pPr>
            <w:r>
              <w:rPr>
                <w:rFonts w:ascii="Calibri" w:eastAsia="Calibri" w:hAnsi="Calibri" w:cs="Calibri"/>
                <w:b/>
                <w:bCs/>
              </w:rPr>
              <w:t>2025</w:t>
            </w:r>
          </w:p>
        </w:tc>
      </w:tr>
      <w:tr w:rsidR="006B5B49" w14:paraId="1E287BAD" w14:textId="77777777" w:rsidTr="00C46D5D">
        <w:tc>
          <w:tcPr>
            <w:tcW w:w="1890" w:type="dxa"/>
            <w:tcBorders>
              <w:top w:val="single" w:sz="8" w:space="0" w:color="auto"/>
              <w:left w:val="single" w:sz="8" w:space="0" w:color="auto"/>
              <w:bottom w:val="single" w:sz="8" w:space="0" w:color="auto"/>
              <w:right w:val="single" w:sz="8" w:space="0" w:color="auto"/>
            </w:tcBorders>
          </w:tcPr>
          <w:p w14:paraId="4AA75256" w14:textId="77777777" w:rsidR="006B5B49" w:rsidRDefault="006B5B49" w:rsidP="004253AE">
            <w:r w:rsidRPr="74589ED8">
              <w:rPr>
                <w:rFonts w:ascii="Calibri" w:eastAsia="Calibri" w:hAnsi="Calibri" w:cs="Calibri"/>
              </w:rPr>
              <w:t>1</w:t>
            </w:r>
          </w:p>
        </w:tc>
        <w:tc>
          <w:tcPr>
            <w:tcW w:w="2780" w:type="dxa"/>
            <w:tcBorders>
              <w:top w:val="single" w:sz="8" w:space="0" w:color="auto"/>
              <w:left w:val="single" w:sz="8" w:space="0" w:color="auto"/>
              <w:bottom w:val="single" w:sz="8" w:space="0" w:color="auto"/>
              <w:right w:val="single" w:sz="8" w:space="0" w:color="auto"/>
            </w:tcBorders>
          </w:tcPr>
          <w:p w14:paraId="100E88CF" w14:textId="77777777" w:rsidR="006B5B49" w:rsidRDefault="006B5B49" w:rsidP="004253AE">
            <w:r w:rsidRPr="74589ED8">
              <w:rPr>
                <w:rFonts w:ascii="Calibri" w:eastAsia="Calibri" w:hAnsi="Calibri" w:cs="Calibri"/>
              </w:rPr>
              <w:t>1%</w:t>
            </w:r>
          </w:p>
        </w:tc>
        <w:tc>
          <w:tcPr>
            <w:tcW w:w="2070" w:type="dxa"/>
            <w:tcBorders>
              <w:top w:val="single" w:sz="8" w:space="0" w:color="auto"/>
              <w:left w:val="single" w:sz="8" w:space="0" w:color="auto"/>
              <w:bottom w:val="single" w:sz="8" w:space="0" w:color="auto"/>
              <w:right w:val="single" w:sz="8" w:space="0" w:color="auto"/>
            </w:tcBorders>
          </w:tcPr>
          <w:p w14:paraId="18A31F54" w14:textId="77777777" w:rsidR="006B5B49" w:rsidRPr="74589ED8" w:rsidRDefault="006B5B49" w:rsidP="006B5B49">
            <w:pPr>
              <w:rPr>
                <w:rFonts w:ascii="Calibri" w:eastAsia="Calibri" w:hAnsi="Calibri" w:cs="Calibri"/>
              </w:rPr>
            </w:pPr>
            <w:r>
              <w:rPr>
                <w:rFonts w:ascii="Calibri" w:eastAsia="Calibri" w:hAnsi="Calibri" w:cs="Calibri"/>
              </w:rPr>
              <w:t>1.6</w:t>
            </w:r>
            <w:r w:rsidR="00027F72">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44F5A0D9" w14:textId="77777777" w:rsidR="006B5B49" w:rsidRDefault="006B5B49" w:rsidP="006B5B49">
            <w:pPr>
              <w:rPr>
                <w:rFonts w:ascii="Calibri" w:eastAsia="Calibri" w:hAnsi="Calibri" w:cs="Calibri"/>
              </w:rPr>
            </w:pPr>
            <w:r>
              <w:rPr>
                <w:rFonts w:ascii="Calibri" w:eastAsia="Calibri" w:hAnsi="Calibri" w:cs="Calibri"/>
              </w:rPr>
              <w:t>2.9</w:t>
            </w:r>
            <w:r w:rsidR="00027F72">
              <w:rPr>
                <w:rFonts w:ascii="Calibri" w:eastAsia="Calibri" w:hAnsi="Calibri" w:cs="Calibri"/>
              </w:rPr>
              <w:t>%</w:t>
            </w:r>
          </w:p>
        </w:tc>
      </w:tr>
      <w:tr w:rsidR="006B5B49" w14:paraId="7ACD15FA" w14:textId="77777777" w:rsidTr="00C46D5D">
        <w:tc>
          <w:tcPr>
            <w:tcW w:w="1890" w:type="dxa"/>
            <w:tcBorders>
              <w:top w:val="single" w:sz="8" w:space="0" w:color="auto"/>
              <w:left w:val="single" w:sz="8" w:space="0" w:color="auto"/>
              <w:bottom w:val="single" w:sz="8" w:space="0" w:color="auto"/>
              <w:right w:val="single" w:sz="8" w:space="0" w:color="auto"/>
            </w:tcBorders>
          </w:tcPr>
          <w:p w14:paraId="121D6355" w14:textId="77777777" w:rsidR="006B5B49" w:rsidRDefault="006B5B49" w:rsidP="004253AE">
            <w:r w:rsidRPr="74589ED8">
              <w:rPr>
                <w:rFonts w:ascii="Calibri" w:eastAsia="Calibri" w:hAnsi="Calibri" w:cs="Calibri"/>
              </w:rPr>
              <w:t>2</w:t>
            </w:r>
          </w:p>
        </w:tc>
        <w:tc>
          <w:tcPr>
            <w:tcW w:w="2780" w:type="dxa"/>
            <w:tcBorders>
              <w:top w:val="single" w:sz="8" w:space="0" w:color="auto"/>
              <w:left w:val="single" w:sz="8" w:space="0" w:color="auto"/>
              <w:bottom w:val="single" w:sz="8" w:space="0" w:color="auto"/>
              <w:right w:val="single" w:sz="8" w:space="0" w:color="auto"/>
            </w:tcBorders>
          </w:tcPr>
          <w:p w14:paraId="0C78724C" w14:textId="77777777" w:rsidR="006B5B49" w:rsidRDefault="006B5B49" w:rsidP="004253AE">
            <w:r w:rsidRPr="74589ED8">
              <w:rPr>
                <w:rFonts w:ascii="Calibri" w:eastAsia="Calibri" w:hAnsi="Calibri" w:cs="Calibri"/>
              </w:rPr>
              <w:t>10.3%</w:t>
            </w:r>
          </w:p>
        </w:tc>
        <w:tc>
          <w:tcPr>
            <w:tcW w:w="2070" w:type="dxa"/>
            <w:tcBorders>
              <w:top w:val="single" w:sz="8" w:space="0" w:color="auto"/>
              <w:left w:val="single" w:sz="8" w:space="0" w:color="auto"/>
              <w:bottom w:val="single" w:sz="8" w:space="0" w:color="auto"/>
              <w:right w:val="single" w:sz="8" w:space="0" w:color="auto"/>
            </w:tcBorders>
          </w:tcPr>
          <w:p w14:paraId="03C58CDA" w14:textId="77777777" w:rsidR="006B5B49" w:rsidRPr="74589ED8" w:rsidRDefault="006B5B49" w:rsidP="004253AE">
            <w:pPr>
              <w:rPr>
                <w:rFonts w:ascii="Calibri" w:eastAsia="Calibri" w:hAnsi="Calibri" w:cs="Calibri"/>
              </w:rPr>
            </w:pPr>
            <w:r>
              <w:rPr>
                <w:rFonts w:ascii="Calibri" w:eastAsia="Calibri" w:hAnsi="Calibri" w:cs="Calibri"/>
              </w:rPr>
              <w:t>16.9</w:t>
            </w:r>
            <w:r w:rsidR="00027F72">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4CB9465C" w14:textId="77777777" w:rsidR="006B5B49" w:rsidRDefault="006B5B49" w:rsidP="004253AE">
            <w:pPr>
              <w:rPr>
                <w:rFonts w:ascii="Calibri" w:eastAsia="Calibri" w:hAnsi="Calibri" w:cs="Calibri"/>
              </w:rPr>
            </w:pPr>
            <w:r>
              <w:rPr>
                <w:rFonts w:ascii="Calibri" w:eastAsia="Calibri" w:hAnsi="Calibri" w:cs="Calibri"/>
              </w:rPr>
              <w:t>30.6</w:t>
            </w:r>
            <w:r w:rsidR="00027F72">
              <w:rPr>
                <w:rFonts w:ascii="Calibri" w:eastAsia="Calibri" w:hAnsi="Calibri" w:cs="Calibri"/>
              </w:rPr>
              <w:t>%</w:t>
            </w:r>
          </w:p>
        </w:tc>
      </w:tr>
      <w:tr w:rsidR="006B5B49" w14:paraId="38E2EB57" w14:textId="77777777" w:rsidTr="00C46D5D">
        <w:tc>
          <w:tcPr>
            <w:tcW w:w="1890" w:type="dxa"/>
            <w:tcBorders>
              <w:top w:val="single" w:sz="8" w:space="0" w:color="auto"/>
              <w:left w:val="single" w:sz="8" w:space="0" w:color="auto"/>
              <w:bottom w:val="single" w:sz="8" w:space="0" w:color="auto"/>
              <w:right w:val="single" w:sz="8" w:space="0" w:color="auto"/>
            </w:tcBorders>
          </w:tcPr>
          <w:p w14:paraId="28D120DE" w14:textId="77777777" w:rsidR="006B5B49" w:rsidRDefault="006B5B49" w:rsidP="004253AE">
            <w:r w:rsidRPr="74589ED8">
              <w:rPr>
                <w:rFonts w:ascii="Calibri" w:eastAsia="Calibri" w:hAnsi="Calibri" w:cs="Calibri"/>
              </w:rPr>
              <w:t>3</w:t>
            </w:r>
          </w:p>
        </w:tc>
        <w:tc>
          <w:tcPr>
            <w:tcW w:w="2780" w:type="dxa"/>
            <w:tcBorders>
              <w:top w:val="single" w:sz="8" w:space="0" w:color="auto"/>
              <w:left w:val="single" w:sz="8" w:space="0" w:color="auto"/>
              <w:bottom w:val="single" w:sz="8" w:space="0" w:color="auto"/>
              <w:right w:val="single" w:sz="8" w:space="0" w:color="auto"/>
            </w:tcBorders>
          </w:tcPr>
          <w:p w14:paraId="79E6A0AA" w14:textId="77777777" w:rsidR="006B5B49" w:rsidRDefault="006B5B49" w:rsidP="004253AE">
            <w:r w:rsidRPr="74589ED8">
              <w:rPr>
                <w:rFonts w:ascii="Calibri" w:eastAsia="Calibri" w:hAnsi="Calibri" w:cs="Calibri"/>
              </w:rPr>
              <w:t>15.6%</w:t>
            </w:r>
          </w:p>
        </w:tc>
        <w:tc>
          <w:tcPr>
            <w:tcW w:w="2070" w:type="dxa"/>
            <w:tcBorders>
              <w:top w:val="single" w:sz="8" w:space="0" w:color="auto"/>
              <w:left w:val="single" w:sz="8" w:space="0" w:color="auto"/>
              <w:bottom w:val="single" w:sz="8" w:space="0" w:color="auto"/>
              <w:right w:val="single" w:sz="8" w:space="0" w:color="auto"/>
            </w:tcBorders>
          </w:tcPr>
          <w:p w14:paraId="1FAE868E" w14:textId="77777777" w:rsidR="006B5B49" w:rsidRPr="74589ED8" w:rsidRDefault="006B5B49" w:rsidP="004253AE">
            <w:pPr>
              <w:rPr>
                <w:rFonts w:ascii="Calibri" w:eastAsia="Calibri" w:hAnsi="Calibri" w:cs="Calibri"/>
              </w:rPr>
            </w:pPr>
            <w:r>
              <w:rPr>
                <w:rFonts w:ascii="Calibri" w:eastAsia="Calibri" w:hAnsi="Calibri" w:cs="Calibri"/>
              </w:rPr>
              <w:t>25.6</w:t>
            </w:r>
            <w:r w:rsidR="00027F72">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056CC58A" w14:textId="77777777" w:rsidR="006B5B49" w:rsidRPr="74589ED8" w:rsidRDefault="006B5B49" w:rsidP="004253AE">
            <w:pPr>
              <w:rPr>
                <w:rFonts w:ascii="Calibri" w:eastAsia="Calibri" w:hAnsi="Calibri" w:cs="Calibri"/>
              </w:rPr>
            </w:pPr>
            <w:r>
              <w:rPr>
                <w:rFonts w:ascii="Calibri" w:eastAsia="Calibri" w:hAnsi="Calibri" w:cs="Calibri"/>
              </w:rPr>
              <w:t>46.3</w:t>
            </w:r>
            <w:r w:rsidR="00027F72">
              <w:rPr>
                <w:rFonts w:ascii="Calibri" w:eastAsia="Calibri" w:hAnsi="Calibri" w:cs="Calibri"/>
              </w:rPr>
              <w:t>%</w:t>
            </w:r>
          </w:p>
        </w:tc>
      </w:tr>
      <w:tr w:rsidR="006B5B49" w14:paraId="44E9C580" w14:textId="77777777" w:rsidTr="00C46D5D">
        <w:tc>
          <w:tcPr>
            <w:tcW w:w="1890" w:type="dxa"/>
            <w:tcBorders>
              <w:top w:val="single" w:sz="8" w:space="0" w:color="auto"/>
              <w:left w:val="single" w:sz="8" w:space="0" w:color="auto"/>
              <w:bottom w:val="single" w:sz="8" w:space="0" w:color="auto"/>
              <w:right w:val="single" w:sz="8" w:space="0" w:color="auto"/>
            </w:tcBorders>
          </w:tcPr>
          <w:p w14:paraId="746B48E3" w14:textId="77777777" w:rsidR="006B5B49" w:rsidRDefault="006B5B49" w:rsidP="004253AE">
            <w:r w:rsidRPr="74589ED8">
              <w:rPr>
                <w:rFonts w:ascii="Calibri" w:eastAsia="Calibri" w:hAnsi="Calibri" w:cs="Calibri"/>
              </w:rPr>
              <w:t>4</w:t>
            </w:r>
          </w:p>
        </w:tc>
        <w:tc>
          <w:tcPr>
            <w:tcW w:w="2780" w:type="dxa"/>
            <w:tcBorders>
              <w:top w:val="single" w:sz="8" w:space="0" w:color="auto"/>
              <w:left w:val="single" w:sz="8" w:space="0" w:color="auto"/>
              <w:bottom w:val="single" w:sz="8" w:space="0" w:color="auto"/>
              <w:right w:val="single" w:sz="8" w:space="0" w:color="auto"/>
            </w:tcBorders>
          </w:tcPr>
          <w:p w14:paraId="52D815F7" w14:textId="77777777" w:rsidR="006B5B49" w:rsidRDefault="006B5B49" w:rsidP="004253AE">
            <w:r w:rsidRPr="74589ED8">
              <w:rPr>
                <w:rFonts w:ascii="Calibri" w:eastAsia="Calibri" w:hAnsi="Calibri" w:cs="Calibri"/>
              </w:rPr>
              <w:t>18.1%</w:t>
            </w:r>
          </w:p>
        </w:tc>
        <w:tc>
          <w:tcPr>
            <w:tcW w:w="2070" w:type="dxa"/>
            <w:tcBorders>
              <w:top w:val="single" w:sz="8" w:space="0" w:color="auto"/>
              <w:left w:val="single" w:sz="8" w:space="0" w:color="auto"/>
              <w:bottom w:val="single" w:sz="8" w:space="0" w:color="auto"/>
              <w:right w:val="single" w:sz="8" w:space="0" w:color="auto"/>
            </w:tcBorders>
          </w:tcPr>
          <w:p w14:paraId="46CF74FB" w14:textId="77777777" w:rsidR="006B5B49" w:rsidRPr="74589ED8" w:rsidRDefault="006B5B49" w:rsidP="004253AE">
            <w:pPr>
              <w:rPr>
                <w:rFonts w:ascii="Calibri" w:eastAsia="Calibri" w:hAnsi="Calibri" w:cs="Calibri"/>
              </w:rPr>
            </w:pPr>
            <w:r>
              <w:rPr>
                <w:rFonts w:ascii="Calibri" w:eastAsia="Calibri" w:hAnsi="Calibri" w:cs="Calibri"/>
              </w:rPr>
              <w:t>29.7</w:t>
            </w:r>
            <w:r w:rsidR="00027F72">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1FC78944" w14:textId="77777777" w:rsidR="006B5B49" w:rsidRPr="74589ED8" w:rsidRDefault="006B5B49" w:rsidP="004253AE">
            <w:pPr>
              <w:rPr>
                <w:rFonts w:ascii="Calibri" w:eastAsia="Calibri" w:hAnsi="Calibri" w:cs="Calibri"/>
              </w:rPr>
            </w:pPr>
            <w:r>
              <w:rPr>
                <w:rFonts w:ascii="Calibri" w:eastAsia="Calibri" w:hAnsi="Calibri" w:cs="Calibri"/>
              </w:rPr>
              <w:t>53.7</w:t>
            </w:r>
            <w:r w:rsidR="00027F72">
              <w:rPr>
                <w:rFonts w:ascii="Calibri" w:eastAsia="Calibri" w:hAnsi="Calibri" w:cs="Calibri"/>
              </w:rPr>
              <w:t>%</w:t>
            </w:r>
          </w:p>
        </w:tc>
      </w:tr>
      <w:tr w:rsidR="006B5B49" w14:paraId="542E2739" w14:textId="77777777" w:rsidTr="00C46D5D">
        <w:tc>
          <w:tcPr>
            <w:tcW w:w="1890" w:type="dxa"/>
            <w:tcBorders>
              <w:top w:val="single" w:sz="8" w:space="0" w:color="auto"/>
              <w:left w:val="single" w:sz="8" w:space="0" w:color="auto"/>
              <w:bottom w:val="single" w:sz="8" w:space="0" w:color="auto"/>
              <w:right w:val="single" w:sz="8" w:space="0" w:color="auto"/>
            </w:tcBorders>
          </w:tcPr>
          <w:p w14:paraId="574AAA7F" w14:textId="77777777" w:rsidR="006B5B49" w:rsidRDefault="006B5B49" w:rsidP="004253AE">
            <w:r w:rsidRPr="74589ED8">
              <w:rPr>
                <w:rFonts w:ascii="Calibri" w:eastAsia="Calibri" w:hAnsi="Calibri" w:cs="Calibri"/>
              </w:rPr>
              <w:t>5+</w:t>
            </w:r>
          </w:p>
        </w:tc>
        <w:tc>
          <w:tcPr>
            <w:tcW w:w="2780" w:type="dxa"/>
            <w:tcBorders>
              <w:top w:val="single" w:sz="8" w:space="0" w:color="auto"/>
              <w:left w:val="single" w:sz="8" w:space="0" w:color="auto"/>
              <w:bottom w:val="single" w:sz="8" w:space="0" w:color="auto"/>
              <w:right w:val="single" w:sz="8" w:space="0" w:color="auto"/>
            </w:tcBorders>
          </w:tcPr>
          <w:p w14:paraId="667BB2A9" w14:textId="77777777" w:rsidR="006B5B49" w:rsidRDefault="006B5B49" w:rsidP="004253AE">
            <w:r w:rsidRPr="74589ED8">
              <w:rPr>
                <w:rFonts w:ascii="Calibri" w:eastAsia="Calibri" w:hAnsi="Calibri" w:cs="Calibri"/>
              </w:rPr>
              <w:t>10.4%</w:t>
            </w:r>
          </w:p>
        </w:tc>
        <w:tc>
          <w:tcPr>
            <w:tcW w:w="2070" w:type="dxa"/>
            <w:tcBorders>
              <w:top w:val="single" w:sz="8" w:space="0" w:color="auto"/>
              <w:left w:val="single" w:sz="8" w:space="0" w:color="auto"/>
              <w:bottom w:val="single" w:sz="8" w:space="0" w:color="auto"/>
              <w:right w:val="single" w:sz="8" w:space="0" w:color="auto"/>
            </w:tcBorders>
          </w:tcPr>
          <w:p w14:paraId="3281E625" w14:textId="77777777" w:rsidR="006B5B49" w:rsidRPr="74589ED8" w:rsidRDefault="006B5B49" w:rsidP="004253AE">
            <w:pPr>
              <w:rPr>
                <w:rFonts w:ascii="Calibri" w:eastAsia="Calibri" w:hAnsi="Calibri" w:cs="Calibri"/>
              </w:rPr>
            </w:pPr>
            <w:r>
              <w:rPr>
                <w:rFonts w:ascii="Calibri" w:eastAsia="Calibri" w:hAnsi="Calibri" w:cs="Calibri"/>
              </w:rPr>
              <w:t>17.1</w:t>
            </w:r>
            <w:r w:rsidR="00027F72">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3C66F0BC" w14:textId="77777777" w:rsidR="006B5B49" w:rsidRPr="74589ED8" w:rsidRDefault="006B5B49" w:rsidP="004253AE">
            <w:pPr>
              <w:rPr>
                <w:rFonts w:ascii="Calibri" w:eastAsia="Calibri" w:hAnsi="Calibri" w:cs="Calibri"/>
              </w:rPr>
            </w:pPr>
            <w:r>
              <w:rPr>
                <w:rFonts w:ascii="Calibri" w:eastAsia="Calibri" w:hAnsi="Calibri" w:cs="Calibri"/>
              </w:rPr>
              <w:t>30.9</w:t>
            </w:r>
            <w:r w:rsidR="00027F72">
              <w:rPr>
                <w:rFonts w:ascii="Calibri" w:eastAsia="Calibri" w:hAnsi="Calibri" w:cs="Calibri"/>
              </w:rPr>
              <w:t>%</w:t>
            </w:r>
          </w:p>
        </w:tc>
      </w:tr>
    </w:tbl>
    <w:p w14:paraId="09A3A820" w14:textId="77777777" w:rsidR="00BC4D26" w:rsidRDefault="00BC4D26" w:rsidP="00BC4D26">
      <w:pPr>
        <w:spacing w:line="257" w:lineRule="auto"/>
      </w:pPr>
      <w:r w:rsidRPr="74589ED8">
        <w:rPr>
          <w:rFonts w:ascii="Calibri" w:eastAsia="Calibri" w:hAnsi="Calibri" w:cs="Calibri"/>
        </w:rPr>
        <w:t xml:space="preserve"> </w:t>
      </w:r>
    </w:p>
    <w:p w14:paraId="6675951C" w14:textId="77777777" w:rsidR="00C46D5D" w:rsidRDefault="00BC4D26" w:rsidP="00BC4D26">
      <w:pPr>
        <w:spacing w:line="257" w:lineRule="auto"/>
        <w:rPr>
          <w:rFonts w:ascii="Calibri" w:eastAsia="Calibri" w:hAnsi="Calibri" w:cs="Calibri"/>
        </w:rPr>
      </w:pPr>
      <w:r w:rsidRPr="3B723640">
        <w:rPr>
          <w:rFonts w:ascii="Calibri" w:eastAsia="Calibri" w:hAnsi="Calibri" w:cs="Calibri"/>
        </w:rPr>
        <w:t xml:space="preserve">We will model all other treatment regimens as a single residual category. </w:t>
      </w:r>
      <w:r>
        <w:rPr>
          <w:rFonts w:ascii="Calibri" w:eastAsia="Calibri" w:hAnsi="Calibri" w:cs="Calibri"/>
        </w:rPr>
        <w:t xml:space="preserve">This residual category will </w:t>
      </w:r>
      <w:r w:rsidR="008614DC">
        <w:rPr>
          <w:rFonts w:ascii="Calibri" w:eastAsia="Calibri" w:hAnsi="Calibri" w:cs="Calibri"/>
        </w:rPr>
        <w:t>be comprised of all</w:t>
      </w:r>
      <w:r>
        <w:rPr>
          <w:rFonts w:ascii="Calibri" w:eastAsia="Calibri" w:hAnsi="Calibri" w:cs="Calibri"/>
        </w:rPr>
        <w:t xml:space="preserve"> treatment regimens </w:t>
      </w:r>
      <w:r w:rsidR="008614DC">
        <w:rPr>
          <w:rFonts w:ascii="Calibri" w:eastAsia="Calibri" w:hAnsi="Calibri" w:cs="Calibri"/>
        </w:rPr>
        <w:t>that do not contain isatuxamib or daratumumab, including m</w:t>
      </w:r>
      <w:r>
        <w:rPr>
          <w:rFonts w:ascii="Calibri" w:eastAsia="Calibri" w:hAnsi="Calibri" w:cs="Calibri"/>
        </w:rPr>
        <w:t>onotherapies/doublet therapies/triplet therapies/quartet therapies</w:t>
      </w:r>
      <w:r w:rsidR="008614DC">
        <w:rPr>
          <w:rFonts w:ascii="Calibri" w:eastAsia="Calibri" w:hAnsi="Calibri" w:cs="Calibri"/>
        </w:rPr>
        <w:t>/</w:t>
      </w:r>
      <w:r>
        <w:rPr>
          <w:rFonts w:ascii="Calibri" w:eastAsia="Calibri" w:hAnsi="Calibri" w:cs="Calibri"/>
        </w:rPr>
        <w:t>etc. c</w:t>
      </w:r>
      <w:r w:rsidR="008614DC">
        <w:rPr>
          <w:rFonts w:ascii="Calibri" w:eastAsia="Calibri" w:hAnsi="Calibri" w:cs="Calibri"/>
        </w:rPr>
        <w:t xml:space="preserve">onsisting of all other anti-myeloma drugs. </w:t>
      </w:r>
      <w:r w:rsidRPr="3B723640">
        <w:rPr>
          <w:rFonts w:ascii="Calibri" w:eastAsia="Calibri" w:hAnsi="Calibri" w:cs="Calibri"/>
        </w:rPr>
        <w:t>We will assume that the proportion of newly diagnosed and newly relapsed cases of MM/RRMM that receive a treatment regimen in this residual category will decrease in proportion to the increase</w:t>
      </w:r>
      <w:r w:rsidR="008614DC">
        <w:rPr>
          <w:rFonts w:ascii="Calibri" w:eastAsia="Calibri" w:hAnsi="Calibri" w:cs="Calibri"/>
        </w:rPr>
        <w:t>s</w:t>
      </w:r>
      <w:r w:rsidRPr="3B723640">
        <w:rPr>
          <w:rFonts w:ascii="Calibri" w:eastAsia="Calibri" w:hAnsi="Calibri" w:cs="Calibri"/>
        </w:rPr>
        <w:t xml:space="preserve"> in isatuxamib-containing </w:t>
      </w:r>
      <w:r w:rsidR="008614DC">
        <w:rPr>
          <w:rFonts w:ascii="Calibri" w:eastAsia="Calibri" w:hAnsi="Calibri" w:cs="Calibri"/>
        </w:rPr>
        <w:t xml:space="preserve">and daratumumab-containing </w:t>
      </w:r>
      <w:r w:rsidRPr="3B723640">
        <w:rPr>
          <w:rFonts w:ascii="Calibri" w:eastAsia="Calibri" w:hAnsi="Calibri" w:cs="Calibri"/>
        </w:rPr>
        <w:t xml:space="preserve">treatment </w:t>
      </w:r>
      <w:r w:rsidR="008614DC">
        <w:rPr>
          <w:rFonts w:ascii="Calibri" w:eastAsia="Calibri" w:hAnsi="Calibri" w:cs="Calibri"/>
        </w:rPr>
        <w:t>categories</w:t>
      </w:r>
      <w:r w:rsidRPr="3B723640">
        <w:rPr>
          <w:rFonts w:ascii="Calibri" w:eastAsia="Calibri" w:hAnsi="Calibri" w:cs="Calibri"/>
        </w:rPr>
        <w:t>. The following diagrams represent the changes in the percent of newly diagnosed and newly relapsed MM/RRMM cases that receive each modeled treatment category by line of treatment in each scenario from 2021 to</w:t>
      </w:r>
      <w:r w:rsidR="00C46D5D">
        <w:rPr>
          <w:rFonts w:ascii="Calibri" w:eastAsia="Calibri" w:hAnsi="Calibri" w:cs="Calibri"/>
        </w:rPr>
        <w:t xml:space="preserve"> </w:t>
      </w:r>
      <w:r w:rsidRPr="3B723640">
        <w:rPr>
          <w:rFonts w:ascii="Calibri" w:eastAsia="Calibri" w:hAnsi="Calibri" w:cs="Calibri"/>
        </w:rPr>
        <w:t>2025.</w:t>
      </w:r>
      <w:r w:rsidR="00C46D5D">
        <w:rPr>
          <w:rFonts w:ascii="Calibri" w:eastAsia="Calibri" w:hAnsi="Calibri" w:cs="Calibri"/>
        </w:rPr>
        <w:t xml:space="preserve"> </w:t>
      </w:r>
    </w:p>
    <w:p w14:paraId="47E649EF" w14:textId="77777777" w:rsidR="00C46D5D" w:rsidRDefault="00C46D5D" w:rsidP="00BC4D26">
      <w:pPr>
        <w:spacing w:line="257" w:lineRule="auto"/>
        <w:rPr>
          <w:rFonts w:ascii="Calibri" w:eastAsia="Calibri" w:hAnsi="Calibri" w:cs="Calibri"/>
        </w:rPr>
      </w:pPr>
    </w:p>
    <w:p w14:paraId="68AF2BD7" w14:textId="77777777" w:rsidR="00C46D5D" w:rsidRDefault="00C46D5D" w:rsidP="00BC4D26">
      <w:pPr>
        <w:spacing w:line="257" w:lineRule="auto"/>
        <w:rPr>
          <w:rFonts w:ascii="Calibri" w:eastAsia="Calibri" w:hAnsi="Calibri" w:cs="Calibri"/>
        </w:rPr>
      </w:pPr>
      <w:r w:rsidRPr="00C46D5D">
        <w:rPr>
          <w:noProof/>
        </w:rPr>
        <w:lastRenderedPageBreak/>
        <w:drawing>
          <wp:inline distT="0" distB="0" distL="0" distR="0" wp14:anchorId="118AAFCA" wp14:editId="1086A4BD">
            <wp:extent cx="5631909" cy="24955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9782"/>
                    <a:stretch/>
                  </pic:blipFill>
                  <pic:spPr bwMode="auto">
                    <a:xfrm>
                      <a:off x="0" y="0"/>
                      <a:ext cx="5673252" cy="2513869"/>
                    </a:xfrm>
                    <a:prstGeom prst="rect">
                      <a:avLst/>
                    </a:prstGeom>
                    <a:ln>
                      <a:noFill/>
                    </a:ln>
                    <a:extLst>
                      <a:ext uri="{53640926-AAD7-44D8-BBD7-CCE9431645EC}">
                        <a14:shadowObscured xmlns:a14="http://schemas.microsoft.com/office/drawing/2010/main"/>
                      </a:ext>
                    </a:extLst>
                  </pic:spPr>
                </pic:pic>
              </a:graphicData>
            </a:graphic>
          </wp:inline>
        </w:drawing>
      </w:r>
    </w:p>
    <w:p w14:paraId="2331C507" w14:textId="77777777" w:rsidR="00C46D5D" w:rsidRPr="00C46D5D" w:rsidRDefault="00C46D5D" w:rsidP="00BC4D26">
      <w:pPr>
        <w:spacing w:line="257" w:lineRule="auto"/>
        <w:rPr>
          <w:rFonts w:ascii="Calibri" w:eastAsia="Calibri" w:hAnsi="Calibri" w:cs="Calibri"/>
        </w:rPr>
      </w:pPr>
      <w:r w:rsidRPr="00C46D5D">
        <w:rPr>
          <w:noProof/>
        </w:rPr>
        <w:drawing>
          <wp:inline distT="0" distB="0" distL="0" distR="0" wp14:anchorId="186A9DA9" wp14:editId="4D2F1C4F">
            <wp:extent cx="5943600" cy="26203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036"/>
                    <a:stretch/>
                  </pic:blipFill>
                  <pic:spPr bwMode="auto">
                    <a:xfrm>
                      <a:off x="0" y="0"/>
                      <a:ext cx="5943600" cy="2620328"/>
                    </a:xfrm>
                    <a:prstGeom prst="rect">
                      <a:avLst/>
                    </a:prstGeom>
                    <a:ln>
                      <a:noFill/>
                    </a:ln>
                    <a:extLst>
                      <a:ext uri="{53640926-AAD7-44D8-BBD7-CCE9431645EC}">
                        <a14:shadowObscured xmlns:a14="http://schemas.microsoft.com/office/drawing/2010/main"/>
                      </a:ext>
                    </a:extLst>
                  </pic:spPr>
                </pic:pic>
              </a:graphicData>
            </a:graphic>
          </wp:inline>
        </w:drawing>
      </w:r>
    </w:p>
    <w:p w14:paraId="476062ED" w14:textId="77777777" w:rsidR="00C46D5D" w:rsidRDefault="00C46D5D" w:rsidP="00BC4D26">
      <w:pPr>
        <w:spacing w:line="257" w:lineRule="auto"/>
      </w:pPr>
    </w:p>
    <w:p w14:paraId="57BFFF94" w14:textId="77777777" w:rsidR="00C46D5D" w:rsidRDefault="00C46D5D" w:rsidP="00BC4D26">
      <w:pPr>
        <w:spacing w:line="257" w:lineRule="auto"/>
      </w:pPr>
      <w:r w:rsidRPr="00C46D5D">
        <w:rPr>
          <w:noProof/>
        </w:rPr>
        <w:lastRenderedPageBreak/>
        <w:drawing>
          <wp:inline distT="0" distB="0" distL="0" distR="0" wp14:anchorId="235DDA38" wp14:editId="62894FD0">
            <wp:extent cx="5943600" cy="27003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9199"/>
                    <a:stretch/>
                  </pic:blipFill>
                  <pic:spPr bwMode="auto">
                    <a:xfrm>
                      <a:off x="0" y="0"/>
                      <a:ext cx="5943600" cy="2700338"/>
                    </a:xfrm>
                    <a:prstGeom prst="rect">
                      <a:avLst/>
                    </a:prstGeom>
                    <a:ln>
                      <a:noFill/>
                    </a:ln>
                    <a:extLst>
                      <a:ext uri="{53640926-AAD7-44D8-BBD7-CCE9431645EC}">
                        <a14:shadowObscured xmlns:a14="http://schemas.microsoft.com/office/drawing/2010/main"/>
                      </a:ext>
                    </a:extLst>
                  </pic:spPr>
                </pic:pic>
              </a:graphicData>
            </a:graphic>
          </wp:inline>
        </w:drawing>
      </w:r>
    </w:p>
    <w:p w14:paraId="7BBCB6AA" w14:textId="77777777" w:rsidR="00C46D5D" w:rsidRDefault="00C46D5D" w:rsidP="00BC4D26">
      <w:pPr>
        <w:spacing w:line="257" w:lineRule="auto"/>
      </w:pPr>
      <w:r w:rsidRPr="00C46D5D">
        <w:rPr>
          <w:noProof/>
        </w:rPr>
        <w:drawing>
          <wp:inline distT="0" distB="0" distL="0" distR="0" wp14:anchorId="48C7C49D" wp14:editId="32CEA403">
            <wp:extent cx="5943600" cy="266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815"/>
                    <a:stretch/>
                  </pic:blipFill>
                  <pic:spPr bwMode="auto">
                    <a:xfrm>
                      <a:off x="0" y="0"/>
                      <a:ext cx="5943600" cy="2667635"/>
                    </a:xfrm>
                    <a:prstGeom prst="rect">
                      <a:avLst/>
                    </a:prstGeom>
                    <a:ln>
                      <a:noFill/>
                    </a:ln>
                    <a:extLst>
                      <a:ext uri="{53640926-AAD7-44D8-BBD7-CCE9431645EC}">
                        <a14:shadowObscured xmlns:a14="http://schemas.microsoft.com/office/drawing/2010/main"/>
                      </a:ext>
                    </a:extLst>
                  </pic:spPr>
                </pic:pic>
              </a:graphicData>
            </a:graphic>
          </wp:inline>
        </w:drawing>
      </w:r>
    </w:p>
    <w:p w14:paraId="11B8992A" w14:textId="77777777" w:rsidR="00C46D5D" w:rsidRDefault="00C46D5D" w:rsidP="00BC4D26">
      <w:pPr>
        <w:spacing w:line="257" w:lineRule="auto"/>
      </w:pPr>
      <w:r w:rsidRPr="00C46D5D">
        <w:rPr>
          <w:noProof/>
        </w:rPr>
        <w:drawing>
          <wp:inline distT="0" distB="0" distL="0" distR="0" wp14:anchorId="3C76CCEC" wp14:editId="34A05EAA">
            <wp:extent cx="59436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1275"/>
                    </a:xfrm>
                    <a:prstGeom prst="rect">
                      <a:avLst/>
                    </a:prstGeom>
                  </pic:spPr>
                </pic:pic>
              </a:graphicData>
            </a:graphic>
          </wp:inline>
        </w:drawing>
      </w:r>
    </w:p>
    <w:p w14:paraId="71D8880B" w14:textId="77777777" w:rsidR="008614DC" w:rsidRDefault="008614DC" w:rsidP="008614DC">
      <w:pPr>
        <w:spacing w:line="257" w:lineRule="auto"/>
      </w:pPr>
      <w:r w:rsidRPr="007D3243">
        <w:rPr>
          <w:rFonts w:ascii="Calibri" w:eastAsia="Calibri" w:hAnsi="Calibri" w:cs="Calibri"/>
          <w:u w:val="single"/>
        </w:rPr>
        <w:lastRenderedPageBreak/>
        <w:t>Retreatment</w:t>
      </w:r>
    </w:p>
    <w:p w14:paraId="1AE7F925" w14:textId="77777777" w:rsidR="005379F8" w:rsidRDefault="003C05B2" w:rsidP="005379F8">
      <w:pPr>
        <w:spacing w:line="257" w:lineRule="auto"/>
        <w:rPr>
          <w:rFonts w:ascii="Calibri" w:eastAsia="Calibri" w:hAnsi="Calibri" w:cs="Calibri"/>
        </w:rPr>
      </w:pPr>
      <w:r w:rsidRPr="3B723640">
        <w:rPr>
          <w:rFonts w:ascii="Calibri" w:eastAsia="Calibri" w:hAnsi="Calibri" w:cs="Calibri"/>
        </w:rPr>
        <w:t xml:space="preserve">In our simulation, we will enforce that </w:t>
      </w:r>
      <w:r>
        <w:rPr>
          <w:rFonts w:ascii="Calibri" w:eastAsia="Calibri" w:hAnsi="Calibri" w:cs="Calibri"/>
        </w:rPr>
        <w:t xml:space="preserve">15 percent of </w:t>
      </w:r>
      <w:r w:rsidRPr="3B723640">
        <w:rPr>
          <w:rFonts w:ascii="Calibri" w:eastAsia="Calibri" w:hAnsi="Calibri" w:cs="Calibri"/>
        </w:rPr>
        <w:t xml:space="preserve">patients who receive an anti-CD38 monoclonal antibody treatment (isatuxamib or daratumumab) for a given line of treatment will be </w:t>
      </w:r>
      <w:r>
        <w:rPr>
          <w:rFonts w:ascii="Calibri" w:eastAsia="Calibri" w:hAnsi="Calibri" w:cs="Calibri"/>
        </w:rPr>
        <w:t>retreated with</w:t>
      </w:r>
      <w:r w:rsidRPr="3B723640">
        <w:rPr>
          <w:rFonts w:ascii="Calibri" w:eastAsia="Calibri" w:hAnsi="Calibri" w:cs="Calibri"/>
        </w:rPr>
        <w:t xml:space="preserve"> an anti-CD38 monoclonal antibody treatment</w:t>
      </w:r>
      <w:r>
        <w:rPr>
          <w:rFonts w:ascii="Calibri" w:eastAsia="Calibri" w:hAnsi="Calibri" w:cs="Calibri"/>
        </w:rPr>
        <w:t xml:space="preserve"> at the next</w:t>
      </w:r>
      <w:r w:rsidRPr="3B723640">
        <w:rPr>
          <w:rFonts w:ascii="Calibri" w:eastAsia="Calibri" w:hAnsi="Calibri" w:cs="Calibri"/>
        </w:rPr>
        <w:t xml:space="preserve"> line of therapy.</w:t>
      </w:r>
      <w:r>
        <w:rPr>
          <w:rFonts w:ascii="Calibri" w:eastAsia="Calibri" w:hAnsi="Calibri" w:cs="Calibri"/>
        </w:rPr>
        <w:t xml:space="preserve"> </w:t>
      </w:r>
      <w:r w:rsidR="005379F8">
        <w:rPr>
          <w:rFonts w:ascii="Calibri" w:eastAsia="Calibri" w:hAnsi="Calibri" w:cs="Calibri"/>
        </w:rPr>
        <w:t>This assumption was informed by the reports that 10% and 20% of patients who received isatuxamib treatment and received subsequent treatment in the ICARIA and IKEMA trials, respectively, received daratumumab as a subsequent treatment</w:t>
      </w:r>
      <w:r>
        <w:rPr>
          <w:rFonts w:ascii="Calibri" w:eastAsia="Calibri" w:hAnsi="Calibri" w:cs="Calibri"/>
        </w:rPr>
        <w:t xml:space="preserve">. </w:t>
      </w:r>
      <w:r>
        <w:t xml:space="preserve">Notably, the enforcement of retreatment limits in our </w:t>
      </w:r>
      <w:r>
        <w:rPr>
          <w:rFonts w:ascii="Calibri" w:eastAsia="Calibri" w:hAnsi="Calibri" w:cs="Calibri"/>
        </w:rPr>
        <w:t>simulation results in</w:t>
      </w:r>
      <w:r w:rsidRPr="3B723640">
        <w:rPr>
          <w:rFonts w:ascii="Calibri" w:eastAsia="Calibri" w:hAnsi="Calibri" w:cs="Calibri"/>
        </w:rPr>
        <w:t xml:space="preserve"> the treatment coverage proportions listed</w:t>
      </w:r>
      <w:r>
        <w:rPr>
          <w:rFonts w:ascii="Calibri" w:eastAsia="Calibri" w:hAnsi="Calibri" w:cs="Calibri"/>
        </w:rPr>
        <w:t xml:space="preserve"> in the</w:t>
      </w:r>
      <w:r w:rsidRPr="3B723640">
        <w:rPr>
          <w:rFonts w:ascii="Calibri" w:eastAsia="Calibri" w:hAnsi="Calibri" w:cs="Calibri"/>
        </w:rPr>
        <w:t xml:space="preserve"> above</w:t>
      </w:r>
      <w:r>
        <w:rPr>
          <w:rFonts w:ascii="Calibri" w:eastAsia="Calibri" w:hAnsi="Calibri" w:cs="Calibri"/>
        </w:rPr>
        <w:t xml:space="preserve"> section to</w:t>
      </w:r>
      <w:r w:rsidRPr="3B723640">
        <w:rPr>
          <w:rFonts w:ascii="Calibri" w:eastAsia="Calibri" w:hAnsi="Calibri" w:cs="Calibri"/>
        </w:rPr>
        <w:t xml:space="preserve"> represent </w:t>
      </w:r>
      <w:r w:rsidRPr="3B723640">
        <w:rPr>
          <w:rFonts w:ascii="Calibri" w:eastAsia="Calibri" w:hAnsi="Calibri" w:cs="Calibri"/>
          <w:b/>
          <w:bCs/>
        </w:rPr>
        <w:t>maximum</w:t>
      </w:r>
      <w:r w:rsidRPr="3B723640">
        <w:rPr>
          <w:rFonts w:ascii="Calibri" w:eastAsia="Calibri" w:hAnsi="Calibri" w:cs="Calibri"/>
        </w:rPr>
        <w:t xml:space="preserve"> </w:t>
      </w:r>
      <w:r w:rsidRPr="3B723640">
        <w:rPr>
          <w:rFonts w:ascii="Calibri" w:eastAsia="Calibri" w:hAnsi="Calibri" w:cs="Calibri"/>
          <w:i/>
          <w:iCs/>
        </w:rPr>
        <w:t>target</w:t>
      </w:r>
      <w:r w:rsidRPr="3B723640">
        <w:rPr>
          <w:rFonts w:ascii="Calibri" w:eastAsia="Calibri" w:hAnsi="Calibri" w:cs="Calibri"/>
        </w:rPr>
        <w:t xml:space="preserve"> level coverage proportions, as less than the target proportion of patients (</w:t>
      </w:r>
      <w:r>
        <w:rPr>
          <w:rFonts w:ascii="Calibri" w:eastAsia="Calibri" w:hAnsi="Calibri" w:cs="Calibri"/>
        </w:rPr>
        <w:t>1</w:t>
      </w:r>
      <w:r w:rsidRPr="3B723640">
        <w:rPr>
          <w:rFonts w:ascii="Calibri" w:eastAsia="Calibri" w:hAnsi="Calibri" w:cs="Calibri"/>
        </w:rPr>
        <w:t>0%) in late-stage relapses may remain eligible for isatuxamib- or daratumumab-containing treatment regimens due to previous treatment in an earlier line.</w:t>
      </w:r>
      <w:r>
        <w:rPr>
          <w:rFonts w:ascii="Calibri" w:eastAsia="Calibri" w:hAnsi="Calibri" w:cs="Calibri"/>
        </w:rPr>
        <w:t xml:space="preserve"> </w:t>
      </w:r>
      <w:r w:rsidRPr="74589ED8">
        <w:rPr>
          <w:rFonts w:ascii="Calibri" w:eastAsia="Calibri" w:hAnsi="Calibri" w:cs="Calibri"/>
        </w:rPr>
        <w:t>The exact proportion treatment coverage proportions used in the simulation will be recorded as a simulation output.</w:t>
      </w:r>
      <w:r w:rsidR="00435D29">
        <w:rPr>
          <w:rFonts w:ascii="Calibri" w:eastAsia="Calibri" w:hAnsi="Calibri" w:cs="Calibri"/>
        </w:rPr>
        <w:t xml:space="preserve"> </w:t>
      </w:r>
    </w:p>
    <w:p w14:paraId="504DD0B0" w14:textId="77777777" w:rsidR="008614DC" w:rsidRDefault="00356FE5" w:rsidP="00CB1D54">
      <w:pPr>
        <w:spacing w:line="257" w:lineRule="auto"/>
        <w:rPr>
          <w:rFonts w:ascii="Calibri" w:eastAsia="Calibri" w:hAnsi="Calibri" w:cs="Calibri"/>
        </w:rPr>
      </w:pPr>
      <w:r>
        <w:rPr>
          <w:rFonts w:ascii="Calibri" w:eastAsia="Calibri" w:hAnsi="Calibri" w:cs="Calibri"/>
        </w:rPr>
        <w:t xml:space="preserve">We will assume that isatuxamib and daratumumab are interchangeable as anti-CD38 monoclonal antibody treatments with respect to retreatment. </w:t>
      </w:r>
      <w:r w:rsidR="00CB1D54">
        <w:rPr>
          <w:rFonts w:ascii="Calibri" w:eastAsia="Calibri" w:hAnsi="Calibri" w:cs="Calibri"/>
        </w:rPr>
        <w:t xml:space="preserve">In other words, the probability that a retreated simulant receives an </w:t>
      </w:r>
      <w:r w:rsidR="00F46DCA">
        <w:rPr>
          <w:rFonts w:ascii="Calibri" w:eastAsia="Calibri" w:hAnsi="Calibri" w:cs="Calibri"/>
        </w:rPr>
        <w:t>isatuxamib-</w:t>
      </w:r>
      <w:r w:rsidR="00CB1D54">
        <w:rPr>
          <w:rFonts w:ascii="Calibri" w:eastAsia="Calibri" w:hAnsi="Calibri" w:cs="Calibri"/>
        </w:rPr>
        <w:t xml:space="preserve">containing or </w:t>
      </w:r>
      <w:r w:rsidR="00F46DCA">
        <w:rPr>
          <w:rFonts w:ascii="Calibri" w:eastAsia="Calibri" w:hAnsi="Calibri" w:cs="Calibri"/>
        </w:rPr>
        <w:t>daratumumab-</w:t>
      </w:r>
      <w:r w:rsidR="00CB1D54">
        <w:rPr>
          <w:rFonts w:ascii="Calibri" w:eastAsia="Calibri" w:hAnsi="Calibri" w:cs="Calibri"/>
        </w:rPr>
        <w:t xml:space="preserve">containing re-treatment is equal to the relative treatment coverage rates of these two treatment categories for the relevant line of treatment at that time in the simulation and does not depend on whether their previous treatment was </w:t>
      </w:r>
      <w:r w:rsidR="00F46DCA">
        <w:rPr>
          <w:rFonts w:ascii="Calibri" w:eastAsia="Calibri" w:hAnsi="Calibri" w:cs="Calibri"/>
        </w:rPr>
        <w:t>isatuxamib-</w:t>
      </w:r>
      <w:r w:rsidR="00CB1D54">
        <w:rPr>
          <w:rFonts w:ascii="Calibri" w:eastAsia="Calibri" w:hAnsi="Calibri" w:cs="Calibri"/>
        </w:rPr>
        <w:t xml:space="preserve">containing or </w:t>
      </w:r>
      <w:r w:rsidR="00F46DCA">
        <w:rPr>
          <w:rFonts w:ascii="Calibri" w:eastAsia="Calibri" w:hAnsi="Calibri" w:cs="Calibri"/>
        </w:rPr>
        <w:t>daratumumab-</w:t>
      </w:r>
      <w:r w:rsidR="00CB1D54">
        <w:rPr>
          <w:rFonts w:ascii="Calibri" w:eastAsia="Calibri" w:hAnsi="Calibri" w:cs="Calibri"/>
        </w:rPr>
        <w:t xml:space="preserve">containing. Additionally, we assume the probability of whether a simulant is retreated with an anti-CD38 monoclonal antibody is independent of whether they were previously retreated, allowing for the possibility of multiple retreatments. </w:t>
      </w:r>
    </w:p>
    <w:p w14:paraId="544BDE62" w14:textId="77777777" w:rsidR="00435D29" w:rsidRDefault="00BF36EF" w:rsidP="00BF36EF">
      <w:pPr>
        <w:spacing w:line="257" w:lineRule="auto"/>
        <w:rPr>
          <w:rFonts w:ascii="Calibri" w:eastAsia="Calibri" w:hAnsi="Calibri" w:cs="Calibri"/>
        </w:rPr>
      </w:pPr>
      <w:r>
        <w:rPr>
          <w:rFonts w:ascii="Calibri" w:eastAsia="Calibri" w:hAnsi="Calibri" w:cs="Calibri"/>
        </w:rPr>
        <w:t xml:space="preserve">The </w:t>
      </w:r>
      <w:r w:rsidR="00435D29">
        <w:rPr>
          <w:rFonts w:ascii="Calibri" w:eastAsia="Calibri" w:hAnsi="Calibri" w:cs="Calibri"/>
        </w:rPr>
        <w:t xml:space="preserve">clinical </w:t>
      </w:r>
      <w:r>
        <w:rPr>
          <w:rFonts w:ascii="Calibri" w:eastAsia="Calibri" w:hAnsi="Calibri" w:cs="Calibri"/>
        </w:rPr>
        <w:t xml:space="preserve">impact of retreatment with an anti-CD38 monoclonal antibody treatment in patients previously treated with an anti-CD38 monoclonal antibody treatment has not been rigorously studied and there is currently no consensus recommendation about retreatment </w:t>
      </w:r>
      <w:r w:rsidR="00435D29">
        <w:rPr>
          <w:rFonts w:ascii="Calibri" w:eastAsia="Calibri" w:hAnsi="Calibri" w:cs="Calibri"/>
        </w:rPr>
        <w:t>(</w:t>
      </w:r>
      <w:proofErr w:type="spellStart"/>
      <w:r w:rsidR="00435D29">
        <w:rPr>
          <w:rFonts w:ascii="Calibri" w:eastAsia="Calibri" w:hAnsi="Calibri" w:cs="Calibri"/>
        </w:rPr>
        <w:t>Radocha</w:t>
      </w:r>
      <w:proofErr w:type="spellEnd"/>
      <w:r w:rsidR="00435D29">
        <w:rPr>
          <w:rFonts w:ascii="Calibri" w:eastAsia="Calibri" w:hAnsi="Calibri" w:cs="Calibri"/>
        </w:rPr>
        <w:t xml:space="preserve"> et al. 2021</w:t>
      </w:r>
      <w:r>
        <w:rPr>
          <w:rFonts w:ascii="Calibri" w:eastAsia="Calibri" w:hAnsi="Calibri" w:cs="Calibri"/>
        </w:rPr>
        <w:t>; Shah et al., 2020). However, small case series studies on the topic yielded “encouraging” results (</w:t>
      </w:r>
      <w:proofErr w:type="spellStart"/>
      <w:r>
        <w:rPr>
          <w:rFonts w:ascii="Calibri" w:eastAsia="Calibri" w:hAnsi="Calibri" w:cs="Calibri"/>
        </w:rPr>
        <w:t>Nooka</w:t>
      </w:r>
      <w:proofErr w:type="spellEnd"/>
      <w:r>
        <w:rPr>
          <w:rFonts w:ascii="Calibri" w:eastAsia="Calibri" w:hAnsi="Calibri" w:cs="Calibri"/>
        </w:rPr>
        <w:t xml:space="preserve"> et al., 2019; </w:t>
      </w:r>
      <w:proofErr w:type="spellStart"/>
      <w:r>
        <w:rPr>
          <w:rFonts w:ascii="Calibri" w:eastAsia="Calibri" w:hAnsi="Calibri" w:cs="Calibri"/>
        </w:rPr>
        <w:t>Becnel</w:t>
      </w:r>
      <w:proofErr w:type="spellEnd"/>
      <w:r>
        <w:rPr>
          <w:rFonts w:ascii="Calibri" w:eastAsia="Calibri" w:hAnsi="Calibri" w:cs="Calibri"/>
        </w:rPr>
        <w:t xml:space="preserve"> et al., 2020; </w:t>
      </w:r>
      <w:proofErr w:type="spellStart"/>
      <w:r>
        <w:rPr>
          <w:rFonts w:ascii="Calibri" w:eastAsia="Calibri" w:hAnsi="Calibri" w:cs="Calibri"/>
        </w:rPr>
        <w:t>Mikhael</w:t>
      </w:r>
      <w:proofErr w:type="spellEnd"/>
      <w:r>
        <w:rPr>
          <w:rFonts w:ascii="Calibri" w:eastAsia="Calibri" w:hAnsi="Calibri" w:cs="Calibri"/>
        </w:rPr>
        <w:t xml:space="preserve"> et al., 2021). </w:t>
      </w:r>
    </w:p>
    <w:p w14:paraId="7D9F2566" w14:textId="77777777" w:rsidR="00EF2384" w:rsidRDefault="00BF36EF" w:rsidP="00EF2384">
      <w:pPr>
        <w:spacing w:line="257" w:lineRule="auto"/>
        <w:rPr>
          <w:rFonts w:ascii="Calibri" w:eastAsia="Calibri" w:hAnsi="Calibri" w:cs="Calibri"/>
        </w:rPr>
      </w:pPr>
      <w:r>
        <w:rPr>
          <w:rFonts w:ascii="Calibri" w:eastAsia="Calibri" w:hAnsi="Calibri" w:cs="Calibri"/>
        </w:rPr>
        <w:t>Therefore,</w:t>
      </w:r>
      <w:r w:rsidR="008614DC">
        <w:rPr>
          <w:rFonts w:ascii="Calibri" w:eastAsia="Calibri" w:hAnsi="Calibri" w:cs="Calibri"/>
        </w:rPr>
        <w:t xml:space="preserve"> in the absence of robust data, we will make the assumption that</w:t>
      </w:r>
      <w:r w:rsidR="00757A4E">
        <w:rPr>
          <w:rFonts w:ascii="Calibri" w:eastAsia="Calibri" w:hAnsi="Calibri" w:cs="Calibri"/>
        </w:rPr>
        <w:t xml:space="preserve"> use of an anti-CD38 monoclonal antibody-containing regimen in patients who have been treated with an anti-CD38 monoclonal antibody at an earlier line of treatment will be </w:t>
      </w:r>
      <w:r w:rsidR="00435D29">
        <w:rPr>
          <w:rFonts w:ascii="Calibri" w:eastAsia="Calibri" w:hAnsi="Calibri" w:cs="Calibri"/>
        </w:rPr>
        <w:t xml:space="preserve">half </w:t>
      </w:r>
      <w:r w:rsidR="00757A4E">
        <w:rPr>
          <w:rFonts w:ascii="Calibri" w:eastAsia="Calibri" w:hAnsi="Calibri" w:cs="Calibri"/>
        </w:rPr>
        <w:t>as effective as the use of an anti-CD38 monoclonal antibody-containing regimen in patients who have no prior treatment with an anti-CD38 monoclonal antibody.</w:t>
      </w:r>
      <w:r w:rsidR="009F7BB2">
        <w:rPr>
          <w:rFonts w:ascii="Calibri" w:eastAsia="Calibri" w:hAnsi="Calibri" w:cs="Calibri"/>
        </w:rPr>
        <w:t xml:space="preserve"> </w:t>
      </w:r>
      <w:r w:rsidR="00EF2384">
        <w:rPr>
          <w:rFonts w:ascii="Calibri" w:eastAsia="Calibri" w:hAnsi="Calibri" w:cs="Calibri"/>
        </w:rPr>
        <w:t>We will assume that this applies equally to progression free survival and overall survival and does not differ by the specific anti-CD38 monoclonal antibody drug(s).</w:t>
      </w:r>
    </w:p>
    <w:p w14:paraId="5D6AA50D" w14:textId="77777777" w:rsidR="0079195F" w:rsidRDefault="009F7BB2" w:rsidP="00435D29">
      <w:pPr>
        <w:spacing w:line="257" w:lineRule="auto"/>
        <w:rPr>
          <w:rFonts w:ascii="Calibri" w:eastAsia="Calibri" w:hAnsi="Calibri" w:cs="Calibri"/>
        </w:rPr>
      </w:pPr>
      <w:r>
        <w:rPr>
          <w:rFonts w:ascii="Calibri" w:eastAsia="Calibri" w:hAnsi="Calibri" w:cs="Calibri"/>
        </w:rPr>
        <w:t xml:space="preserve">This assumption was </w:t>
      </w:r>
      <w:r w:rsidR="00435D29">
        <w:rPr>
          <w:rFonts w:ascii="Calibri" w:eastAsia="Calibri" w:hAnsi="Calibri" w:cs="Calibri"/>
        </w:rPr>
        <w:t xml:space="preserve">driven by observations from </w:t>
      </w:r>
      <w:proofErr w:type="spellStart"/>
      <w:r w:rsidR="00435D29">
        <w:rPr>
          <w:rFonts w:ascii="Calibri" w:eastAsia="Calibri" w:hAnsi="Calibri" w:cs="Calibri"/>
        </w:rPr>
        <w:t>Nooka</w:t>
      </w:r>
      <w:proofErr w:type="spellEnd"/>
      <w:r w:rsidR="00435D29">
        <w:rPr>
          <w:rFonts w:ascii="Calibri" w:eastAsia="Calibri" w:hAnsi="Calibri" w:cs="Calibri"/>
        </w:rPr>
        <w:t xml:space="preserve"> et al. (2019) that reported approximately half as many patients who were previously treated with daratumumab had achieved at least a partial response to </w:t>
      </w:r>
      <w:r w:rsidR="00F46DCA">
        <w:rPr>
          <w:rFonts w:ascii="Calibri" w:eastAsia="Calibri" w:hAnsi="Calibri" w:cs="Calibri"/>
        </w:rPr>
        <w:t>daratumuma</w:t>
      </w:r>
      <w:r w:rsidR="006A2B10">
        <w:rPr>
          <w:rFonts w:ascii="Calibri" w:eastAsia="Calibri" w:hAnsi="Calibri" w:cs="Calibri"/>
        </w:rPr>
        <w:t xml:space="preserve">b + pomalidomide + </w:t>
      </w:r>
      <w:proofErr w:type="spellStart"/>
      <w:r w:rsidR="006A2B10">
        <w:rPr>
          <w:rFonts w:ascii="Calibri" w:eastAsia="Calibri" w:hAnsi="Calibri" w:cs="Calibri"/>
        </w:rPr>
        <w:t>dexamehtasone</w:t>
      </w:r>
      <w:proofErr w:type="spellEnd"/>
      <w:r w:rsidR="00435D29">
        <w:rPr>
          <w:rFonts w:ascii="Calibri" w:eastAsia="Calibri" w:hAnsi="Calibri" w:cs="Calibri"/>
        </w:rPr>
        <w:t xml:space="preserve"> treatment as those who were not previously treated with daratumumab. Notably, while the progression-free and overall survival rates among these two groups suggest that </w:t>
      </w:r>
      <w:r w:rsidR="00F46DCA">
        <w:rPr>
          <w:rFonts w:ascii="Calibri" w:eastAsia="Calibri" w:hAnsi="Calibri" w:cs="Calibri"/>
        </w:rPr>
        <w:t>d</w:t>
      </w:r>
      <w:r w:rsidR="006A2B10" w:rsidRPr="006A2B10">
        <w:rPr>
          <w:rFonts w:ascii="Calibri" w:eastAsia="Calibri" w:hAnsi="Calibri" w:cs="Calibri"/>
        </w:rPr>
        <w:t xml:space="preserve"> </w:t>
      </w:r>
      <w:r w:rsidR="006A2B10">
        <w:rPr>
          <w:rFonts w:ascii="Calibri" w:eastAsia="Calibri" w:hAnsi="Calibri" w:cs="Calibri"/>
        </w:rPr>
        <w:t>daratumumab + pomalidomide + dexamethasone</w:t>
      </w:r>
      <w:r w:rsidR="00435D29">
        <w:rPr>
          <w:rFonts w:ascii="Calibri" w:eastAsia="Calibri" w:hAnsi="Calibri" w:cs="Calibri"/>
        </w:rPr>
        <w:t xml:space="preserve"> treatment is less than half as effective in those with previous </w:t>
      </w:r>
      <w:r w:rsidR="00F46DCA">
        <w:rPr>
          <w:rFonts w:ascii="Calibri" w:eastAsia="Calibri" w:hAnsi="Calibri" w:cs="Calibri"/>
        </w:rPr>
        <w:t xml:space="preserve">daratumumab </w:t>
      </w:r>
      <w:r w:rsidR="00435D29">
        <w:rPr>
          <w:rFonts w:ascii="Calibri" w:eastAsia="Calibri" w:hAnsi="Calibri" w:cs="Calibri"/>
        </w:rPr>
        <w:t xml:space="preserve">exposure than those without previous </w:t>
      </w:r>
      <w:r w:rsidR="00F46DCA">
        <w:rPr>
          <w:rFonts w:ascii="Calibri" w:eastAsia="Calibri" w:hAnsi="Calibri" w:cs="Calibri"/>
        </w:rPr>
        <w:t xml:space="preserve">daratumumab </w:t>
      </w:r>
      <w:r w:rsidR="00435D29">
        <w:rPr>
          <w:rFonts w:ascii="Calibri" w:eastAsia="Calibri" w:hAnsi="Calibri" w:cs="Calibri"/>
        </w:rPr>
        <w:t>exposure, these measures are confounded by the significantly greater number of previous lines of treatment among the patient group with previous exposure to dara</w:t>
      </w:r>
      <w:r w:rsidR="006A2B10">
        <w:rPr>
          <w:rFonts w:ascii="Calibri" w:eastAsia="Calibri" w:hAnsi="Calibri" w:cs="Calibri"/>
        </w:rPr>
        <w:t>tumumab</w:t>
      </w:r>
      <w:r w:rsidR="00435D29">
        <w:rPr>
          <w:rFonts w:ascii="Calibri" w:eastAsia="Calibri" w:hAnsi="Calibri" w:cs="Calibri"/>
        </w:rPr>
        <w:t xml:space="preserve">. Our analysis is limited due to the lack of robust data to inform the impact of retreatment with anti-CD38 monoclonal antibodies. </w:t>
      </w:r>
    </w:p>
    <w:p w14:paraId="5F4ACC3F" w14:textId="77777777" w:rsidR="00757A4E" w:rsidRDefault="00D24922" w:rsidP="00757A4E">
      <w:pPr>
        <w:spacing w:line="257" w:lineRule="auto"/>
      </w:pPr>
      <w:r>
        <w:rPr>
          <w:rFonts w:ascii="Calibri" w:eastAsia="Calibri" w:hAnsi="Calibri" w:cs="Calibri"/>
          <w:u w:val="single"/>
        </w:rPr>
        <w:lastRenderedPageBreak/>
        <w:t>T</w:t>
      </w:r>
      <w:r w:rsidR="00757A4E" w:rsidRPr="74589ED8">
        <w:rPr>
          <w:rFonts w:ascii="Calibri" w:eastAsia="Calibri" w:hAnsi="Calibri" w:cs="Calibri"/>
          <w:u w:val="single"/>
        </w:rPr>
        <w:t>reatment Effects</w:t>
      </w:r>
    </w:p>
    <w:p w14:paraId="538A75A3" w14:textId="77777777" w:rsidR="00757A4E" w:rsidRDefault="00757A4E" w:rsidP="00757A4E">
      <w:pPr>
        <w:spacing w:line="257" w:lineRule="auto"/>
        <w:rPr>
          <w:rFonts w:ascii="Calibri" w:eastAsia="Calibri" w:hAnsi="Calibri" w:cs="Calibri"/>
        </w:rPr>
      </w:pPr>
      <w:r w:rsidRPr="74589ED8">
        <w:rPr>
          <w:rFonts w:ascii="Calibri" w:eastAsia="Calibri" w:hAnsi="Calibri" w:cs="Calibri"/>
        </w:rPr>
        <w:t xml:space="preserve">We will model differential progression free and overall survival rates among the different treatment categories modeled in our simulation. Because we are modeling a large residual treatment category composed of many differing treatment regimens, we will not use hazard ratios from double-armed clinical trials that directly compare two specific treatment regimens. Instead, we will use single-arm data from clinical trials for a specific treatment regimen (adjusted for relevant confounders) along with the coverage proportion for that treatment regimen to derive a hazard ratio for that treatment regimen relative to the residual category. We will do this by making the assumption that the overall survival function </w:t>
      </w:r>
      <w:r w:rsidRPr="00742666">
        <w:rPr>
          <w:rFonts w:ascii="Calibri" w:eastAsia="Calibri" w:hAnsi="Calibri" w:cs="Calibri"/>
        </w:rPr>
        <w:t>for a given line of treatment</w:t>
      </w:r>
      <w:r w:rsidRPr="74589ED8">
        <w:rPr>
          <w:rFonts w:ascii="Calibri" w:eastAsia="Calibri" w:hAnsi="Calibri" w:cs="Calibri"/>
        </w:rPr>
        <w:t xml:space="preserve"> is a weighted average of the survival functions of each of the composite treatment groups, </w:t>
      </w:r>
      <w:proofErr w:type="spellStart"/>
      <w:r w:rsidRPr="74589ED8">
        <w:rPr>
          <w:rFonts w:ascii="Calibri" w:eastAsia="Calibri" w:hAnsi="Calibri" w:cs="Calibri"/>
          <w:i/>
          <w:iCs/>
        </w:rPr>
        <w:t>tx</w:t>
      </w:r>
      <w:proofErr w:type="spellEnd"/>
      <w:r w:rsidRPr="74589ED8">
        <w:rPr>
          <w:rFonts w:ascii="Calibri" w:eastAsia="Calibri" w:hAnsi="Calibri" w:cs="Calibri"/>
        </w:rPr>
        <w:t xml:space="preserve"> (see below equation).</w:t>
      </w:r>
    </w:p>
    <w:p w14:paraId="01CFC583" w14:textId="77777777" w:rsidR="00757A4E" w:rsidRDefault="00757A4E" w:rsidP="00757A4E">
      <w:pPr>
        <w:spacing w:line="257" w:lineRule="auto"/>
        <w:jc w:val="center"/>
      </w:pPr>
      <w:r>
        <w:rPr>
          <w:noProof/>
          <w:color w:val="2B579A"/>
          <w:shd w:val="clear" w:color="auto" w:fill="E6E6E6"/>
        </w:rPr>
        <w:drawing>
          <wp:inline distT="0" distB="0" distL="0" distR="0" wp14:anchorId="075C6CF0" wp14:editId="7FCBEA1B">
            <wp:extent cx="2114551" cy="531829"/>
            <wp:effectExtent l="0" t="0" r="0" b="0"/>
            <wp:docPr id="711673677" name="Picture 71167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14551" cy="531829"/>
                    </a:xfrm>
                    <a:prstGeom prst="rect">
                      <a:avLst/>
                    </a:prstGeom>
                  </pic:spPr>
                </pic:pic>
              </a:graphicData>
            </a:graphic>
          </wp:inline>
        </w:drawing>
      </w:r>
    </w:p>
    <w:p w14:paraId="1AD8D728" w14:textId="77777777" w:rsidR="00F72CC6" w:rsidRDefault="00757A4E" w:rsidP="00757A4E">
      <w:pPr>
        <w:spacing w:line="257" w:lineRule="auto"/>
      </w:pPr>
      <w:r>
        <w:t>Notably, we will examine the first line of treatment for MM separately from later lines of treatment for RRMM and analyze progression-free survival and overall survival separately.</w:t>
      </w:r>
      <w:r w:rsidR="00742666">
        <w:t xml:space="preserve"> Additionally, we not consider the effect of retreatment with anti-CD38 monoclonal antibodies in this portion of the analysis</w:t>
      </w:r>
      <w:r w:rsidR="00F72CC6">
        <w:t xml:space="preserve">. </w:t>
      </w:r>
    </w:p>
    <w:p w14:paraId="0BC2E597" w14:textId="77777777" w:rsidR="00757A4E" w:rsidRPr="00F72CC6" w:rsidRDefault="00F72CC6" w:rsidP="00757A4E">
      <w:pPr>
        <w:spacing w:line="257" w:lineRule="auto"/>
        <w:rPr>
          <w:rFonts w:ascii="Calibri" w:eastAsia="Calibri" w:hAnsi="Calibri" w:cs="Calibri"/>
        </w:rPr>
      </w:pPr>
      <w:r w:rsidRPr="74589ED8">
        <w:rPr>
          <w:rFonts w:ascii="Calibri" w:eastAsia="Calibri" w:hAnsi="Calibri" w:cs="Calibri"/>
        </w:rPr>
        <w:t>The overall survival function (</w:t>
      </w:r>
      <w:r w:rsidRPr="74589ED8">
        <w:rPr>
          <w:rFonts w:ascii="Calibri" w:eastAsia="Calibri" w:hAnsi="Calibri" w:cs="Calibri"/>
          <w:i/>
          <w:iCs/>
        </w:rPr>
        <w:t>S(t)</w:t>
      </w:r>
      <w:r w:rsidRPr="74589ED8">
        <w:rPr>
          <w:rFonts w:ascii="Calibri" w:eastAsia="Calibri" w:hAnsi="Calibri" w:cs="Calibri"/>
          <w:i/>
          <w:iCs/>
          <w:vertAlign w:val="subscript"/>
        </w:rPr>
        <w:t>overall</w:t>
      </w:r>
      <w:r w:rsidRPr="74589ED8">
        <w:rPr>
          <w:rFonts w:ascii="Calibri" w:eastAsia="Calibri" w:hAnsi="Calibri" w:cs="Calibri"/>
        </w:rPr>
        <w:t xml:space="preserve">) will be informed by Flatiron data published by </w:t>
      </w:r>
      <w:proofErr w:type="spellStart"/>
      <w:r w:rsidRPr="74589ED8">
        <w:rPr>
          <w:rFonts w:ascii="Calibri" w:eastAsia="Calibri" w:hAnsi="Calibri" w:cs="Calibri"/>
        </w:rPr>
        <w:t>Braulin</w:t>
      </w:r>
      <w:proofErr w:type="spellEnd"/>
      <w:r w:rsidRPr="74589ED8">
        <w:rPr>
          <w:rFonts w:ascii="Calibri" w:eastAsia="Calibri" w:hAnsi="Calibri" w:cs="Calibri"/>
        </w:rPr>
        <w:t xml:space="preserve"> et al. (2019). The survival functions for the remaining treatment categories will be informed by the sources described below. The coverage proportion for each treatment regimen will be informed by the 2021 values for a given line of treatment described in the </w:t>
      </w:r>
      <w:r w:rsidRPr="74589ED8">
        <w:rPr>
          <w:rFonts w:ascii="Calibri" w:eastAsia="Calibri" w:hAnsi="Calibri" w:cs="Calibri"/>
          <w:u w:val="single"/>
        </w:rPr>
        <w:t>Coverage Scale-Up</w:t>
      </w:r>
      <w:r w:rsidRPr="74589ED8">
        <w:rPr>
          <w:rFonts w:ascii="Calibri" w:eastAsia="Calibri" w:hAnsi="Calibri" w:cs="Calibri"/>
        </w:rPr>
        <w:t xml:space="preserve"> section</w:t>
      </w:r>
      <w:r>
        <w:rPr>
          <w:rFonts w:ascii="Calibri" w:eastAsia="Calibri" w:hAnsi="Calibri" w:cs="Calibri"/>
        </w:rPr>
        <w:t xml:space="preserve">. </w:t>
      </w:r>
      <w:r>
        <w:t>The table below lists a summary of the data sources used to inform the survival outcomes for each treatment category in our simulation separately for newly diagnosed survival outcomes and for relapsed/refractory survival outcomes.</w:t>
      </w:r>
    </w:p>
    <w:p w14:paraId="4EEE83FB" w14:textId="77777777" w:rsidR="00757A4E" w:rsidRPr="00757A4E" w:rsidRDefault="00757A4E" w:rsidP="00757A4E">
      <w:pPr>
        <w:spacing w:line="257" w:lineRule="auto"/>
        <w:rPr>
          <w:rFonts w:ascii="Calibri" w:eastAsia="Calibri" w:hAnsi="Calibri" w:cs="Calibri"/>
          <w:sz w:val="18"/>
          <w:szCs w:val="18"/>
        </w:rPr>
      </w:pPr>
      <w:r w:rsidRPr="3B723640">
        <w:rPr>
          <w:rFonts w:ascii="Calibri" w:eastAsia="Calibri" w:hAnsi="Calibri" w:cs="Calibri"/>
          <w:sz w:val="18"/>
          <w:szCs w:val="18"/>
        </w:rPr>
        <w:t xml:space="preserve">Table </w:t>
      </w:r>
      <w:r w:rsidR="005510E8">
        <w:rPr>
          <w:rFonts w:ascii="Calibri" w:eastAsia="Calibri" w:hAnsi="Calibri" w:cs="Calibri"/>
          <w:sz w:val="18"/>
          <w:szCs w:val="18"/>
        </w:rPr>
        <w:t>3</w:t>
      </w:r>
      <w:r w:rsidRPr="3B723640">
        <w:rPr>
          <w:rFonts w:ascii="Calibri" w:eastAsia="Calibri" w:hAnsi="Calibri" w:cs="Calibri"/>
          <w:sz w:val="18"/>
          <w:szCs w:val="18"/>
        </w:rPr>
        <w:t>. Summary of data sources that will inform survival outcomes, by treatment category, in the simulation. Additional detail provided in text below.</w:t>
      </w:r>
    </w:p>
    <w:tbl>
      <w:tblPr>
        <w:tblStyle w:val="TableGrid"/>
        <w:tblW w:w="0" w:type="auto"/>
        <w:tblLook w:val="04A0" w:firstRow="1" w:lastRow="0" w:firstColumn="1" w:lastColumn="0" w:noHBand="0" w:noVBand="1"/>
      </w:tblPr>
      <w:tblGrid>
        <w:gridCol w:w="3116"/>
        <w:gridCol w:w="3117"/>
        <w:gridCol w:w="3117"/>
      </w:tblGrid>
      <w:tr w:rsidR="00757A4E" w14:paraId="5E853773" w14:textId="77777777" w:rsidTr="00757A4E">
        <w:tc>
          <w:tcPr>
            <w:tcW w:w="3116" w:type="dxa"/>
          </w:tcPr>
          <w:p w14:paraId="2F4A21E1" w14:textId="77777777" w:rsidR="00757A4E" w:rsidRPr="00757A4E" w:rsidRDefault="00757A4E" w:rsidP="00757A4E">
            <w:pPr>
              <w:spacing w:line="257" w:lineRule="auto"/>
              <w:rPr>
                <w:b/>
              </w:rPr>
            </w:pPr>
            <w:r w:rsidRPr="00757A4E">
              <w:rPr>
                <w:b/>
              </w:rPr>
              <w:t>Treatment category</w:t>
            </w:r>
          </w:p>
        </w:tc>
        <w:tc>
          <w:tcPr>
            <w:tcW w:w="3117" w:type="dxa"/>
          </w:tcPr>
          <w:p w14:paraId="4A028B94" w14:textId="77777777" w:rsidR="00757A4E" w:rsidRPr="00757A4E" w:rsidRDefault="00757A4E" w:rsidP="00757A4E">
            <w:pPr>
              <w:spacing w:line="257" w:lineRule="auto"/>
              <w:rPr>
                <w:b/>
              </w:rPr>
            </w:pPr>
            <w:r w:rsidRPr="00757A4E">
              <w:rPr>
                <w:b/>
              </w:rPr>
              <w:t>Data source for newly diagnosed survival outcomes</w:t>
            </w:r>
          </w:p>
        </w:tc>
        <w:tc>
          <w:tcPr>
            <w:tcW w:w="3117" w:type="dxa"/>
          </w:tcPr>
          <w:p w14:paraId="5EB19A9C" w14:textId="77777777" w:rsidR="00757A4E" w:rsidRPr="00757A4E" w:rsidRDefault="00757A4E" w:rsidP="00757A4E">
            <w:pPr>
              <w:spacing w:line="257" w:lineRule="auto"/>
              <w:rPr>
                <w:b/>
              </w:rPr>
            </w:pPr>
            <w:r w:rsidRPr="00757A4E">
              <w:rPr>
                <w:b/>
              </w:rPr>
              <w:t>Data source for relapsed/refractory survival outcomes</w:t>
            </w:r>
          </w:p>
        </w:tc>
      </w:tr>
      <w:tr w:rsidR="00757A4E" w14:paraId="41912E85" w14:textId="77777777" w:rsidTr="00757A4E">
        <w:tc>
          <w:tcPr>
            <w:tcW w:w="3116" w:type="dxa"/>
          </w:tcPr>
          <w:p w14:paraId="37AD1C62" w14:textId="77777777" w:rsidR="00757A4E" w:rsidRDefault="00757A4E" w:rsidP="00757A4E">
            <w:pPr>
              <w:spacing w:line="257" w:lineRule="auto"/>
            </w:pPr>
            <w:r>
              <w:t>All treatment categories combined</w:t>
            </w:r>
          </w:p>
        </w:tc>
        <w:tc>
          <w:tcPr>
            <w:tcW w:w="3117" w:type="dxa"/>
          </w:tcPr>
          <w:p w14:paraId="07269AC5" w14:textId="77777777" w:rsidR="00757A4E" w:rsidRDefault="00757A4E" w:rsidP="00757A4E">
            <w:pPr>
              <w:spacing w:line="257" w:lineRule="auto"/>
            </w:pPr>
            <w:r>
              <w:t>Flatiron Health data (</w:t>
            </w:r>
            <w:proofErr w:type="spellStart"/>
            <w:r>
              <w:t>Braunlin</w:t>
            </w:r>
            <w:proofErr w:type="spellEnd"/>
            <w:r>
              <w:t xml:space="preserve"> et al. 2019)</w:t>
            </w:r>
          </w:p>
        </w:tc>
        <w:tc>
          <w:tcPr>
            <w:tcW w:w="3117" w:type="dxa"/>
          </w:tcPr>
          <w:p w14:paraId="6F0C2FC3" w14:textId="77777777" w:rsidR="00757A4E" w:rsidRDefault="00757A4E" w:rsidP="00757A4E">
            <w:pPr>
              <w:spacing w:line="257" w:lineRule="auto"/>
            </w:pPr>
            <w:r>
              <w:t>Flatiron Health data (</w:t>
            </w:r>
            <w:proofErr w:type="spellStart"/>
            <w:r>
              <w:t>Braunlin</w:t>
            </w:r>
            <w:proofErr w:type="spellEnd"/>
            <w:r>
              <w:t xml:space="preserve"> et al., 2019)</w:t>
            </w:r>
          </w:p>
        </w:tc>
      </w:tr>
      <w:tr w:rsidR="00757A4E" w14:paraId="7C2CA97E" w14:textId="77777777" w:rsidTr="00757A4E">
        <w:tc>
          <w:tcPr>
            <w:tcW w:w="3116" w:type="dxa"/>
          </w:tcPr>
          <w:p w14:paraId="79B286B2" w14:textId="77777777" w:rsidR="00757A4E" w:rsidRDefault="00757A4E" w:rsidP="00757A4E">
            <w:pPr>
              <w:spacing w:line="257" w:lineRule="auto"/>
            </w:pPr>
            <w:r>
              <w:t>Isatuxamib-containing treatment category</w:t>
            </w:r>
          </w:p>
        </w:tc>
        <w:tc>
          <w:tcPr>
            <w:tcW w:w="3117" w:type="dxa"/>
          </w:tcPr>
          <w:p w14:paraId="50E64776" w14:textId="77777777" w:rsidR="00757A4E" w:rsidRDefault="00757A4E" w:rsidP="00757A4E">
            <w:pPr>
              <w:spacing w:line="257" w:lineRule="auto"/>
            </w:pPr>
            <w:r>
              <w:rPr>
                <w:rFonts w:ascii="Calibri" w:eastAsia="Calibri" w:hAnsi="Calibri" w:cs="Calibri"/>
              </w:rPr>
              <w:t>MAIA trial (</w:t>
            </w:r>
            <w:proofErr w:type="spellStart"/>
            <w:r>
              <w:rPr>
                <w:rFonts w:ascii="Calibri" w:eastAsia="Calibri" w:hAnsi="Calibri" w:cs="Calibri"/>
              </w:rPr>
              <w:t>Facon</w:t>
            </w:r>
            <w:proofErr w:type="spellEnd"/>
            <w:r>
              <w:rPr>
                <w:rFonts w:ascii="Calibri" w:eastAsia="Calibri" w:hAnsi="Calibri" w:cs="Calibri"/>
              </w:rPr>
              <w:t xml:space="preserve"> et al. 2020)</w:t>
            </w:r>
          </w:p>
        </w:tc>
        <w:tc>
          <w:tcPr>
            <w:tcW w:w="3117" w:type="dxa"/>
          </w:tcPr>
          <w:p w14:paraId="2D5049D1" w14:textId="77777777" w:rsidR="00757A4E" w:rsidRDefault="00757A4E" w:rsidP="005543B6">
            <w:pPr>
              <w:spacing w:line="257" w:lineRule="auto"/>
            </w:pPr>
            <w:r w:rsidRPr="005543B6">
              <w:t>ICARIA trial (Attal et al., 2019)</w:t>
            </w:r>
            <w:r w:rsidR="005543B6" w:rsidRPr="005543B6">
              <w:t xml:space="preserve"> and</w:t>
            </w:r>
            <w:r w:rsidR="00FE329F" w:rsidRPr="005543B6">
              <w:t xml:space="preserve"> IKEMA</w:t>
            </w:r>
            <w:r w:rsidR="005543B6" w:rsidRPr="005543B6">
              <w:t xml:space="preserve"> trial (Moreau et al. 2021)</w:t>
            </w:r>
          </w:p>
        </w:tc>
      </w:tr>
      <w:tr w:rsidR="00757A4E" w14:paraId="41C449D0" w14:textId="77777777" w:rsidTr="00757A4E">
        <w:tc>
          <w:tcPr>
            <w:tcW w:w="3116" w:type="dxa"/>
          </w:tcPr>
          <w:p w14:paraId="586F4D6B" w14:textId="77777777" w:rsidR="00757A4E" w:rsidRDefault="00757A4E" w:rsidP="00757A4E">
            <w:pPr>
              <w:spacing w:line="257" w:lineRule="auto"/>
            </w:pPr>
            <w:r>
              <w:t>Daratumumab-containing treatment category</w:t>
            </w:r>
          </w:p>
        </w:tc>
        <w:tc>
          <w:tcPr>
            <w:tcW w:w="3117" w:type="dxa"/>
          </w:tcPr>
          <w:p w14:paraId="40F9EB72" w14:textId="77777777" w:rsidR="00757A4E" w:rsidRDefault="00757A4E" w:rsidP="00757A4E">
            <w:pPr>
              <w:spacing w:line="257" w:lineRule="auto"/>
            </w:pPr>
            <w:r>
              <w:rPr>
                <w:rFonts w:ascii="Calibri" w:eastAsia="Calibri" w:hAnsi="Calibri" w:cs="Calibri"/>
              </w:rPr>
              <w:t>MAIA trial (</w:t>
            </w:r>
            <w:proofErr w:type="spellStart"/>
            <w:r>
              <w:rPr>
                <w:rFonts w:ascii="Calibri" w:eastAsia="Calibri" w:hAnsi="Calibri" w:cs="Calibri"/>
              </w:rPr>
              <w:t>Facon</w:t>
            </w:r>
            <w:proofErr w:type="spellEnd"/>
            <w:r>
              <w:rPr>
                <w:rFonts w:ascii="Calibri" w:eastAsia="Calibri" w:hAnsi="Calibri" w:cs="Calibri"/>
              </w:rPr>
              <w:t xml:space="preserve"> et al. 2020)</w:t>
            </w:r>
          </w:p>
        </w:tc>
        <w:tc>
          <w:tcPr>
            <w:tcW w:w="3117" w:type="dxa"/>
          </w:tcPr>
          <w:p w14:paraId="4ECA4BA1" w14:textId="77777777" w:rsidR="00757A4E" w:rsidRDefault="00757A4E" w:rsidP="00757A4E">
            <w:pPr>
              <w:spacing w:line="257" w:lineRule="auto"/>
            </w:pPr>
            <w:r>
              <w:t xml:space="preserve">POLLUX trial </w:t>
            </w:r>
            <w:r w:rsidRPr="3B723640">
              <w:rPr>
                <w:rFonts w:ascii="Calibri" w:eastAsia="Calibri" w:hAnsi="Calibri" w:cs="Calibri"/>
              </w:rPr>
              <w:t>(</w:t>
            </w:r>
            <w:proofErr w:type="spellStart"/>
            <w:r w:rsidRPr="3B723640">
              <w:rPr>
                <w:rFonts w:ascii="Calibri" w:eastAsia="Calibri" w:hAnsi="Calibri" w:cs="Calibri"/>
              </w:rPr>
              <w:t>Bahlis</w:t>
            </w:r>
            <w:proofErr w:type="spellEnd"/>
            <w:r w:rsidRPr="3B723640">
              <w:rPr>
                <w:rFonts w:ascii="Calibri" w:eastAsia="Calibri" w:hAnsi="Calibri" w:cs="Calibri"/>
              </w:rPr>
              <w:t xml:space="preserve"> et al., 2020)</w:t>
            </w:r>
          </w:p>
        </w:tc>
      </w:tr>
      <w:tr w:rsidR="00757A4E" w14:paraId="2B50FD75" w14:textId="77777777" w:rsidTr="00757A4E">
        <w:tc>
          <w:tcPr>
            <w:tcW w:w="3116" w:type="dxa"/>
          </w:tcPr>
          <w:p w14:paraId="225080BD" w14:textId="77777777" w:rsidR="00757A4E" w:rsidRDefault="00757A4E" w:rsidP="00757A4E">
            <w:pPr>
              <w:spacing w:line="257" w:lineRule="auto"/>
            </w:pPr>
            <w:r>
              <w:t>Residual treatment category (all treatments not containing isatuxamib or daratumumab)</w:t>
            </w:r>
          </w:p>
        </w:tc>
        <w:tc>
          <w:tcPr>
            <w:tcW w:w="3117" w:type="dxa"/>
          </w:tcPr>
          <w:p w14:paraId="056793C7" w14:textId="77777777" w:rsidR="00757A4E" w:rsidRDefault="00757A4E" w:rsidP="00757A4E">
            <w:pPr>
              <w:spacing w:line="257" w:lineRule="auto"/>
            </w:pPr>
            <w:r>
              <w:t>Calculated using above sources</w:t>
            </w:r>
          </w:p>
        </w:tc>
        <w:tc>
          <w:tcPr>
            <w:tcW w:w="3117" w:type="dxa"/>
          </w:tcPr>
          <w:p w14:paraId="719CE6D9" w14:textId="77777777" w:rsidR="00757A4E" w:rsidRDefault="00757A4E" w:rsidP="00757A4E">
            <w:pPr>
              <w:spacing w:line="257" w:lineRule="auto"/>
            </w:pPr>
            <w:r>
              <w:t>Calculated using above sources</w:t>
            </w:r>
          </w:p>
        </w:tc>
      </w:tr>
    </w:tbl>
    <w:p w14:paraId="5D183743" w14:textId="77777777" w:rsidR="005543B6" w:rsidRDefault="005543B6" w:rsidP="000D66B3">
      <w:pPr>
        <w:spacing w:line="257" w:lineRule="auto"/>
        <w:rPr>
          <w:rFonts w:ascii="Calibri" w:eastAsia="Calibri" w:hAnsi="Calibri" w:cs="Calibri"/>
          <w:i/>
        </w:rPr>
      </w:pPr>
    </w:p>
    <w:p w14:paraId="050CE34E" w14:textId="77777777" w:rsidR="0079195F" w:rsidRDefault="0079195F" w:rsidP="000D66B3">
      <w:pPr>
        <w:spacing w:line="257" w:lineRule="auto"/>
        <w:rPr>
          <w:rFonts w:ascii="Calibri" w:eastAsia="Calibri" w:hAnsi="Calibri" w:cs="Calibri"/>
          <w:i/>
        </w:rPr>
      </w:pPr>
      <w:r>
        <w:rPr>
          <w:rFonts w:ascii="Calibri" w:eastAsia="Calibri" w:hAnsi="Calibri" w:cs="Calibri"/>
          <w:i/>
        </w:rPr>
        <w:t xml:space="preserve">Isatuxamib-Containing Treatment Category </w:t>
      </w:r>
    </w:p>
    <w:p w14:paraId="5A78D245" w14:textId="77777777" w:rsidR="0079195F" w:rsidRPr="0079195F" w:rsidRDefault="0079195F" w:rsidP="000D66B3">
      <w:pPr>
        <w:spacing w:line="257" w:lineRule="auto"/>
        <w:rPr>
          <w:rFonts w:ascii="Calibri" w:eastAsia="Calibri" w:hAnsi="Calibri" w:cs="Calibri"/>
        </w:rPr>
      </w:pPr>
      <w:r>
        <w:rPr>
          <w:rFonts w:ascii="Calibri" w:eastAsia="Calibri" w:hAnsi="Calibri" w:cs="Calibri"/>
        </w:rPr>
        <w:lastRenderedPageBreak/>
        <w:t>Isatuxamib is currently not approved for use in newly diagnosed multiple myeloma patients. Due to this absence of data, we assumed that the isatuxamib-containing treatment category will have the same effect on survival as the daratumumab-containing treatment category at the first line of treatment. See the daratumumab-containing treatment category description for more details.</w:t>
      </w:r>
    </w:p>
    <w:p w14:paraId="68277DFA" w14:textId="77777777" w:rsidR="0079195F" w:rsidRDefault="0079195F" w:rsidP="0079195F">
      <w:pPr>
        <w:spacing w:line="257" w:lineRule="auto"/>
        <w:rPr>
          <w:rFonts w:ascii="Calibri" w:eastAsia="Calibri" w:hAnsi="Calibri" w:cs="Calibri"/>
        </w:rPr>
      </w:pPr>
      <w:r>
        <w:rPr>
          <w:rFonts w:ascii="Calibri" w:eastAsia="Calibri" w:hAnsi="Calibri" w:cs="Calibri"/>
        </w:rPr>
        <w:t>In the relapsed and refractory setting, s</w:t>
      </w:r>
      <w:r w:rsidRPr="74589ED8">
        <w:rPr>
          <w:rFonts w:ascii="Calibri" w:eastAsia="Calibri" w:hAnsi="Calibri" w:cs="Calibri"/>
        </w:rPr>
        <w:t xml:space="preserve">urvival data specific to the </w:t>
      </w:r>
      <w:r>
        <w:rPr>
          <w:rFonts w:ascii="Calibri" w:eastAsia="Calibri" w:hAnsi="Calibri" w:cs="Calibri"/>
        </w:rPr>
        <w:t>isatuxamib-containing treatment category</w:t>
      </w:r>
      <w:r w:rsidRPr="74589ED8">
        <w:rPr>
          <w:rFonts w:ascii="Calibri" w:eastAsia="Calibri" w:hAnsi="Calibri" w:cs="Calibri"/>
        </w:rPr>
        <w:t xml:space="preserve"> will be informed from the ICARIA trial (Attal et al. 2019)</w:t>
      </w:r>
      <w:r>
        <w:rPr>
          <w:rFonts w:ascii="Calibri" w:eastAsia="Calibri" w:hAnsi="Calibri" w:cs="Calibri"/>
        </w:rPr>
        <w:t>, which reports on survival data among patients treated with isatuxamib + pomalidomide + dexamethasone</w:t>
      </w:r>
      <w:r w:rsidR="002D485F">
        <w:rPr>
          <w:rFonts w:ascii="Calibri" w:eastAsia="Calibri" w:hAnsi="Calibri" w:cs="Calibri"/>
        </w:rPr>
        <w:t>, and the IKEMA trial (</w:t>
      </w:r>
      <w:r w:rsidR="00D24922">
        <w:rPr>
          <w:rFonts w:ascii="Calibri" w:eastAsia="Calibri" w:hAnsi="Calibri" w:cs="Calibri"/>
        </w:rPr>
        <w:t>Moreau</w:t>
      </w:r>
      <w:r w:rsidR="002D485F">
        <w:rPr>
          <w:rFonts w:ascii="Calibri" w:eastAsia="Calibri" w:hAnsi="Calibri" w:cs="Calibri"/>
        </w:rPr>
        <w:t xml:space="preserve"> et al., 2021), which reports on survival data among patients treated with isatuxamib + carfilzomib + dexamethasone</w:t>
      </w:r>
      <w:r w:rsidRPr="74589ED8">
        <w:rPr>
          <w:rFonts w:ascii="Calibri" w:eastAsia="Calibri" w:hAnsi="Calibri" w:cs="Calibri"/>
        </w:rPr>
        <w:t xml:space="preserve">. Since the ICARIA </w:t>
      </w:r>
      <w:r w:rsidR="002D485F">
        <w:rPr>
          <w:rFonts w:ascii="Calibri" w:eastAsia="Calibri" w:hAnsi="Calibri" w:cs="Calibri"/>
        </w:rPr>
        <w:t xml:space="preserve">and IKEMA </w:t>
      </w:r>
      <w:r w:rsidRPr="74589ED8">
        <w:rPr>
          <w:rFonts w:ascii="Calibri" w:eastAsia="Calibri" w:hAnsi="Calibri" w:cs="Calibri"/>
        </w:rPr>
        <w:t xml:space="preserve">study subjects differ from the </w:t>
      </w:r>
      <w:proofErr w:type="spellStart"/>
      <w:r w:rsidRPr="74589ED8">
        <w:rPr>
          <w:rFonts w:ascii="Calibri" w:eastAsia="Calibri" w:hAnsi="Calibri" w:cs="Calibri"/>
        </w:rPr>
        <w:t>Brau</w:t>
      </w:r>
      <w:r w:rsidR="00D24922">
        <w:rPr>
          <w:rFonts w:ascii="Calibri" w:eastAsia="Calibri" w:hAnsi="Calibri" w:cs="Calibri"/>
        </w:rPr>
        <w:t>n</w:t>
      </w:r>
      <w:r w:rsidRPr="74589ED8">
        <w:rPr>
          <w:rFonts w:ascii="Calibri" w:eastAsia="Calibri" w:hAnsi="Calibri" w:cs="Calibri"/>
        </w:rPr>
        <w:t>lin</w:t>
      </w:r>
      <w:proofErr w:type="spellEnd"/>
      <w:r w:rsidRPr="74589ED8">
        <w:rPr>
          <w:rFonts w:ascii="Calibri" w:eastAsia="Calibri" w:hAnsi="Calibri" w:cs="Calibri"/>
        </w:rPr>
        <w:t xml:space="preserve"> et al. (2019) study subjects</w:t>
      </w:r>
      <w:r w:rsidR="005510E8">
        <w:rPr>
          <w:rFonts w:ascii="Calibri" w:eastAsia="Calibri" w:hAnsi="Calibri" w:cs="Calibri"/>
        </w:rPr>
        <w:t xml:space="preserve"> we will perform standardization adjustment to the </w:t>
      </w:r>
      <w:proofErr w:type="spellStart"/>
      <w:r w:rsidR="005510E8">
        <w:rPr>
          <w:rFonts w:ascii="Calibri" w:eastAsia="Calibri" w:hAnsi="Calibri" w:cs="Calibri"/>
        </w:rPr>
        <w:t>Braunlin</w:t>
      </w:r>
      <w:proofErr w:type="spellEnd"/>
      <w:r w:rsidR="005510E8">
        <w:rPr>
          <w:rFonts w:ascii="Calibri" w:eastAsia="Calibri" w:hAnsi="Calibri" w:cs="Calibri"/>
        </w:rPr>
        <w:t xml:space="preserve"> et al. (2019) study (described in detail in the following section).</w:t>
      </w:r>
      <w:r>
        <w:rPr>
          <w:rFonts w:ascii="Calibri" w:eastAsia="Calibri" w:hAnsi="Calibri" w:cs="Calibri"/>
        </w:rPr>
        <w:t xml:space="preserve"> </w:t>
      </w:r>
      <w:r w:rsidR="002D485F">
        <w:rPr>
          <w:rFonts w:ascii="Calibri" w:eastAsia="Calibri" w:hAnsi="Calibri" w:cs="Calibri"/>
        </w:rPr>
        <w:t>We will assume that survival data from the ICARIA trial and the IKEMA trial contribute equally to inform the progression free survival rate of the isatuxamib-containing treatment category in the relapsed and refractory setting (an average of the two). However, since detailed data on overall survival was not reported in the IKEMA trial, the overall survival rate of the isatuxamib-containing treatment category will be informed by the ICARIA trial only.</w:t>
      </w:r>
    </w:p>
    <w:p w14:paraId="4E18C2A6" w14:textId="77777777" w:rsidR="00F35C5F" w:rsidRPr="00103FDC" w:rsidRDefault="0079195F" w:rsidP="00E3348B">
      <w:pPr>
        <w:spacing w:line="257" w:lineRule="auto"/>
        <w:rPr>
          <w:rFonts w:ascii="Calibri" w:eastAsia="Calibri" w:hAnsi="Calibri" w:cs="Calibri"/>
        </w:rPr>
      </w:pPr>
      <w:r>
        <w:rPr>
          <w:rFonts w:ascii="Calibri" w:eastAsia="Calibri" w:hAnsi="Calibri" w:cs="Calibri"/>
          <w:i/>
        </w:rPr>
        <w:t>Daratumumab-Containing Treatment Category</w:t>
      </w:r>
      <w:r w:rsidR="00F35C5F">
        <w:rPr>
          <w:rFonts w:ascii="Calibri" w:eastAsia="Calibri" w:hAnsi="Calibri" w:cs="Calibri"/>
        </w:rPr>
        <w:t xml:space="preserve"> </w:t>
      </w:r>
    </w:p>
    <w:p w14:paraId="26F04A8D" w14:textId="77777777" w:rsidR="00A60871" w:rsidRPr="00A60871" w:rsidRDefault="000037F1" w:rsidP="0079195F">
      <w:pPr>
        <w:spacing w:line="257" w:lineRule="auto"/>
        <w:rPr>
          <w:rFonts w:ascii="Calibri" w:eastAsia="Calibri" w:hAnsi="Calibri" w:cs="Calibri"/>
        </w:rPr>
      </w:pPr>
      <w:r>
        <w:rPr>
          <w:rFonts w:ascii="Calibri" w:eastAsia="Calibri" w:hAnsi="Calibri" w:cs="Calibri"/>
        </w:rPr>
        <w:t xml:space="preserve">In addition to other daratumumab-containing regimens, </w:t>
      </w:r>
      <w:r w:rsidR="00A60871">
        <w:rPr>
          <w:rFonts w:ascii="Calibri" w:eastAsia="Calibri" w:hAnsi="Calibri" w:cs="Calibri"/>
        </w:rPr>
        <w:t xml:space="preserve">daratumumab + </w:t>
      </w:r>
      <w:proofErr w:type="spellStart"/>
      <w:r w:rsidR="00A60871">
        <w:rPr>
          <w:rFonts w:ascii="Calibri" w:eastAsia="Calibri" w:hAnsi="Calibri" w:cs="Calibri"/>
        </w:rPr>
        <w:t>bortezomib</w:t>
      </w:r>
      <w:proofErr w:type="spellEnd"/>
      <w:r w:rsidR="00A60871">
        <w:rPr>
          <w:rFonts w:ascii="Calibri" w:eastAsia="Calibri" w:hAnsi="Calibri" w:cs="Calibri"/>
        </w:rPr>
        <w:t xml:space="preserve"> + lenalidomide + dexamethasone (</w:t>
      </w:r>
      <w:proofErr w:type="spellStart"/>
      <w:r w:rsidR="006A2B10">
        <w:rPr>
          <w:rFonts w:ascii="Calibri" w:eastAsia="Calibri" w:hAnsi="Calibri" w:cs="Calibri"/>
        </w:rPr>
        <w:t>dara</w:t>
      </w:r>
      <w:r w:rsidR="00F46DCA">
        <w:rPr>
          <w:rFonts w:ascii="Calibri" w:eastAsia="Calibri" w:hAnsi="Calibri" w:cs="Calibri"/>
        </w:rPr>
        <w:t>-</w:t>
      </w:r>
      <w:r w:rsidR="00A60871">
        <w:rPr>
          <w:rFonts w:ascii="Calibri" w:eastAsia="Calibri" w:hAnsi="Calibri" w:cs="Calibri"/>
        </w:rPr>
        <w:t>VRd</w:t>
      </w:r>
      <w:proofErr w:type="spellEnd"/>
      <w:r w:rsidR="00A60871">
        <w:rPr>
          <w:rFonts w:ascii="Calibri" w:eastAsia="Calibri" w:hAnsi="Calibri" w:cs="Calibri"/>
        </w:rPr>
        <w:t>) quartet regimen as well as the daratumumab + lenalidomide + dexamethasone (</w:t>
      </w:r>
      <w:proofErr w:type="spellStart"/>
      <w:r w:rsidR="006A2B10">
        <w:rPr>
          <w:rFonts w:ascii="Calibri" w:eastAsia="Calibri" w:hAnsi="Calibri" w:cs="Calibri"/>
        </w:rPr>
        <w:t>dara</w:t>
      </w:r>
      <w:proofErr w:type="spellEnd"/>
      <w:r w:rsidR="006A2B10">
        <w:rPr>
          <w:rFonts w:ascii="Calibri" w:eastAsia="Calibri" w:hAnsi="Calibri" w:cs="Calibri"/>
        </w:rPr>
        <w:t>-</w:t>
      </w:r>
      <w:r w:rsidR="00A60871">
        <w:rPr>
          <w:rFonts w:ascii="Calibri" w:eastAsia="Calibri" w:hAnsi="Calibri" w:cs="Calibri"/>
        </w:rPr>
        <w:t xml:space="preserve">Rd) triplet regimen </w:t>
      </w:r>
      <w:r>
        <w:rPr>
          <w:rFonts w:ascii="Calibri" w:eastAsia="Calibri" w:hAnsi="Calibri" w:cs="Calibri"/>
        </w:rPr>
        <w:t xml:space="preserve">are standard daratumumab-containing first line treatments, with </w:t>
      </w:r>
      <w:proofErr w:type="spellStart"/>
      <w:r w:rsidR="00F46DCA">
        <w:rPr>
          <w:rFonts w:ascii="Calibri" w:eastAsia="Calibri" w:hAnsi="Calibri" w:cs="Calibri"/>
        </w:rPr>
        <w:t>dara-</w:t>
      </w:r>
      <w:r>
        <w:rPr>
          <w:rFonts w:ascii="Calibri" w:eastAsia="Calibri" w:hAnsi="Calibri" w:cs="Calibri"/>
        </w:rPr>
        <w:t>VRd</w:t>
      </w:r>
      <w:proofErr w:type="spellEnd"/>
      <w:r>
        <w:rPr>
          <w:rFonts w:ascii="Calibri" w:eastAsia="Calibri" w:hAnsi="Calibri" w:cs="Calibri"/>
        </w:rPr>
        <w:t xml:space="preserve"> more commonly administered to ASCT transplant eligible patients and </w:t>
      </w:r>
      <w:r w:rsidR="00F46DCA">
        <w:rPr>
          <w:rFonts w:ascii="Calibri" w:eastAsia="Calibri" w:hAnsi="Calibri" w:cs="Calibri"/>
        </w:rPr>
        <w:t>daratumumab-</w:t>
      </w:r>
      <w:r>
        <w:rPr>
          <w:rFonts w:ascii="Calibri" w:eastAsia="Calibri" w:hAnsi="Calibri" w:cs="Calibri"/>
        </w:rPr>
        <w:t>Rd more commonly administered to ASCT patients. W</w:t>
      </w:r>
      <w:r w:rsidR="00A60871">
        <w:rPr>
          <w:rFonts w:ascii="Calibri" w:eastAsia="Calibri" w:hAnsi="Calibri" w:cs="Calibri"/>
        </w:rPr>
        <w:t>e chose to use</w:t>
      </w:r>
      <w:r w:rsidR="00F35C5F">
        <w:rPr>
          <w:rFonts w:ascii="Calibri" w:eastAsia="Calibri" w:hAnsi="Calibri" w:cs="Calibri"/>
        </w:rPr>
        <w:t xml:space="preserve"> survival data from patients treated with </w:t>
      </w:r>
      <w:proofErr w:type="spellStart"/>
      <w:r w:rsidR="00F46DCA">
        <w:rPr>
          <w:rFonts w:ascii="Calibri" w:eastAsia="Calibri" w:hAnsi="Calibri" w:cs="Calibri"/>
        </w:rPr>
        <w:t>dara</w:t>
      </w:r>
      <w:proofErr w:type="spellEnd"/>
      <w:r w:rsidR="00F46DCA">
        <w:rPr>
          <w:rFonts w:ascii="Calibri" w:eastAsia="Calibri" w:hAnsi="Calibri" w:cs="Calibri"/>
        </w:rPr>
        <w:t>-</w:t>
      </w:r>
      <w:r w:rsidR="00F35C5F">
        <w:rPr>
          <w:rFonts w:ascii="Calibri" w:eastAsia="Calibri" w:hAnsi="Calibri" w:cs="Calibri"/>
        </w:rPr>
        <w:t>Rd to inform the treatment effect of the daratumumab-containing treatment category in the first line of treatment</w:t>
      </w:r>
      <w:r>
        <w:rPr>
          <w:rFonts w:ascii="Calibri" w:eastAsia="Calibri" w:hAnsi="Calibri" w:cs="Calibri"/>
        </w:rPr>
        <w:t>. This is</w:t>
      </w:r>
      <w:r w:rsidR="00F35C5F">
        <w:rPr>
          <w:rFonts w:ascii="Calibri" w:eastAsia="Calibri" w:hAnsi="Calibri" w:cs="Calibri"/>
        </w:rPr>
        <w:t xml:space="preserve"> because</w:t>
      </w:r>
      <w:r>
        <w:rPr>
          <w:rFonts w:ascii="Calibri" w:eastAsia="Calibri" w:hAnsi="Calibri" w:cs="Calibri"/>
        </w:rPr>
        <w:t>,</w:t>
      </w:r>
      <w:r w:rsidR="00F35C5F">
        <w:rPr>
          <w:rFonts w:ascii="Calibri" w:eastAsia="Calibri" w:hAnsi="Calibri" w:cs="Calibri"/>
        </w:rPr>
        <w:t xml:space="preserve"> as reported in </w:t>
      </w:r>
      <w:proofErr w:type="spellStart"/>
      <w:r w:rsidR="00F35C5F">
        <w:rPr>
          <w:rFonts w:ascii="Calibri" w:eastAsia="Calibri" w:hAnsi="Calibri" w:cs="Calibri"/>
        </w:rPr>
        <w:t>Braunlin</w:t>
      </w:r>
      <w:proofErr w:type="spellEnd"/>
      <w:r w:rsidR="00F35C5F">
        <w:rPr>
          <w:rFonts w:ascii="Calibri" w:eastAsia="Calibri" w:hAnsi="Calibri" w:cs="Calibri"/>
        </w:rPr>
        <w:t xml:space="preserve"> et al. (2019), triplet regimens are significantly more common than quartet regimens in the first line of treatment</w:t>
      </w:r>
      <w:r w:rsidR="00E3348B">
        <w:rPr>
          <w:rFonts w:ascii="Calibri" w:eastAsia="Calibri" w:hAnsi="Calibri" w:cs="Calibri"/>
        </w:rPr>
        <w:t xml:space="preserve"> and </w:t>
      </w:r>
      <w:proofErr w:type="spellStart"/>
      <w:r w:rsidR="00E3348B">
        <w:rPr>
          <w:rFonts w:ascii="Calibri" w:eastAsia="Calibri" w:hAnsi="Calibri" w:cs="Calibri"/>
        </w:rPr>
        <w:t>Braunlin</w:t>
      </w:r>
      <w:proofErr w:type="spellEnd"/>
      <w:r w:rsidR="00E3348B">
        <w:rPr>
          <w:rFonts w:ascii="Calibri" w:eastAsia="Calibri" w:hAnsi="Calibri" w:cs="Calibri"/>
        </w:rPr>
        <w:t xml:space="preserve"> et al. (2019) reports specifically on the coverage of first line treatment with a monoclonal antibody, an immunomodulatory imide, and dexamethasone, which is inclusive of </w:t>
      </w:r>
      <w:proofErr w:type="spellStart"/>
      <w:r w:rsidR="00F46DCA">
        <w:rPr>
          <w:rFonts w:ascii="Calibri" w:eastAsia="Calibri" w:hAnsi="Calibri" w:cs="Calibri"/>
        </w:rPr>
        <w:t>dara</w:t>
      </w:r>
      <w:proofErr w:type="spellEnd"/>
      <w:r w:rsidR="00F46DCA">
        <w:rPr>
          <w:rFonts w:ascii="Calibri" w:eastAsia="Calibri" w:hAnsi="Calibri" w:cs="Calibri"/>
        </w:rPr>
        <w:t>-</w:t>
      </w:r>
      <w:r w:rsidR="00E3348B">
        <w:rPr>
          <w:rFonts w:ascii="Calibri" w:eastAsia="Calibri" w:hAnsi="Calibri" w:cs="Calibri"/>
        </w:rPr>
        <w:t>Rd</w:t>
      </w:r>
      <w:r w:rsidR="00F35C5F">
        <w:rPr>
          <w:rFonts w:ascii="Calibri" w:eastAsia="Calibri" w:hAnsi="Calibri" w:cs="Calibri"/>
        </w:rPr>
        <w:t>.</w:t>
      </w:r>
      <w:r>
        <w:rPr>
          <w:rFonts w:ascii="Calibri" w:eastAsia="Calibri" w:hAnsi="Calibri" w:cs="Calibri"/>
        </w:rPr>
        <w:t xml:space="preserve"> Therefore, the survival outcomes for the daratumumab-containing treatment category in the first line of treatment in our model is informed by survival data from the MAIA trial, which studied </w:t>
      </w:r>
      <w:proofErr w:type="spellStart"/>
      <w:r w:rsidR="00F46DCA">
        <w:rPr>
          <w:rFonts w:ascii="Calibri" w:eastAsia="Calibri" w:hAnsi="Calibri" w:cs="Calibri"/>
        </w:rPr>
        <w:t>dara</w:t>
      </w:r>
      <w:proofErr w:type="spellEnd"/>
      <w:r w:rsidR="00F46DCA">
        <w:rPr>
          <w:rFonts w:ascii="Calibri" w:eastAsia="Calibri" w:hAnsi="Calibri" w:cs="Calibri"/>
        </w:rPr>
        <w:t>-</w:t>
      </w:r>
      <w:r>
        <w:rPr>
          <w:rFonts w:ascii="Calibri" w:eastAsia="Calibri" w:hAnsi="Calibri" w:cs="Calibri"/>
        </w:rPr>
        <w:t xml:space="preserve">Rd treatment among transplant ineligible patients. </w:t>
      </w:r>
      <w:r w:rsidR="00E3348B">
        <w:rPr>
          <w:rFonts w:ascii="Calibri" w:eastAsia="Calibri" w:hAnsi="Calibri" w:cs="Calibri"/>
        </w:rPr>
        <w:t>We will generalize the outcomes of this trial that is</w:t>
      </w:r>
      <w:r>
        <w:rPr>
          <w:rFonts w:ascii="Calibri" w:eastAsia="Calibri" w:hAnsi="Calibri" w:cs="Calibri"/>
        </w:rPr>
        <w:t xml:space="preserve"> specific</w:t>
      </w:r>
      <w:r w:rsidR="00E3348B">
        <w:rPr>
          <w:rFonts w:ascii="Calibri" w:eastAsia="Calibri" w:hAnsi="Calibri" w:cs="Calibri"/>
        </w:rPr>
        <w:t xml:space="preserve"> </w:t>
      </w:r>
      <w:r>
        <w:rPr>
          <w:rFonts w:ascii="Calibri" w:eastAsia="Calibri" w:hAnsi="Calibri" w:cs="Calibri"/>
        </w:rPr>
        <w:t>to tran</w:t>
      </w:r>
      <w:r w:rsidR="00E3348B">
        <w:rPr>
          <w:rFonts w:ascii="Calibri" w:eastAsia="Calibri" w:hAnsi="Calibri" w:cs="Calibri"/>
        </w:rPr>
        <w:t>splant ineligible patients, which is a limita</w:t>
      </w:r>
      <w:bookmarkStart w:id="0" w:name="_GoBack"/>
      <w:bookmarkEnd w:id="0"/>
      <w:r w:rsidR="00E3348B">
        <w:rPr>
          <w:rFonts w:ascii="Calibri" w:eastAsia="Calibri" w:hAnsi="Calibri" w:cs="Calibri"/>
        </w:rPr>
        <w:t xml:space="preserve">tion </w:t>
      </w:r>
      <w:r>
        <w:rPr>
          <w:rFonts w:ascii="Calibri" w:eastAsia="Calibri" w:hAnsi="Calibri" w:cs="Calibri"/>
        </w:rPr>
        <w:t>of our analysis, although adjustment for confounding by age (as well as sex, cytogenetic risk, and renal function</w:t>
      </w:r>
      <w:r w:rsidR="00E3348B">
        <w:rPr>
          <w:rFonts w:ascii="Calibri" w:eastAsia="Calibri" w:hAnsi="Calibri" w:cs="Calibri"/>
        </w:rPr>
        <w:t xml:space="preserve"> in the same manner described for the ICARIA trial</w:t>
      </w:r>
      <w:r>
        <w:rPr>
          <w:rFonts w:ascii="Calibri" w:eastAsia="Calibri" w:hAnsi="Calibri" w:cs="Calibri"/>
        </w:rPr>
        <w:t xml:space="preserve">) </w:t>
      </w:r>
      <w:r w:rsidR="00E3348B">
        <w:rPr>
          <w:rFonts w:ascii="Calibri" w:eastAsia="Calibri" w:hAnsi="Calibri" w:cs="Calibri"/>
        </w:rPr>
        <w:t>will partially address this limitation.</w:t>
      </w:r>
    </w:p>
    <w:p w14:paraId="6B68BA71" w14:textId="77777777" w:rsidR="006A2B10" w:rsidRDefault="00103FDC" w:rsidP="00103FDC">
      <w:pPr>
        <w:spacing w:line="257" w:lineRule="auto"/>
        <w:rPr>
          <w:rFonts w:ascii="Calibri" w:eastAsia="Calibri" w:hAnsi="Calibri" w:cs="Calibri"/>
        </w:rPr>
      </w:pPr>
      <w:r>
        <w:rPr>
          <w:rFonts w:ascii="Calibri" w:eastAsia="Calibri" w:hAnsi="Calibri" w:cs="Calibri"/>
        </w:rPr>
        <w:t>In the relapsed and refractory setting, s</w:t>
      </w:r>
      <w:r w:rsidRPr="3B723640">
        <w:rPr>
          <w:rFonts w:ascii="Calibri" w:eastAsia="Calibri" w:hAnsi="Calibri" w:cs="Calibri"/>
        </w:rPr>
        <w:t>urvival data for the</w:t>
      </w:r>
      <w:r>
        <w:rPr>
          <w:rFonts w:ascii="Calibri" w:eastAsia="Calibri" w:hAnsi="Calibri" w:cs="Calibri"/>
        </w:rPr>
        <w:t xml:space="preserve"> daratumumab-containing treatment category</w:t>
      </w:r>
      <w:r w:rsidRPr="3B723640">
        <w:rPr>
          <w:rFonts w:ascii="Calibri" w:eastAsia="Calibri" w:hAnsi="Calibri" w:cs="Calibri"/>
        </w:rPr>
        <w:t xml:space="preserve"> will be </w:t>
      </w:r>
      <w:r>
        <w:rPr>
          <w:rFonts w:ascii="Calibri" w:eastAsia="Calibri" w:hAnsi="Calibri" w:cs="Calibri"/>
        </w:rPr>
        <w:t>informed</w:t>
      </w:r>
      <w:r w:rsidRPr="3B723640">
        <w:rPr>
          <w:rFonts w:ascii="Calibri" w:eastAsia="Calibri" w:hAnsi="Calibri" w:cs="Calibri"/>
        </w:rPr>
        <w:t xml:space="preserve"> from the POLLUX trial (</w:t>
      </w:r>
      <w:proofErr w:type="spellStart"/>
      <w:r w:rsidRPr="3B723640">
        <w:rPr>
          <w:rFonts w:ascii="Calibri" w:eastAsia="Calibri" w:hAnsi="Calibri" w:cs="Calibri"/>
        </w:rPr>
        <w:t>Bahlis</w:t>
      </w:r>
      <w:proofErr w:type="spellEnd"/>
      <w:r w:rsidRPr="3B723640">
        <w:rPr>
          <w:rFonts w:ascii="Calibri" w:eastAsia="Calibri" w:hAnsi="Calibri" w:cs="Calibri"/>
        </w:rPr>
        <w:t xml:space="preserve"> et al., 2020)</w:t>
      </w:r>
      <w:r>
        <w:rPr>
          <w:rFonts w:ascii="Calibri" w:eastAsia="Calibri" w:hAnsi="Calibri" w:cs="Calibri"/>
        </w:rPr>
        <w:t xml:space="preserve">, which reports survival data specific to </w:t>
      </w:r>
      <w:r w:rsidRPr="3B723640">
        <w:rPr>
          <w:rFonts w:ascii="Calibri" w:eastAsia="Calibri" w:hAnsi="Calibri" w:cs="Calibri"/>
        </w:rPr>
        <w:t>daratumumab + lenalidomide + dexamethasone</w:t>
      </w:r>
      <w:r>
        <w:rPr>
          <w:rFonts w:ascii="Calibri" w:eastAsia="Calibri" w:hAnsi="Calibri" w:cs="Calibri"/>
        </w:rPr>
        <w:t xml:space="preserve"> treatment regimen. Data from this study will be</w:t>
      </w:r>
      <w:r w:rsidRPr="3B723640">
        <w:rPr>
          <w:rFonts w:ascii="Calibri" w:eastAsia="Calibri" w:hAnsi="Calibri" w:cs="Calibri"/>
        </w:rPr>
        <w:t xml:space="preserve"> adjusted for relevant confounding factors in the same manner described for</w:t>
      </w:r>
      <w:r>
        <w:rPr>
          <w:rFonts w:ascii="Calibri" w:eastAsia="Calibri" w:hAnsi="Calibri" w:cs="Calibri"/>
        </w:rPr>
        <w:t xml:space="preserve"> the ICARIA trial.</w:t>
      </w:r>
    </w:p>
    <w:p w14:paraId="2BC57C3C" w14:textId="77777777" w:rsidR="00C745B4" w:rsidRDefault="00C745B4" w:rsidP="00C745B4">
      <w:pPr>
        <w:spacing w:line="257" w:lineRule="auto"/>
      </w:pPr>
      <w:r w:rsidRPr="74589ED8">
        <w:rPr>
          <w:rFonts w:ascii="Calibri" w:eastAsia="Calibri" w:hAnsi="Calibri" w:cs="Calibri"/>
          <w:i/>
          <w:iCs/>
        </w:rPr>
        <w:t>Residual Treatment Category Survival Function</w:t>
      </w:r>
    </w:p>
    <w:p w14:paraId="523BD4F3" w14:textId="77777777" w:rsidR="00C745B4" w:rsidRDefault="00C745B4" w:rsidP="00C745B4">
      <w:pPr>
        <w:spacing w:line="257" w:lineRule="auto"/>
      </w:pPr>
      <w:r w:rsidRPr="74589ED8">
        <w:rPr>
          <w:rFonts w:ascii="Calibri" w:eastAsia="Calibri" w:hAnsi="Calibri" w:cs="Calibri"/>
        </w:rPr>
        <w:t xml:space="preserve">We will solve for the survival function of the residual treatment category using the equation below for each modeled treatment category, </w:t>
      </w:r>
      <w:proofErr w:type="spellStart"/>
      <w:r w:rsidRPr="74589ED8">
        <w:rPr>
          <w:rFonts w:ascii="Calibri" w:eastAsia="Calibri" w:hAnsi="Calibri" w:cs="Calibri"/>
          <w:i/>
          <w:iCs/>
        </w:rPr>
        <w:t>tx</w:t>
      </w:r>
      <w:proofErr w:type="spellEnd"/>
      <w:r w:rsidRPr="74589ED8">
        <w:rPr>
          <w:rFonts w:ascii="Calibri" w:eastAsia="Calibri" w:hAnsi="Calibri" w:cs="Calibri"/>
        </w:rPr>
        <w:t>.</w:t>
      </w:r>
    </w:p>
    <w:p w14:paraId="5C654F3C" w14:textId="77777777" w:rsidR="00C745B4" w:rsidRDefault="00C745B4" w:rsidP="00E636DE">
      <w:pPr>
        <w:spacing w:line="257" w:lineRule="auto"/>
        <w:jc w:val="center"/>
        <w:rPr>
          <w:rFonts w:ascii="Calibri" w:eastAsia="Calibri" w:hAnsi="Calibri" w:cs="Calibri"/>
        </w:rPr>
      </w:pPr>
      <w:r>
        <w:rPr>
          <w:noProof/>
          <w:color w:val="2B579A"/>
          <w:shd w:val="clear" w:color="auto" w:fill="E6E6E6"/>
        </w:rPr>
        <w:lastRenderedPageBreak/>
        <w:drawing>
          <wp:inline distT="0" distB="0" distL="0" distR="0" wp14:anchorId="4CE1137B" wp14:editId="71B53151">
            <wp:extent cx="2114551" cy="531829"/>
            <wp:effectExtent l="0" t="0" r="0" b="0"/>
            <wp:docPr id="1264408189" name="Picture 126440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14551" cy="531829"/>
                    </a:xfrm>
                    <a:prstGeom prst="rect">
                      <a:avLst/>
                    </a:prstGeom>
                  </pic:spPr>
                </pic:pic>
              </a:graphicData>
            </a:graphic>
          </wp:inline>
        </w:drawing>
      </w:r>
    </w:p>
    <w:p w14:paraId="359D8C49" w14:textId="77777777" w:rsidR="00C745B4" w:rsidRDefault="00C745B4" w:rsidP="00C745B4">
      <w:pPr>
        <w:spacing w:line="257" w:lineRule="auto"/>
      </w:pPr>
      <w:r w:rsidRPr="74589ED8">
        <w:rPr>
          <w:rFonts w:ascii="Calibri" w:eastAsia="Calibri" w:hAnsi="Calibri" w:cs="Calibri"/>
          <w:i/>
          <w:iCs/>
        </w:rPr>
        <w:t>Hazard Ratios</w:t>
      </w:r>
    </w:p>
    <w:p w14:paraId="781B9E0A" w14:textId="77777777" w:rsidR="00C745B4" w:rsidRDefault="00C745B4" w:rsidP="00C745B4">
      <w:pPr>
        <w:spacing w:line="257" w:lineRule="auto"/>
      </w:pPr>
      <w:r w:rsidRPr="74589ED8">
        <w:rPr>
          <w:rFonts w:ascii="Calibri" w:eastAsia="Calibri" w:hAnsi="Calibri" w:cs="Calibri"/>
        </w:rPr>
        <w:t>Using the survival functions for each treatment as described above and the following equations, we will solve for the hazard ratio (HR) of each treatment group relative to the residual treatment category.</w:t>
      </w:r>
    </w:p>
    <w:p w14:paraId="568AD773" w14:textId="77777777" w:rsidR="00C745B4" w:rsidRDefault="00C745B4" w:rsidP="00E636DE">
      <w:pPr>
        <w:spacing w:line="257" w:lineRule="auto"/>
        <w:jc w:val="center"/>
      </w:pPr>
      <w:r>
        <w:rPr>
          <w:noProof/>
          <w:color w:val="2B579A"/>
          <w:shd w:val="clear" w:color="auto" w:fill="E6E6E6"/>
        </w:rPr>
        <w:drawing>
          <wp:inline distT="0" distB="0" distL="0" distR="0" wp14:anchorId="4F31F63F" wp14:editId="4AC0B89C">
            <wp:extent cx="1085850" cy="803024"/>
            <wp:effectExtent l="0" t="0" r="0" b="0"/>
            <wp:docPr id="1333399751" name="Picture 133339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085850" cy="803024"/>
                    </a:xfrm>
                    <a:prstGeom prst="rect">
                      <a:avLst/>
                    </a:prstGeom>
                  </pic:spPr>
                </pic:pic>
              </a:graphicData>
            </a:graphic>
          </wp:inline>
        </w:drawing>
      </w:r>
    </w:p>
    <w:p w14:paraId="27782D52" w14:textId="77777777" w:rsidR="00C745B4" w:rsidRDefault="00C745B4" w:rsidP="00C745B4">
      <w:pPr>
        <w:spacing w:line="257" w:lineRule="auto"/>
        <w:rPr>
          <w:rFonts w:ascii="Calibri" w:eastAsia="Calibri" w:hAnsi="Calibri" w:cs="Calibri"/>
        </w:rPr>
      </w:pPr>
      <w:r w:rsidRPr="74589ED8">
        <w:rPr>
          <w:rFonts w:ascii="Calibri" w:eastAsia="Calibri" w:hAnsi="Calibri" w:cs="Calibri"/>
        </w:rPr>
        <w:t>Notably, we will assume that the hazard ratios derived from third line of treatment data are the same across all lines of treatment</w:t>
      </w:r>
      <w:r>
        <w:rPr>
          <w:rFonts w:ascii="Calibri" w:eastAsia="Calibri" w:hAnsi="Calibri" w:cs="Calibri"/>
        </w:rPr>
        <w:t xml:space="preserve"> in the relapsed/refractory setting</w:t>
      </w:r>
      <w:r w:rsidRPr="74589ED8">
        <w:rPr>
          <w:rFonts w:ascii="Calibri" w:eastAsia="Calibri" w:hAnsi="Calibri" w:cs="Calibri"/>
        </w:rPr>
        <w:t>. We will then use these estimated hazard ratios to inform the relative progression free survival and overall survival rates among simulants in the various treatment categories in our simulation.</w:t>
      </w:r>
    </w:p>
    <w:p w14:paraId="486F74C3" w14:textId="77777777" w:rsidR="00D24922" w:rsidRDefault="00574CD5" w:rsidP="00574CD5">
      <w:pPr>
        <w:spacing w:line="257" w:lineRule="auto"/>
        <w:jc w:val="center"/>
        <w:rPr>
          <w:rFonts w:ascii="Calibri" w:eastAsia="Calibri" w:hAnsi="Calibri" w:cs="Calibri"/>
          <w:b/>
        </w:rPr>
      </w:pPr>
      <w:r w:rsidRPr="00574CD5">
        <w:rPr>
          <w:rFonts w:ascii="Calibri" w:eastAsia="Calibri" w:hAnsi="Calibri" w:cs="Calibri"/>
          <w:b/>
        </w:rPr>
        <w:t>Estimation of Treatment Effects</w:t>
      </w:r>
    </w:p>
    <w:p w14:paraId="76DF2BBC" w14:textId="77777777" w:rsidR="00574CD5" w:rsidRPr="00574CD5" w:rsidRDefault="00574CD5" w:rsidP="00574CD5">
      <w:pPr>
        <w:spacing w:line="257" w:lineRule="auto"/>
        <w:rPr>
          <w:rFonts w:ascii="Calibri" w:eastAsia="Calibri" w:hAnsi="Calibri" w:cs="Calibri"/>
        </w:rPr>
      </w:pPr>
      <w:r w:rsidRPr="00574CD5">
        <w:rPr>
          <w:rFonts w:ascii="Calibri" w:eastAsia="Calibri" w:hAnsi="Calibri" w:cs="Calibri"/>
        </w:rPr>
        <w:t>The foll</w:t>
      </w:r>
      <w:r>
        <w:rPr>
          <w:rFonts w:ascii="Calibri" w:eastAsia="Calibri" w:hAnsi="Calibri" w:cs="Calibri"/>
        </w:rPr>
        <w:t>owing section walks through the specific methods and steps used to derive the hazard ratios for each treatment category, as briefly outlined in the previous section. We performed this process separately for the first line of treatment and for later lines of treatment.</w:t>
      </w:r>
    </w:p>
    <w:p w14:paraId="6A9DD5C3" w14:textId="77777777" w:rsidR="00F46B99" w:rsidRPr="00F46B99" w:rsidRDefault="00574CD5" w:rsidP="00C745B4">
      <w:pPr>
        <w:spacing w:line="257" w:lineRule="auto"/>
        <w:rPr>
          <w:rFonts w:ascii="Calibri" w:eastAsia="Calibri" w:hAnsi="Calibri" w:cs="Calibri"/>
          <w:u w:val="single"/>
        </w:rPr>
      </w:pPr>
      <w:r w:rsidRPr="00574CD5">
        <w:rPr>
          <w:rFonts w:ascii="Calibri" w:eastAsia="Calibri" w:hAnsi="Calibri" w:cs="Calibri"/>
          <w:u w:val="single"/>
        </w:rPr>
        <w:t>First Line of Treatment</w:t>
      </w:r>
    </w:p>
    <w:p w14:paraId="441E8D74" w14:textId="77777777" w:rsidR="006540C5" w:rsidRDefault="00F46B99" w:rsidP="00C745B4">
      <w:pPr>
        <w:spacing w:line="257" w:lineRule="auto"/>
        <w:rPr>
          <w:rFonts w:ascii="Calibri" w:eastAsia="Calibri" w:hAnsi="Calibri" w:cs="Calibri"/>
        </w:rPr>
      </w:pPr>
      <w:r>
        <w:rPr>
          <w:rFonts w:ascii="Calibri" w:eastAsia="Calibri" w:hAnsi="Calibri" w:cs="Calibri"/>
        </w:rPr>
        <w:t>The data sources used to inform the survival rates at the first line of treatment in our model include Flatiron health data (</w:t>
      </w:r>
      <w:proofErr w:type="spellStart"/>
      <w:r>
        <w:rPr>
          <w:rFonts w:ascii="Calibri" w:eastAsia="Calibri" w:hAnsi="Calibri" w:cs="Calibri"/>
        </w:rPr>
        <w:t>Braunlin</w:t>
      </w:r>
      <w:proofErr w:type="spellEnd"/>
      <w:r>
        <w:rPr>
          <w:rFonts w:ascii="Calibri" w:eastAsia="Calibri" w:hAnsi="Calibri" w:cs="Calibri"/>
        </w:rPr>
        <w:t xml:space="preserve"> et al., 2020) and the </w:t>
      </w:r>
      <w:proofErr w:type="spellStart"/>
      <w:r w:rsidR="006540C5">
        <w:rPr>
          <w:rFonts w:ascii="Calibri" w:eastAsia="Calibri" w:hAnsi="Calibri" w:cs="Calibri"/>
        </w:rPr>
        <w:t>dara</w:t>
      </w:r>
      <w:proofErr w:type="spellEnd"/>
      <w:r w:rsidR="006540C5">
        <w:rPr>
          <w:rFonts w:ascii="Calibri" w:eastAsia="Calibri" w:hAnsi="Calibri" w:cs="Calibri"/>
        </w:rPr>
        <w:t xml:space="preserve">-Rd arm of the </w:t>
      </w:r>
      <w:r>
        <w:rPr>
          <w:rFonts w:ascii="Calibri" w:eastAsia="Calibri" w:hAnsi="Calibri" w:cs="Calibri"/>
        </w:rPr>
        <w:t>MAIA trial (</w:t>
      </w:r>
      <w:r w:rsidR="005510E8">
        <w:rPr>
          <w:rFonts w:ascii="Calibri" w:eastAsia="Calibri" w:hAnsi="Calibri" w:cs="Calibri"/>
        </w:rPr>
        <w:t>Moreau et al., 2021</w:t>
      </w:r>
      <w:r>
        <w:rPr>
          <w:rFonts w:ascii="Calibri" w:eastAsia="Calibri" w:hAnsi="Calibri" w:cs="Calibri"/>
        </w:rPr>
        <w:t xml:space="preserve">). </w:t>
      </w:r>
      <w:r w:rsidR="006540C5">
        <w:rPr>
          <w:rFonts w:ascii="Calibri" w:eastAsia="Calibri" w:hAnsi="Calibri" w:cs="Calibri"/>
        </w:rPr>
        <w:t>The table below presents survival rates among the two populations.</w:t>
      </w:r>
    </w:p>
    <w:p w14:paraId="63257F65" w14:textId="77777777" w:rsidR="006540C5" w:rsidRPr="006540C5" w:rsidRDefault="006540C5" w:rsidP="00C745B4">
      <w:pPr>
        <w:spacing w:line="257" w:lineRule="auto"/>
        <w:rPr>
          <w:rFonts w:ascii="Calibri" w:eastAsia="Calibri" w:hAnsi="Calibri" w:cs="Calibri"/>
          <w:sz w:val="16"/>
        </w:rPr>
      </w:pPr>
      <w:r w:rsidRPr="005510E8">
        <w:rPr>
          <w:rFonts w:ascii="Calibri" w:eastAsia="Calibri" w:hAnsi="Calibri" w:cs="Calibri"/>
          <w:sz w:val="16"/>
        </w:rPr>
        <w:t xml:space="preserve">Table </w:t>
      </w:r>
      <w:r>
        <w:rPr>
          <w:rFonts w:ascii="Calibri" w:eastAsia="Calibri" w:hAnsi="Calibri" w:cs="Calibri"/>
          <w:sz w:val="16"/>
        </w:rPr>
        <w:t>5</w:t>
      </w:r>
      <w:r w:rsidRPr="005510E8">
        <w:rPr>
          <w:rFonts w:ascii="Calibri" w:eastAsia="Calibri" w:hAnsi="Calibri" w:cs="Calibri"/>
          <w:sz w:val="16"/>
        </w:rPr>
        <w:t xml:space="preserve">. </w:t>
      </w:r>
      <w:r>
        <w:rPr>
          <w:rFonts w:ascii="Calibri" w:eastAsia="Calibri" w:hAnsi="Calibri" w:cs="Calibri"/>
          <w:sz w:val="16"/>
        </w:rPr>
        <w:t>Survival data fr</w:t>
      </w:r>
      <w:r w:rsidR="003D699F">
        <w:rPr>
          <w:rFonts w:ascii="Calibri" w:eastAsia="Calibri" w:hAnsi="Calibri" w:cs="Calibri"/>
          <w:sz w:val="16"/>
        </w:rPr>
        <w:t>o</w:t>
      </w:r>
      <w:r>
        <w:rPr>
          <w:rFonts w:ascii="Calibri" w:eastAsia="Calibri" w:hAnsi="Calibri" w:cs="Calibri"/>
          <w:sz w:val="16"/>
        </w:rPr>
        <w:t>m</w:t>
      </w:r>
      <w:r w:rsidRPr="005510E8">
        <w:rPr>
          <w:rFonts w:ascii="Calibri" w:eastAsia="Calibri" w:hAnsi="Calibri" w:cs="Calibri"/>
          <w:sz w:val="16"/>
        </w:rPr>
        <w:t xml:space="preserve"> Flatiron health study and the MAIA trail populati</w:t>
      </w:r>
      <w:r>
        <w:rPr>
          <w:rFonts w:ascii="Calibri" w:eastAsia="Calibri" w:hAnsi="Calibri" w:cs="Calibri"/>
          <w:sz w:val="16"/>
        </w:rPr>
        <w:t>ons.</w:t>
      </w:r>
    </w:p>
    <w:tbl>
      <w:tblPr>
        <w:tblStyle w:val="TableGrid"/>
        <w:tblW w:w="0" w:type="auto"/>
        <w:tblLook w:val="04A0" w:firstRow="1" w:lastRow="0" w:firstColumn="1" w:lastColumn="0" w:noHBand="0" w:noVBand="1"/>
      </w:tblPr>
      <w:tblGrid>
        <w:gridCol w:w="3116"/>
        <w:gridCol w:w="3117"/>
        <w:gridCol w:w="3117"/>
      </w:tblGrid>
      <w:tr w:rsidR="006540C5" w14:paraId="622EBCE8" w14:textId="77777777" w:rsidTr="006540C5">
        <w:tc>
          <w:tcPr>
            <w:tcW w:w="3116" w:type="dxa"/>
          </w:tcPr>
          <w:p w14:paraId="309520E1" w14:textId="77777777" w:rsidR="006540C5" w:rsidRPr="006540C5" w:rsidRDefault="006540C5" w:rsidP="00C745B4">
            <w:pPr>
              <w:spacing w:line="257" w:lineRule="auto"/>
              <w:rPr>
                <w:rFonts w:ascii="Calibri" w:eastAsia="Calibri" w:hAnsi="Calibri" w:cs="Calibri"/>
                <w:b/>
              </w:rPr>
            </w:pPr>
            <w:r w:rsidRPr="006540C5">
              <w:rPr>
                <w:rFonts w:ascii="Calibri" w:eastAsia="Calibri" w:hAnsi="Calibri" w:cs="Calibri"/>
                <w:b/>
              </w:rPr>
              <w:t>Parameter</w:t>
            </w:r>
          </w:p>
        </w:tc>
        <w:tc>
          <w:tcPr>
            <w:tcW w:w="3117" w:type="dxa"/>
          </w:tcPr>
          <w:p w14:paraId="641B33C0" w14:textId="77777777" w:rsidR="006540C5" w:rsidRPr="006540C5" w:rsidRDefault="006540C5" w:rsidP="00C745B4">
            <w:pPr>
              <w:spacing w:line="257" w:lineRule="auto"/>
              <w:rPr>
                <w:rFonts w:ascii="Calibri" w:eastAsia="Calibri" w:hAnsi="Calibri" w:cs="Calibri"/>
                <w:b/>
              </w:rPr>
            </w:pPr>
            <w:r w:rsidRPr="006540C5">
              <w:rPr>
                <w:rFonts w:ascii="Calibri" w:eastAsia="Calibri" w:hAnsi="Calibri" w:cs="Calibri"/>
                <w:b/>
              </w:rPr>
              <w:t>Flatiron Health (</w:t>
            </w:r>
            <w:proofErr w:type="spellStart"/>
            <w:r w:rsidRPr="006540C5">
              <w:rPr>
                <w:rFonts w:ascii="Calibri" w:eastAsia="Calibri" w:hAnsi="Calibri" w:cs="Calibri"/>
                <w:b/>
              </w:rPr>
              <w:t>Braunlin</w:t>
            </w:r>
            <w:proofErr w:type="spellEnd"/>
            <w:r w:rsidRPr="006540C5">
              <w:rPr>
                <w:rFonts w:ascii="Calibri" w:eastAsia="Calibri" w:hAnsi="Calibri" w:cs="Calibri"/>
                <w:b/>
              </w:rPr>
              <w:t xml:space="preserve"> et al. 2019)</w:t>
            </w:r>
          </w:p>
        </w:tc>
        <w:tc>
          <w:tcPr>
            <w:tcW w:w="3117" w:type="dxa"/>
          </w:tcPr>
          <w:p w14:paraId="029D28B1" w14:textId="77777777" w:rsidR="006540C5" w:rsidRPr="006540C5" w:rsidRDefault="006540C5" w:rsidP="00C745B4">
            <w:pPr>
              <w:spacing w:line="257" w:lineRule="auto"/>
              <w:rPr>
                <w:rFonts w:ascii="Calibri" w:eastAsia="Calibri" w:hAnsi="Calibri" w:cs="Calibri"/>
                <w:b/>
              </w:rPr>
            </w:pPr>
            <w:r w:rsidRPr="006540C5">
              <w:rPr>
                <w:rFonts w:ascii="Calibri" w:eastAsia="Calibri" w:hAnsi="Calibri" w:cs="Calibri"/>
                <w:b/>
              </w:rPr>
              <w:t>MAIA Trial – Dara-Rd arm</w:t>
            </w:r>
          </w:p>
        </w:tc>
      </w:tr>
      <w:tr w:rsidR="006540C5" w14:paraId="6C71E09C" w14:textId="77777777" w:rsidTr="006540C5">
        <w:tc>
          <w:tcPr>
            <w:tcW w:w="3116" w:type="dxa"/>
          </w:tcPr>
          <w:p w14:paraId="3611E960" w14:textId="77777777" w:rsidR="006540C5" w:rsidRDefault="006540C5" w:rsidP="00C745B4">
            <w:pPr>
              <w:spacing w:line="257" w:lineRule="auto"/>
              <w:rPr>
                <w:rFonts w:ascii="Calibri" w:eastAsia="Calibri" w:hAnsi="Calibri" w:cs="Calibri"/>
              </w:rPr>
            </w:pPr>
            <w:r>
              <w:rPr>
                <w:rFonts w:ascii="Calibri" w:eastAsia="Calibri" w:hAnsi="Calibri" w:cs="Calibri"/>
              </w:rPr>
              <w:t>Median overall survival</w:t>
            </w:r>
          </w:p>
        </w:tc>
        <w:tc>
          <w:tcPr>
            <w:tcW w:w="3117" w:type="dxa"/>
          </w:tcPr>
          <w:p w14:paraId="6832D13A" w14:textId="77777777" w:rsidR="006540C5" w:rsidRDefault="006540C5" w:rsidP="00C745B4">
            <w:pPr>
              <w:spacing w:line="257" w:lineRule="auto"/>
              <w:rPr>
                <w:rFonts w:ascii="Calibri" w:eastAsia="Calibri" w:hAnsi="Calibri" w:cs="Calibri"/>
              </w:rPr>
            </w:pPr>
            <w:r>
              <w:rPr>
                <w:rFonts w:ascii="Calibri" w:eastAsia="Calibri" w:hAnsi="Calibri" w:cs="Calibri"/>
              </w:rPr>
              <w:t>60 (95% CI: 57 – 62)</w:t>
            </w:r>
          </w:p>
        </w:tc>
        <w:tc>
          <w:tcPr>
            <w:tcW w:w="3117" w:type="dxa"/>
          </w:tcPr>
          <w:p w14:paraId="0091979C" w14:textId="77777777" w:rsidR="006540C5" w:rsidRDefault="006540C5" w:rsidP="00C745B4">
            <w:pPr>
              <w:spacing w:line="257" w:lineRule="auto"/>
              <w:rPr>
                <w:rFonts w:ascii="Calibri" w:eastAsia="Calibri" w:hAnsi="Calibri" w:cs="Calibri"/>
              </w:rPr>
            </w:pPr>
            <w:r>
              <w:rPr>
                <w:rFonts w:ascii="Calibri" w:eastAsia="Calibri" w:hAnsi="Calibri" w:cs="Calibri"/>
              </w:rPr>
              <w:t>Not reached (83.2% of patients survived to 28 months)</w:t>
            </w:r>
          </w:p>
        </w:tc>
      </w:tr>
      <w:tr w:rsidR="006540C5" w14:paraId="58C9544C" w14:textId="77777777" w:rsidTr="006540C5">
        <w:tc>
          <w:tcPr>
            <w:tcW w:w="3116" w:type="dxa"/>
          </w:tcPr>
          <w:p w14:paraId="67C2AF91" w14:textId="77777777" w:rsidR="006540C5" w:rsidRDefault="006540C5" w:rsidP="00C745B4">
            <w:pPr>
              <w:spacing w:line="257" w:lineRule="auto"/>
              <w:rPr>
                <w:rFonts w:ascii="Calibri" w:eastAsia="Calibri" w:hAnsi="Calibri" w:cs="Calibri"/>
              </w:rPr>
            </w:pPr>
            <w:r>
              <w:rPr>
                <w:rFonts w:ascii="Calibri" w:eastAsia="Calibri" w:hAnsi="Calibri" w:cs="Calibri"/>
              </w:rPr>
              <w:t>Median progression free survival</w:t>
            </w:r>
          </w:p>
        </w:tc>
        <w:tc>
          <w:tcPr>
            <w:tcW w:w="3117" w:type="dxa"/>
          </w:tcPr>
          <w:p w14:paraId="32D62C76" w14:textId="77777777" w:rsidR="006540C5" w:rsidRDefault="006540C5" w:rsidP="00C745B4">
            <w:pPr>
              <w:spacing w:line="257" w:lineRule="auto"/>
              <w:rPr>
                <w:rFonts w:ascii="Calibri" w:eastAsia="Calibri" w:hAnsi="Calibri" w:cs="Calibri"/>
              </w:rPr>
            </w:pPr>
            <w:r>
              <w:rPr>
                <w:rFonts w:ascii="Calibri" w:eastAsia="Calibri" w:hAnsi="Calibri" w:cs="Calibri"/>
              </w:rPr>
              <w:t>Not reported</w:t>
            </w:r>
          </w:p>
        </w:tc>
        <w:tc>
          <w:tcPr>
            <w:tcW w:w="3117" w:type="dxa"/>
          </w:tcPr>
          <w:p w14:paraId="5D747C17" w14:textId="77777777" w:rsidR="006540C5" w:rsidRDefault="006540C5" w:rsidP="006540C5">
            <w:pPr>
              <w:spacing w:line="257" w:lineRule="auto"/>
              <w:rPr>
                <w:rFonts w:ascii="Calibri" w:eastAsia="Calibri" w:hAnsi="Calibri" w:cs="Calibri"/>
              </w:rPr>
            </w:pPr>
            <w:r>
              <w:rPr>
                <w:rFonts w:ascii="Calibri" w:eastAsia="Calibri" w:hAnsi="Calibri" w:cs="Calibri"/>
              </w:rPr>
              <w:t>Not reached (70.6% of patients survived without progression to 30 months)</w:t>
            </w:r>
          </w:p>
        </w:tc>
      </w:tr>
      <w:tr w:rsidR="006540C5" w14:paraId="15C5AE55" w14:textId="77777777" w:rsidTr="006540C5">
        <w:tc>
          <w:tcPr>
            <w:tcW w:w="3116" w:type="dxa"/>
          </w:tcPr>
          <w:p w14:paraId="3EB3CE90" w14:textId="77777777" w:rsidR="006540C5" w:rsidRDefault="006540C5" w:rsidP="00C745B4">
            <w:pPr>
              <w:spacing w:line="257" w:lineRule="auto"/>
              <w:rPr>
                <w:rFonts w:ascii="Calibri" w:eastAsia="Calibri" w:hAnsi="Calibri" w:cs="Calibri"/>
              </w:rPr>
            </w:pPr>
            <w:r>
              <w:rPr>
                <w:rFonts w:ascii="Calibri" w:eastAsia="Calibri" w:hAnsi="Calibri" w:cs="Calibri"/>
              </w:rPr>
              <w:t>Median treatment duration</w:t>
            </w:r>
          </w:p>
        </w:tc>
        <w:tc>
          <w:tcPr>
            <w:tcW w:w="3117" w:type="dxa"/>
          </w:tcPr>
          <w:p w14:paraId="130833D2" w14:textId="77777777" w:rsidR="006540C5" w:rsidRDefault="006540C5" w:rsidP="00C745B4">
            <w:pPr>
              <w:spacing w:line="257" w:lineRule="auto"/>
              <w:rPr>
                <w:rFonts w:ascii="Calibri" w:eastAsia="Calibri" w:hAnsi="Calibri" w:cs="Calibri"/>
              </w:rPr>
            </w:pPr>
            <w:r>
              <w:rPr>
                <w:rFonts w:ascii="Calibri" w:eastAsia="Calibri" w:hAnsi="Calibri" w:cs="Calibri"/>
              </w:rPr>
              <w:t>9 (95% CI: 9 – 10)</w:t>
            </w:r>
          </w:p>
        </w:tc>
        <w:tc>
          <w:tcPr>
            <w:tcW w:w="3117" w:type="dxa"/>
          </w:tcPr>
          <w:p w14:paraId="3CB8BA09" w14:textId="77777777" w:rsidR="006540C5" w:rsidRDefault="006540C5" w:rsidP="00C745B4">
            <w:pPr>
              <w:spacing w:line="257" w:lineRule="auto"/>
              <w:rPr>
                <w:rFonts w:ascii="Calibri" w:eastAsia="Calibri" w:hAnsi="Calibri" w:cs="Calibri"/>
              </w:rPr>
            </w:pPr>
            <w:r>
              <w:rPr>
                <w:rFonts w:ascii="Calibri" w:eastAsia="Calibri" w:hAnsi="Calibri" w:cs="Calibri"/>
              </w:rPr>
              <w:t>25.3 (Range: 0.1 to 40.4)</w:t>
            </w:r>
          </w:p>
        </w:tc>
      </w:tr>
    </w:tbl>
    <w:p w14:paraId="5BBDBC28" w14:textId="77777777" w:rsidR="006540C5" w:rsidRDefault="006540C5" w:rsidP="00C745B4">
      <w:pPr>
        <w:spacing w:line="257" w:lineRule="auto"/>
        <w:rPr>
          <w:rFonts w:ascii="Calibri" w:eastAsia="Calibri" w:hAnsi="Calibri" w:cs="Calibri"/>
        </w:rPr>
      </w:pPr>
    </w:p>
    <w:p w14:paraId="18E83D19" w14:textId="77777777" w:rsidR="007D3C12" w:rsidRDefault="007D3C12" w:rsidP="00C745B4">
      <w:pPr>
        <w:spacing w:line="257" w:lineRule="auto"/>
        <w:rPr>
          <w:rFonts w:ascii="Calibri" w:eastAsia="Calibri" w:hAnsi="Calibri" w:cs="Calibri"/>
        </w:rPr>
      </w:pPr>
      <w:r>
        <w:rPr>
          <w:rFonts w:ascii="Calibri" w:eastAsia="Calibri" w:hAnsi="Calibri" w:cs="Calibri"/>
        </w:rPr>
        <w:t xml:space="preserve">The following table presents baseline patient </w:t>
      </w:r>
      <w:r w:rsidR="00F46B99">
        <w:rPr>
          <w:rFonts w:ascii="Calibri" w:eastAsia="Calibri" w:hAnsi="Calibri" w:cs="Calibri"/>
        </w:rPr>
        <w:t>characteristics for each of these studies</w:t>
      </w:r>
      <w:r>
        <w:rPr>
          <w:rFonts w:ascii="Calibri" w:eastAsia="Calibri" w:hAnsi="Calibri" w:cs="Calibri"/>
        </w:rPr>
        <w:t xml:space="preserve">. Notably, the patient characteristics vary </w:t>
      </w:r>
      <w:r w:rsidR="00A32736">
        <w:rPr>
          <w:rFonts w:ascii="Calibri" w:eastAsia="Calibri" w:hAnsi="Calibri" w:cs="Calibri"/>
        </w:rPr>
        <w:t>substantially</w:t>
      </w:r>
      <w:r>
        <w:rPr>
          <w:rFonts w:ascii="Calibri" w:eastAsia="Calibri" w:hAnsi="Calibri" w:cs="Calibri"/>
        </w:rPr>
        <w:t xml:space="preserve"> by </w:t>
      </w:r>
      <w:r w:rsidR="00C9668B">
        <w:rPr>
          <w:rFonts w:ascii="Calibri" w:eastAsia="Calibri" w:hAnsi="Calibri" w:cs="Calibri"/>
        </w:rPr>
        <w:t xml:space="preserve">age, cytogenetic risk, and renal insufficiency distributions, which </w:t>
      </w:r>
      <w:r w:rsidR="00F46B99">
        <w:rPr>
          <w:rFonts w:ascii="Calibri" w:eastAsia="Calibri" w:hAnsi="Calibri" w:cs="Calibri"/>
        </w:rPr>
        <w:t>confound</w:t>
      </w:r>
      <w:r w:rsidR="00C9668B">
        <w:rPr>
          <w:rFonts w:ascii="Calibri" w:eastAsia="Calibri" w:hAnsi="Calibri" w:cs="Calibri"/>
        </w:rPr>
        <w:t xml:space="preserve"> the direct comparison of survival data between these two populations.</w:t>
      </w:r>
    </w:p>
    <w:p w14:paraId="207CB782" w14:textId="77777777" w:rsidR="005510E8" w:rsidRPr="005510E8" w:rsidRDefault="005510E8" w:rsidP="00C745B4">
      <w:pPr>
        <w:spacing w:line="257" w:lineRule="auto"/>
        <w:rPr>
          <w:rFonts w:ascii="Calibri" w:eastAsia="Calibri" w:hAnsi="Calibri" w:cs="Calibri"/>
          <w:sz w:val="16"/>
        </w:rPr>
      </w:pPr>
      <w:r w:rsidRPr="005510E8">
        <w:rPr>
          <w:rFonts w:ascii="Calibri" w:eastAsia="Calibri" w:hAnsi="Calibri" w:cs="Calibri"/>
          <w:sz w:val="16"/>
        </w:rPr>
        <w:t xml:space="preserve">Table </w:t>
      </w:r>
      <w:r w:rsidR="006540C5">
        <w:rPr>
          <w:rFonts w:ascii="Calibri" w:eastAsia="Calibri" w:hAnsi="Calibri" w:cs="Calibri"/>
          <w:sz w:val="16"/>
        </w:rPr>
        <w:t>5</w:t>
      </w:r>
      <w:r w:rsidRPr="005510E8">
        <w:rPr>
          <w:rFonts w:ascii="Calibri" w:eastAsia="Calibri" w:hAnsi="Calibri" w:cs="Calibri"/>
          <w:sz w:val="16"/>
        </w:rPr>
        <w:t>. Demographic comparison of Flatiron health study population and the MAIA trail population.</w:t>
      </w:r>
    </w:p>
    <w:tbl>
      <w:tblPr>
        <w:tblStyle w:val="TableGrid"/>
        <w:tblW w:w="0" w:type="auto"/>
        <w:tblLook w:val="04A0" w:firstRow="1" w:lastRow="0" w:firstColumn="1" w:lastColumn="0" w:noHBand="0" w:noVBand="1"/>
      </w:tblPr>
      <w:tblGrid>
        <w:gridCol w:w="3865"/>
        <w:gridCol w:w="2880"/>
        <w:gridCol w:w="1710"/>
      </w:tblGrid>
      <w:tr w:rsidR="00C9668B" w14:paraId="126563D3" w14:textId="77777777" w:rsidTr="00BB708E">
        <w:tc>
          <w:tcPr>
            <w:tcW w:w="3865" w:type="dxa"/>
          </w:tcPr>
          <w:p w14:paraId="6B98BE61" w14:textId="77777777" w:rsidR="00C9668B" w:rsidRPr="00BB708E" w:rsidRDefault="00C9668B" w:rsidP="001C469C">
            <w:pPr>
              <w:spacing w:line="257" w:lineRule="auto"/>
              <w:rPr>
                <w:rFonts w:ascii="Calibri" w:eastAsia="Calibri" w:hAnsi="Calibri" w:cs="Calibri"/>
                <w:b/>
              </w:rPr>
            </w:pPr>
            <w:r w:rsidRPr="00BB708E">
              <w:rPr>
                <w:rFonts w:ascii="Calibri" w:eastAsia="Calibri" w:hAnsi="Calibri" w:cs="Calibri"/>
                <w:b/>
              </w:rPr>
              <w:lastRenderedPageBreak/>
              <w:t>Parameter</w:t>
            </w:r>
          </w:p>
        </w:tc>
        <w:tc>
          <w:tcPr>
            <w:tcW w:w="2880" w:type="dxa"/>
          </w:tcPr>
          <w:p w14:paraId="5DCC8C5E" w14:textId="77777777" w:rsidR="00C9668B" w:rsidRPr="00BB708E" w:rsidRDefault="00C9668B" w:rsidP="001C469C">
            <w:pPr>
              <w:spacing w:line="257" w:lineRule="auto"/>
              <w:rPr>
                <w:rFonts w:ascii="Calibri" w:eastAsia="Calibri" w:hAnsi="Calibri" w:cs="Calibri"/>
                <w:b/>
              </w:rPr>
            </w:pPr>
            <w:r w:rsidRPr="00BB708E">
              <w:rPr>
                <w:rFonts w:ascii="Calibri" w:eastAsia="Calibri" w:hAnsi="Calibri" w:cs="Calibri"/>
                <w:b/>
              </w:rPr>
              <w:t>Flatiron Health (</w:t>
            </w:r>
            <w:proofErr w:type="spellStart"/>
            <w:r w:rsidRPr="00BB708E">
              <w:rPr>
                <w:rFonts w:ascii="Calibri" w:eastAsia="Calibri" w:hAnsi="Calibri" w:cs="Calibri"/>
                <w:b/>
              </w:rPr>
              <w:t>Braunlin</w:t>
            </w:r>
            <w:proofErr w:type="spellEnd"/>
            <w:r w:rsidRPr="00BB708E">
              <w:rPr>
                <w:rFonts w:ascii="Calibri" w:eastAsia="Calibri" w:hAnsi="Calibri" w:cs="Calibri"/>
                <w:b/>
              </w:rPr>
              <w:t xml:space="preserve"> et al. 2019)</w:t>
            </w:r>
            <w:r w:rsidR="005510E8">
              <w:rPr>
                <w:rFonts w:ascii="Calibri" w:eastAsia="Calibri" w:hAnsi="Calibri" w:cs="Calibri"/>
                <w:b/>
              </w:rPr>
              <w:t>*</w:t>
            </w:r>
          </w:p>
        </w:tc>
        <w:tc>
          <w:tcPr>
            <w:tcW w:w="1710" w:type="dxa"/>
          </w:tcPr>
          <w:p w14:paraId="0B31D92E" w14:textId="77777777" w:rsidR="00C9668B" w:rsidRPr="00BB708E" w:rsidRDefault="00C9668B" w:rsidP="001C469C">
            <w:pPr>
              <w:spacing w:line="257" w:lineRule="auto"/>
              <w:rPr>
                <w:rFonts w:ascii="Calibri" w:eastAsia="Calibri" w:hAnsi="Calibri" w:cs="Calibri"/>
                <w:b/>
              </w:rPr>
            </w:pPr>
            <w:r w:rsidRPr="00BB708E">
              <w:rPr>
                <w:rFonts w:ascii="Calibri" w:eastAsia="Calibri" w:hAnsi="Calibri" w:cs="Calibri"/>
                <w:b/>
              </w:rPr>
              <w:t>MAIA</w:t>
            </w:r>
            <w:r w:rsidR="00A32736" w:rsidRPr="00BB708E">
              <w:rPr>
                <w:rFonts w:ascii="Calibri" w:eastAsia="Calibri" w:hAnsi="Calibri" w:cs="Calibri"/>
                <w:b/>
              </w:rPr>
              <w:t xml:space="preserve"> Trial</w:t>
            </w:r>
            <w:r w:rsidR="009F1D78">
              <w:rPr>
                <w:rFonts w:ascii="Calibri" w:eastAsia="Calibri" w:hAnsi="Calibri" w:cs="Calibri"/>
                <w:b/>
              </w:rPr>
              <w:t xml:space="preserve"> – Dara-Rd arm</w:t>
            </w:r>
          </w:p>
        </w:tc>
      </w:tr>
      <w:tr w:rsidR="00C9668B" w14:paraId="758799C2" w14:textId="77777777" w:rsidTr="00BB708E">
        <w:tc>
          <w:tcPr>
            <w:tcW w:w="3865" w:type="dxa"/>
          </w:tcPr>
          <w:p w14:paraId="56B34C46" w14:textId="77777777" w:rsidR="00C9668B" w:rsidRDefault="00C9668B" w:rsidP="001C469C">
            <w:pPr>
              <w:spacing w:line="257" w:lineRule="auto"/>
              <w:rPr>
                <w:rFonts w:ascii="Calibri" w:eastAsia="Calibri" w:hAnsi="Calibri" w:cs="Calibri"/>
              </w:rPr>
            </w:pPr>
            <w:r>
              <w:rPr>
                <w:rFonts w:ascii="Calibri" w:eastAsia="Calibri" w:hAnsi="Calibri" w:cs="Calibri"/>
              </w:rPr>
              <w:t>Sex, male</w:t>
            </w:r>
          </w:p>
        </w:tc>
        <w:tc>
          <w:tcPr>
            <w:tcW w:w="2880" w:type="dxa"/>
          </w:tcPr>
          <w:p w14:paraId="3782033B" w14:textId="77777777" w:rsidR="00C9668B" w:rsidRDefault="00C9668B" w:rsidP="001C469C">
            <w:pPr>
              <w:spacing w:line="257" w:lineRule="auto"/>
              <w:rPr>
                <w:rFonts w:ascii="Calibri" w:eastAsia="Calibri" w:hAnsi="Calibri" w:cs="Calibri"/>
              </w:rPr>
            </w:pPr>
            <w:r>
              <w:rPr>
                <w:rFonts w:ascii="Calibri" w:eastAsia="Calibri" w:hAnsi="Calibri" w:cs="Calibri"/>
              </w:rPr>
              <w:t>53.9%</w:t>
            </w:r>
          </w:p>
        </w:tc>
        <w:tc>
          <w:tcPr>
            <w:tcW w:w="1710" w:type="dxa"/>
          </w:tcPr>
          <w:p w14:paraId="11C2B432" w14:textId="77777777" w:rsidR="00C9668B" w:rsidRDefault="00C9668B" w:rsidP="001C469C">
            <w:pPr>
              <w:spacing w:line="257" w:lineRule="auto"/>
              <w:rPr>
                <w:rFonts w:ascii="Calibri" w:eastAsia="Calibri" w:hAnsi="Calibri" w:cs="Calibri"/>
              </w:rPr>
            </w:pPr>
            <w:r>
              <w:rPr>
                <w:rFonts w:ascii="Calibri" w:eastAsia="Calibri" w:hAnsi="Calibri" w:cs="Calibri"/>
              </w:rPr>
              <w:t>51.4%</w:t>
            </w:r>
          </w:p>
        </w:tc>
      </w:tr>
      <w:tr w:rsidR="00C9668B" w14:paraId="629204A5" w14:textId="77777777" w:rsidTr="00BB708E">
        <w:tc>
          <w:tcPr>
            <w:tcW w:w="3865" w:type="dxa"/>
          </w:tcPr>
          <w:p w14:paraId="6E229F22" w14:textId="77777777" w:rsidR="00C9668B" w:rsidRDefault="00C9668B" w:rsidP="001C469C">
            <w:pPr>
              <w:spacing w:line="257" w:lineRule="auto"/>
              <w:rPr>
                <w:rFonts w:ascii="Calibri" w:eastAsia="Calibri" w:hAnsi="Calibri" w:cs="Calibri"/>
              </w:rPr>
            </w:pPr>
            <w:r>
              <w:rPr>
                <w:rFonts w:ascii="Calibri" w:eastAsia="Calibri" w:hAnsi="Calibri" w:cs="Calibri"/>
              </w:rPr>
              <w:t>Age, years</w:t>
            </w:r>
          </w:p>
        </w:tc>
        <w:tc>
          <w:tcPr>
            <w:tcW w:w="2880" w:type="dxa"/>
          </w:tcPr>
          <w:p w14:paraId="413FDEB3" w14:textId="77777777" w:rsidR="00C9668B" w:rsidRDefault="00C9668B" w:rsidP="001C469C">
            <w:pPr>
              <w:spacing w:line="257" w:lineRule="auto"/>
              <w:rPr>
                <w:rFonts w:ascii="Calibri" w:eastAsia="Calibri" w:hAnsi="Calibri" w:cs="Calibri"/>
              </w:rPr>
            </w:pPr>
          </w:p>
        </w:tc>
        <w:tc>
          <w:tcPr>
            <w:tcW w:w="1710" w:type="dxa"/>
          </w:tcPr>
          <w:p w14:paraId="4A4F62E7" w14:textId="77777777" w:rsidR="00C9668B" w:rsidRDefault="00C9668B" w:rsidP="001C469C">
            <w:pPr>
              <w:spacing w:line="257" w:lineRule="auto"/>
              <w:rPr>
                <w:rFonts w:ascii="Calibri" w:eastAsia="Calibri" w:hAnsi="Calibri" w:cs="Calibri"/>
              </w:rPr>
            </w:pPr>
          </w:p>
        </w:tc>
      </w:tr>
      <w:tr w:rsidR="00C9668B" w14:paraId="2006A282" w14:textId="77777777" w:rsidTr="00BB708E">
        <w:tc>
          <w:tcPr>
            <w:tcW w:w="3865" w:type="dxa"/>
          </w:tcPr>
          <w:p w14:paraId="16C907C9" w14:textId="77777777" w:rsidR="00C9668B" w:rsidRDefault="00C9668B" w:rsidP="001C469C">
            <w:pPr>
              <w:spacing w:line="257" w:lineRule="auto"/>
              <w:rPr>
                <w:rFonts w:ascii="Calibri" w:eastAsia="Calibri" w:hAnsi="Calibri" w:cs="Calibri"/>
              </w:rPr>
            </w:pPr>
            <w:r>
              <w:rPr>
                <w:rFonts w:ascii="Calibri" w:eastAsia="Calibri" w:hAnsi="Calibri" w:cs="Calibri"/>
              </w:rPr>
              <w:t xml:space="preserve">    50-64</w:t>
            </w:r>
          </w:p>
        </w:tc>
        <w:tc>
          <w:tcPr>
            <w:tcW w:w="2880" w:type="dxa"/>
          </w:tcPr>
          <w:p w14:paraId="393C5554" w14:textId="77777777" w:rsidR="00C9668B" w:rsidRDefault="00C9668B" w:rsidP="001C469C">
            <w:pPr>
              <w:spacing w:line="257" w:lineRule="auto"/>
              <w:rPr>
                <w:rFonts w:ascii="Calibri" w:eastAsia="Calibri" w:hAnsi="Calibri" w:cs="Calibri"/>
              </w:rPr>
            </w:pPr>
            <w:r>
              <w:rPr>
                <w:rFonts w:ascii="Calibri" w:eastAsia="Calibri" w:hAnsi="Calibri" w:cs="Calibri"/>
              </w:rPr>
              <w:t>35.3%</w:t>
            </w:r>
            <w:r w:rsidR="009F1D78">
              <w:rPr>
                <w:rFonts w:ascii="Calibri" w:eastAsia="Calibri" w:hAnsi="Calibri" w:cs="Calibri"/>
              </w:rPr>
              <w:t>*</w:t>
            </w:r>
          </w:p>
        </w:tc>
        <w:tc>
          <w:tcPr>
            <w:tcW w:w="1710" w:type="dxa"/>
          </w:tcPr>
          <w:p w14:paraId="5AA250E7" w14:textId="77777777" w:rsidR="00C9668B" w:rsidRDefault="00C9668B" w:rsidP="001C469C">
            <w:pPr>
              <w:spacing w:line="257" w:lineRule="auto"/>
              <w:rPr>
                <w:rFonts w:ascii="Calibri" w:eastAsia="Calibri" w:hAnsi="Calibri" w:cs="Calibri"/>
              </w:rPr>
            </w:pPr>
            <w:r>
              <w:rPr>
                <w:rFonts w:ascii="Calibri" w:eastAsia="Calibri" w:hAnsi="Calibri" w:cs="Calibri"/>
              </w:rPr>
              <w:t>1.1%</w:t>
            </w:r>
          </w:p>
        </w:tc>
      </w:tr>
      <w:tr w:rsidR="00C9668B" w14:paraId="2DD488D0" w14:textId="77777777" w:rsidTr="00BB708E">
        <w:tc>
          <w:tcPr>
            <w:tcW w:w="3865" w:type="dxa"/>
          </w:tcPr>
          <w:p w14:paraId="399520FB" w14:textId="77777777" w:rsidR="00C9668B" w:rsidRDefault="00C9668B" w:rsidP="001C469C">
            <w:pPr>
              <w:spacing w:line="257" w:lineRule="auto"/>
              <w:rPr>
                <w:rFonts w:ascii="Calibri" w:eastAsia="Calibri" w:hAnsi="Calibri" w:cs="Calibri"/>
              </w:rPr>
            </w:pPr>
            <w:r>
              <w:rPr>
                <w:rFonts w:ascii="Calibri" w:eastAsia="Calibri" w:hAnsi="Calibri" w:cs="Calibri"/>
              </w:rPr>
              <w:t xml:space="preserve">    65-74</w:t>
            </w:r>
          </w:p>
        </w:tc>
        <w:tc>
          <w:tcPr>
            <w:tcW w:w="2880" w:type="dxa"/>
          </w:tcPr>
          <w:p w14:paraId="291F092A" w14:textId="77777777" w:rsidR="00C9668B" w:rsidRDefault="00C9668B" w:rsidP="001C469C">
            <w:pPr>
              <w:spacing w:line="257" w:lineRule="auto"/>
              <w:rPr>
                <w:rFonts w:ascii="Calibri" w:eastAsia="Calibri" w:hAnsi="Calibri" w:cs="Calibri"/>
              </w:rPr>
            </w:pPr>
            <w:r>
              <w:rPr>
                <w:rFonts w:ascii="Calibri" w:eastAsia="Calibri" w:hAnsi="Calibri" w:cs="Calibri"/>
              </w:rPr>
              <w:t>32.5%</w:t>
            </w:r>
          </w:p>
        </w:tc>
        <w:tc>
          <w:tcPr>
            <w:tcW w:w="1710" w:type="dxa"/>
          </w:tcPr>
          <w:p w14:paraId="26AF4AC7" w14:textId="77777777" w:rsidR="00C9668B" w:rsidRDefault="00C9668B" w:rsidP="001C469C">
            <w:pPr>
              <w:spacing w:line="257" w:lineRule="auto"/>
              <w:rPr>
                <w:rFonts w:ascii="Calibri" w:eastAsia="Calibri" w:hAnsi="Calibri" w:cs="Calibri"/>
              </w:rPr>
            </w:pPr>
            <w:r>
              <w:rPr>
                <w:rFonts w:ascii="Calibri" w:eastAsia="Calibri" w:hAnsi="Calibri" w:cs="Calibri"/>
              </w:rPr>
              <w:t>55.4%</w:t>
            </w:r>
            <w:r w:rsidR="009F1D78">
              <w:rPr>
                <w:rFonts w:ascii="Calibri" w:eastAsia="Calibri" w:hAnsi="Calibri" w:cs="Calibri"/>
              </w:rPr>
              <w:t>*</w:t>
            </w:r>
          </w:p>
        </w:tc>
      </w:tr>
      <w:tr w:rsidR="00C9668B" w14:paraId="3EB04B42" w14:textId="77777777" w:rsidTr="00BB708E">
        <w:tc>
          <w:tcPr>
            <w:tcW w:w="3865" w:type="dxa"/>
          </w:tcPr>
          <w:p w14:paraId="4D916934" w14:textId="77777777" w:rsidR="00C9668B" w:rsidRDefault="00C9668B" w:rsidP="001C469C">
            <w:pPr>
              <w:spacing w:line="257" w:lineRule="auto"/>
              <w:rPr>
                <w:rFonts w:ascii="Calibri" w:eastAsia="Calibri" w:hAnsi="Calibri" w:cs="Calibri"/>
              </w:rPr>
            </w:pPr>
            <w:r>
              <w:rPr>
                <w:rFonts w:ascii="Calibri" w:eastAsia="Calibri" w:hAnsi="Calibri" w:cs="Calibri"/>
              </w:rPr>
              <w:t xml:space="preserve">    75+</w:t>
            </w:r>
          </w:p>
        </w:tc>
        <w:tc>
          <w:tcPr>
            <w:tcW w:w="2880" w:type="dxa"/>
          </w:tcPr>
          <w:p w14:paraId="5E7DE155" w14:textId="77777777" w:rsidR="00C9668B" w:rsidRDefault="00C9668B" w:rsidP="001C469C">
            <w:pPr>
              <w:spacing w:line="257" w:lineRule="auto"/>
              <w:rPr>
                <w:rFonts w:ascii="Calibri" w:eastAsia="Calibri" w:hAnsi="Calibri" w:cs="Calibri"/>
              </w:rPr>
            </w:pPr>
            <w:r>
              <w:rPr>
                <w:rFonts w:ascii="Calibri" w:eastAsia="Calibri" w:hAnsi="Calibri" w:cs="Calibri"/>
              </w:rPr>
              <w:t>32.2%</w:t>
            </w:r>
          </w:p>
        </w:tc>
        <w:tc>
          <w:tcPr>
            <w:tcW w:w="1710" w:type="dxa"/>
          </w:tcPr>
          <w:p w14:paraId="1E3A53DF" w14:textId="77777777" w:rsidR="00C9668B" w:rsidRDefault="00C9668B" w:rsidP="001C469C">
            <w:pPr>
              <w:spacing w:line="257" w:lineRule="auto"/>
              <w:rPr>
                <w:rFonts w:ascii="Calibri" w:eastAsia="Calibri" w:hAnsi="Calibri" w:cs="Calibri"/>
              </w:rPr>
            </w:pPr>
            <w:r>
              <w:rPr>
                <w:rFonts w:ascii="Calibri" w:eastAsia="Calibri" w:hAnsi="Calibri" w:cs="Calibri"/>
              </w:rPr>
              <w:t>43.5%</w:t>
            </w:r>
          </w:p>
        </w:tc>
      </w:tr>
      <w:tr w:rsidR="00F46B99" w14:paraId="5EB31C29" w14:textId="77777777" w:rsidTr="00BB708E">
        <w:tc>
          <w:tcPr>
            <w:tcW w:w="3865" w:type="dxa"/>
          </w:tcPr>
          <w:p w14:paraId="0C43F421" w14:textId="77777777" w:rsidR="00F46B99" w:rsidRDefault="00F46B99" w:rsidP="001C469C">
            <w:pPr>
              <w:spacing w:line="257" w:lineRule="auto"/>
              <w:rPr>
                <w:rFonts w:ascii="Calibri" w:eastAsia="Calibri" w:hAnsi="Calibri" w:cs="Calibri"/>
              </w:rPr>
            </w:pPr>
            <w:r>
              <w:rPr>
                <w:rFonts w:ascii="Calibri" w:eastAsia="Calibri" w:hAnsi="Calibri" w:cs="Calibri"/>
              </w:rPr>
              <w:t>Race</w:t>
            </w:r>
          </w:p>
        </w:tc>
        <w:tc>
          <w:tcPr>
            <w:tcW w:w="2880" w:type="dxa"/>
          </w:tcPr>
          <w:p w14:paraId="25F93E9A" w14:textId="77777777" w:rsidR="00F46B99" w:rsidRDefault="00F46B99" w:rsidP="001C469C">
            <w:pPr>
              <w:spacing w:line="257" w:lineRule="auto"/>
              <w:rPr>
                <w:rFonts w:ascii="Calibri" w:eastAsia="Calibri" w:hAnsi="Calibri" w:cs="Calibri"/>
              </w:rPr>
            </w:pPr>
          </w:p>
        </w:tc>
        <w:tc>
          <w:tcPr>
            <w:tcW w:w="1710" w:type="dxa"/>
          </w:tcPr>
          <w:p w14:paraId="65E35EA7" w14:textId="77777777" w:rsidR="00F46B99" w:rsidRDefault="00F46B99" w:rsidP="001C469C">
            <w:pPr>
              <w:spacing w:line="257" w:lineRule="auto"/>
              <w:rPr>
                <w:rFonts w:ascii="Calibri" w:eastAsia="Calibri" w:hAnsi="Calibri" w:cs="Calibri"/>
              </w:rPr>
            </w:pPr>
          </w:p>
        </w:tc>
      </w:tr>
      <w:tr w:rsidR="00F46B99" w14:paraId="34EE0E79" w14:textId="77777777" w:rsidTr="00BB708E">
        <w:tc>
          <w:tcPr>
            <w:tcW w:w="3865" w:type="dxa"/>
          </w:tcPr>
          <w:p w14:paraId="184C3587" w14:textId="77777777" w:rsidR="00F46B99" w:rsidRDefault="00A0311A" w:rsidP="001C469C">
            <w:pPr>
              <w:spacing w:line="257" w:lineRule="auto"/>
              <w:rPr>
                <w:rFonts w:ascii="Calibri" w:eastAsia="Calibri" w:hAnsi="Calibri" w:cs="Calibri"/>
              </w:rPr>
            </w:pPr>
            <w:r>
              <w:rPr>
                <w:rFonts w:ascii="Calibri" w:eastAsia="Calibri" w:hAnsi="Calibri" w:cs="Calibri"/>
              </w:rPr>
              <w:t xml:space="preserve">    White</w:t>
            </w:r>
          </w:p>
        </w:tc>
        <w:tc>
          <w:tcPr>
            <w:tcW w:w="2880" w:type="dxa"/>
          </w:tcPr>
          <w:p w14:paraId="3EAE2D59" w14:textId="77777777" w:rsidR="00F46B99" w:rsidRDefault="00A0311A" w:rsidP="001C469C">
            <w:pPr>
              <w:spacing w:line="257" w:lineRule="auto"/>
              <w:rPr>
                <w:rFonts w:ascii="Calibri" w:eastAsia="Calibri" w:hAnsi="Calibri" w:cs="Calibri"/>
              </w:rPr>
            </w:pPr>
            <w:r>
              <w:rPr>
                <w:rFonts w:ascii="Calibri" w:eastAsia="Calibri" w:hAnsi="Calibri" w:cs="Calibri"/>
              </w:rPr>
              <w:t>60.5%</w:t>
            </w:r>
          </w:p>
        </w:tc>
        <w:tc>
          <w:tcPr>
            <w:tcW w:w="1710" w:type="dxa"/>
          </w:tcPr>
          <w:p w14:paraId="3B0E76BD" w14:textId="77777777" w:rsidR="00F46B99" w:rsidRDefault="00A0311A" w:rsidP="001C469C">
            <w:pPr>
              <w:spacing w:line="257" w:lineRule="auto"/>
              <w:rPr>
                <w:rFonts w:ascii="Calibri" w:eastAsia="Calibri" w:hAnsi="Calibri" w:cs="Calibri"/>
              </w:rPr>
            </w:pPr>
            <w:r>
              <w:rPr>
                <w:rFonts w:ascii="Calibri" w:eastAsia="Calibri" w:hAnsi="Calibri" w:cs="Calibri"/>
              </w:rPr>
              <w:t>91.3%</w:t>
            </w:r>
          </w:p>
        </w:tc>
      </w:tr>
      <w:tr w:rsidR="00F46B99" w14:paraId="0C30F7C2" w14:textId="77777777" w:rsidTr="00BB708E">
        <w:tc>
          <w:tcPr>
            <w:tcW w:w="3865" w:type="dxa"/>
          </w:tcPr>
          <w:p w14:paraId="2BADFB52" w14:textId="77777777" w:rsidR="00F46B99" w:rsidRDefault="00A0311A" w:rsidP="001C469C">
            <w:pPr>
              <w:spacing w:line="257" w:lineRule="auto"/>
              <w:rPr>
                <w:rFonts w:ascii="Calibri" w:eastAsia="Calibri" w:hAnsi="Calibri" w:cs="Calibri"/>
              </w:rPr>
            </w:pPr>
            <w:r>
              <w:rPr>
                <w:rFonts w:ascii="Calibri" w:eastAsia="Calibri" w:hAnsi="Calibri" w:cs="Calibri"/>
              </w:rPr>
              <w:t xml:space="preserve">    Black</w:t>
            </w:r>
          </w:p>
        </w:tc>
        <w:tc>
          <w:tcPr>
            <w:tcW w:w="2880" w:type="dxa"/>
          </w:tcPr>
          <w:p w14:paraId="4C8F3794" w14:textId="77777777" w:rsidR="00F46B99" w:rsidRDefault="00A0311A" w:rsidP="001C469C">
            <w:pPr>
              <w:spacing w:line="257" w:lineRule="auto"/>
              <w:rPr>
                <w:rFonts w:ascii="Calibri" w:eastAsia="Calibri" w:hAnsi="Calibri" w:cs="Calibri"/>
              </w:rPr>
            </w:pPr>
            <w:r>
              <w:rPr>
                <w:rFonts w:ascii="Calibri" w:eastAsia="Calibri" w:hAnsi="Calibri" w:cs="Calibri"/>
              </w:rPr>
              <w:t>15.9%</w:t>
            </w:r>
          </w:p>
        </w:tc>
        <w:tc>
          <w:tcPr>
            <w:tcW w:w="1710" w:type="dxa"/>
          </w:tcPr>
          <w:p w14:paraId="2D540AD9" w14:textId="77777777" w:rsidR="00F46B99" w:rsidRDefault="00A0311A" w:rsidP="001C469C">
            <w:pPr>
              <w:spacing w:line="257" w:lineRule="auto"/>
              <w:rPr>
                <w:rFonts w:ascii="Calibri" w:eastAsia="Calibri" w:hAnsi="Calibri" w:cs="Calibri"/>
              </w:rPr>
            </w:pPr>
            <w:r>
              <w:rPr>
                <w:rFonts w:ascii="Calibri" w:eastAsia="Calibri" w:hAnsi="Calibri" w:cs="Calibri"/>
              </w:rPr>
              <w:t>NR</w:t>
            </w:r>
          </w:p>
        </w:tc>
      </w:tr>
      <w:tr w:rsidR="00F46B99" w14:paraId="4256F236" w14:textId="77777777" w:rsidTr="00BB708E">
        <w:tc>
          <w:tcPr>
            <w:tcW w:w="3865" w:type="dxa"/>
          </w:tcPr>
          <w:p w14:paraId="4D9D878C" w14:textId="77777777" w:rsidR="00F46B99" w:rsidRDefault="00A0311A" w:rsidP="001C469C">
            <w:pPr>
              <w:spacing w:line="257" w:lineRule="auto"/>
              <w:rPr>
                <w:rFonts w:ascii="Calibri" w:eastAsia="Calibri" w:hAnsi="Calibri" w:cs="Calibri"/>
              </w:rPr>
            </w:pPr>
            <w:r>
              <w:rPr>
                <w:rFonts w:ascii="Calibri" w:eastAsia="Calibri" w:hAnsi="Calibri" w:cs="Calibri"/>
              </w:rPr>
              <w:t xml:space="preserve">    Other/Missing</w:t>
            </w:r>
          </w:p>
        </w:tc>
        <w:tc>
          <w:tcPr>
            <w:tcW w:w="2880" w:type="dxa"/>
          </w:tcPr>
          <w:p w14:paraId="2F65D6EF" w14:textId="77777777" w:rsidR="00F46B99" w:rsidRDefault="00A0311A" w:rsidP="001C469C">
            <w:pPr>
              <w:spacing w:line="257" w:lineRule="auto"/>
              <w:rPr>
                <w:rFonts w:ascii="Calibri" w:eastAsia="Calibri" w:hAnsi="Calibri" w:cs="Calibri"/>
              </w:rPr>
            </w:pPr>
            <w:r>
              <w:rPr>
                <w:rFonts w:ascii="Calibri" w:eastAsia="Calibri" w:hAnsi="Calibri" w:cs="Calibri"/>
              </w:rPr>
              <w:t>23.6%</w:t>
            </w:r>
            <w:r w:rsidR="009F1D78">
              <w:rPr>
                <w:rFonts w:ascii="Calibri" w:eastAsia="Calibri" w:hAnsi="Calibri" w:cs="Calibri"/>
              </w:rPr>
              <w:t>*</w:t>
            </w:r>
          </w:p>
        </w:tc>
        <w:tc>
          <w:tcPr>
            <w:tcW w:w="1710" w:type="dxa"/>
          </w:tcPr>
          <w:p w14:paraId="70F356D4" w14:textId="77777777" w:rsidR="00F46B99" w:rsidRDefault="00A0311A" w:rsidP="001C469C">
            <w:pPr>
              <w:spacing w:line="257" w:lineRule="auto"/>
              <w:rPr>
                <w:rFonts w:ascii="Calibri" w:eastAsia="Calibri" w:hAnsi="Calibri" w:cs="Calibri"/>
              </w:rPr>
            </w:pPr>
            <w:r>
              <w:rPr>
                <w:rFonts w:ascii="Calibri" w:eastAsia="Calibri" w:hAnsi="Calibri" w:cs="Calibri"/>
              </w:rPr>
              <w:t>8.7%</w:t>
            </w:r>
          </w:p>
        </w:tc>
      </w:tr>
      <w:tr w:rsidR="00C9668B" w14:paraId="2E0A7EA8" w14:textId="77777777" w:rsidTr="00BB708E">
        <w:tc>
          <w:tcPr>
            <w:tcW w:w="3865" w:type="dxa"/>
          </w:tcPr>
          <w:p w14:paraId="1C96CA60" w14:textId="77777777" w:rsidR="00C9668B" w:rsidRPr="009F1D78" w:rsidRDefault="00C9668B" w:rsidP="001C469C">
            <w:pPr>
              <w:spacing w:line="257" w:lineRule="auto"/>
              <w:rPr>
                <w:rFonts w:ascii="Calibri" w:eastAsia="Calibri" w:hAnsi="Calibri" w:cs="Calibri"/>
              </w:rPr>
            </w:pPr>
            <w:r w:rsidRPr="009F1D78">
              <w:rPr>
                <w:rFonts w:ascii="Calibri" w:eastAsia="Calibri" w:hAnsi="Calibri" w:cs="Calibri"/>
              </w:rPr>
              <w:t>High c</w:t>
            </w:r>
            <w:r w:rsidR="009F1D78" w:rsidRPr="009F1D78">
              <w:rPr>
                <w:rFonts w:ascii="Calibri" w:eastAsia="Calibri" w:hAnsi="Calibri" w:cs="Calibri"/>
              </w:rPr>
              <w:t xml:space="preserve">ytogenetic risk at diagnosis </w:t>
            </w:r>
            <w:r w:rsidR="009F1D78" w:rsidRPr="009F1D78">
              <w:rPr>
                <w:rFonts w:ascii="Calibri" w:eastAsia="Calibri" w:hAnsi="Calibri" w:cs="Calibri"/>
                <w:sz w:val="18"/>
                <w:szCs w:val="18"/>
              </w:rPr>
              <w:t>(</w:t>
            </w:r>
            <w:r w:rsidR="009F1D78" w:rsidRPr="009F1D78">
              <w:rPr>
                <w:rFonts w:ascii="Calibri" w:eastAsia="Calibri" w:hAnsi="Calibri" w:cs="Calibri"/>
                <w:sz w:val="18"/>
              </w:rPr>
              <w:t>at least one cytogenetic abnormality, including del17p, t[14;16], or t[4;14])</w:t>
            </w:r>
          </w:p>
        </w:tc>
        <w:tc>
          <w:tcPr>
            <w:tcW w:w="2880" w:type="dxa"/>
          </w:tcPr>
          <w:p w14:paraId="5FDE86A9" w14:textId="77777777" w:rsidR="00C9668B" w:rsidRPr="009F1D78" w:rsidRDefault="00C9668B" w:rsidP="009F1D78">
            <w:pPr>
              <w:spacing w:line="257" w:lineRule="auto"/>
              <w:rPr>
                <w:rFonts w:ascii="Calibri" w:eastAsia="Calibri" w:hAnsi="Calibri" w:cs="Calibri"/>
              </w:rPr>
            </w:pPr>
            <w:r w:rsidRPr="009F1D78">
              <w:rPr>
                <w:rFonts w:ascii="Calibri" w:eastAsia="Calibri" w:hAnsi="Calibri" w:cs="Calibri"/>
              </w:rPr>
              <w:t>7</w:t>
            </w:r>
            <w:r w:rsidR="009F1D78" w:rsidRPr="009F1D78">
              <w:rPr>
                <w:rFonts w:ascii="Calibri" w:eastAsia="Calibri" w:hAnsi="Calibri" w:cs="Calibri"/>
              </w:rPr>
              <w:t>2</w:t>
            </w:r>
            <w:r w:rsidRPr="009F1D78">
              <w:rPr>
                <w:rFonts w:ascii="Calibri" w:eastAsia="Calibri" w:hAnsi="Calibri" w:cs="Calibri"/>
              </w:rPr>
              <w:t>.</w:t>
            </w:r>
            <w:r w:rsidR="009F1D78" w:rsidRPr="009F1D78">
              <w:rPr>
                <w:rFonts w:ascii="Calibri" w:eastAsia="Calibri" w:hAnsi="Calibri" w:cs="Calibri"/>
              </w:rPr>
              <w:t>9</w:t>
            </w:r>
            <w:r w:rsidRPr="009F1D78">
              <w:rPr>
                <w:rFonts w:ascii="Calibri" w:eastAsia="Calibri" w:hAnsi="Calibri" w:cs="Calibri"/>
              </w:rPr>
              <w:t>%</w:t>
            </w:r>
            <w:r w:rsidR="009F1D78" w:rsidRPr="009F1D78">
              <w:rPr>
                <w:rFonts w:ascii="Calibri" w:eastAsia="Calibri" w:hAnsi="Calibri" w:cs="Calibri"/>
              </w:rPr>
              <w:t>**</w:t>
            </w:r>
          </w:p>
        </w:tc>
        <w:tc>
          <w:tcPr>
            <w:tcW w:w="1710" w:type="dxa"/>
          </w:tcPr>
          <w:p w14:paraId="76E0EDAA" w14:textId="77777777" w:rsidR="00C9668B" w:rsidRPr="009F1D78" w:rsidRDefault="00C9668B" w:rsidP="001C469C">
            <w:pPr>
              <w:spacing w:line="257" w:lineRule="auto"/>
              <w:rPr>
                <w:rFonts w:ascii="Calibri" w:eastAsia="Calibri" w:hAnsi="Calibri" w:cs="Calibri"/>
              </w:rPr>
            </w:pPr>
            <w:r w:rsidRPr="009F1D78">
              <w:rPr>
                <w:rFonts w:ascii="Calibri" w:eastAsia="Calibri" w:hAnsi="Calibri" w:cs="Calibri"/>
              </w:rPr>
              <w:t>15%</w:t>
            </w:r>
          </w:p>
        </w:tc>
      </w:tr>
      <w:tr w:rsidR="00C9668B" w14:paraId="5D934689" w14:textId="77777777" w:rsidTr="00BB708E">
        <w:tc>
          <w:tcPr>
            <w:tcW w:w="3865" w:type="dxa"/>
          </w:tcPr>
          <w:p w14:paraId="63A9BC16" w14:textId="77777777" w:rsidR="00C9668B" w:rsidRDefault="00C9668B" w:rsidP="001C469C">
            <w:pPr>
              <w:spacing w:line="257" w:lineRule="auto"/>
              <w:rPr>
                <w:rFonts w:ascii="Calibri" w:eastAsia="Calibri" w:hAnsi="Calibri" w:cs="Calibri"/>
              </w:rPr>
            </w:pPr>
            <w:r>
              <w:rPr>
                <w:rFonts w:ascii="Calibri" w:eastAsia="Calibri" w:hAnsi="Calibri" w:cs="Calibri"/>
              </w:rPr>
              <w:t>Renal insufficiency at diagnosis</w:t>
            </w:r>
          </w:p>
        </w:tc>
        <w:tc>
          <w:tcPr>
            <w:tcW w:w="2880" w:type="dxa"/>
          </w:tcPr>
          <w:p w14:paraId="01A175A8" w14:textId="77777777" w:rsidR="00C9668B" w:rsidRDefault="009F1D78" w:rsidP="001C469C">
            <w:pPr>
              <w:spacing w:line="257" w:lineRule="auto"/>
              <w:rPr>
                <w:rFonts w:ascii="Calibri" w:eastAsia="Calibri" w:hAnsi="Calibri" w:cs="Calibri"/>
              </w:rPr>
            </w:pPr>
            <w:r>
              <w:rPr>
                <w:rFonts w:ascii="Calibri" w:eastAsia="Calibri" w:hAnsi="Calibri" w:cs="Calibri"/>
              </w:rPr>
              <w:t>8.1%</w:t>
            </w:r>
          </w:p>
        </w:tc>
        <w:tc>
          <w:tcPr>
            <w:tcW w:w="1710" w:type="dxa"/>
          </w:tcPr>
          <w:p w14:paraId="2A2B6375" w14:textId="77777777" w:rsidR="00C9668B" w:rsidRDefault="00C9668B" w:rsidP="001C469C">
            <w:pPr>
              <w:spacing w:line="257" w:lineRule="auto"/>
              <w:rPr>
                <w:rFonts w:ascii="Calibri" w:eastAsia="Calibri" w:hAnsi="Calibri" w:cs="Calibri"/>
              </w:rPr>
            </w:pPr>
            <w:r>
              <w:rPr>
                <w:rFonts w:ascii="Calibri" w:eastAsia="Calibri" w:hAnsi="Calibri" w:cs="Calibri"/>
              </w:rPr>
              <w:t>13.3%</w:t>
            </w:r>
          </w:p>
        </w:tc>
      </w:tr>
      <w:tr w:rsidR="00C9668B" w14:paraId="574A89BC" w14:textId="77777777" w:rsidTr="00BB708E">
        <w:tc>
          <w:tcPr>
            <w:tcW w:w="3865" w:type="dxa"/>
          </w:tcPr>
          <w:p w14:paraId="7605E29A" w14:textId="77777777" w:rsidR="00C9668B" w:rsidRPr="00A0311A" w:rsidRDefault="005510E8" w:rsidP="00F46B99">
            <w:pPr>
              <w:spacing w:line="257" w:lineRule="auto"/>
              <w:rPr>
                <w:rFonts w:ascii="Calibri" w:eastAsia="Calibri" w:hAnsi="Calibri" w:cs="Calibri"/>
              </w:rPr>
            </w:pPr>
            <w:r>
              <w:rPr>
                <w:rFonts w:ascii="Calibri" w:eastAsia="Calibri" w:hAnsi="Calibri" w:cs="Calibri"/>
              </w:rPr>
              <w:t xml:space="preserve">Eastern Cooperative Oncology Group (ECOG) </w:t>
            </w:r>
            <w:r w:rsidR="00C9668B" w:rsidRPr="00A0311A">
              <w:rPr>
                <w:rFonts w:ascii="Calibri" w:eastAsia="Calibri" w:hAnsi="Calibri" w:cs="Calibri"/>
              </w:rPr>
              <w:t xml:space="preserve">performance status </w:t>
            </w:r>
            <w:r w:rsidR="00F46B99" w:rsidRPr="00A0311A">
              <w:rPr>
                <w:rFonts w:ascii="Calibri" w:eastAsia="Calibri" w:hAnsi="Calibri" w:cs="Calibri"/>
              </w:rPr>
              <w:t>score at diagnosis</w:t>
            </w:r>
          </w:p>
        </w:tc>
        <w:tc>
          <w:tcPr>
            <w:tcW w:w="2880" w:type="dxa"/>
          </w:tcPr>
          <w:p w14:paraId="5AD31499" w14:textId="77777777" w:rsidR="00C9668B" w:rsidRDefault="00C9668B" w:rsidP="001C469C">
            <w:pPr>
              <w:spacing w:line="257" w:lineRule="auto"/>
              <w:rPr>
                <w:rFonts w:ascii="Calibri" w:eastAsia="Calibri" w:hAnsi="Calibri" w:cs="Calibri"/>
              </w:rPr>
            </w:pPr>
          </w:p>
        </w:tc>
        <w:tc>
          <w:tcPr>
            <w:tcW w:w="1710" w:type="dxa"/>
          </w:tcPr>
          <w:p w14:paraId="6ECA05B9" w14:textId="77777777" w:rsidR="00C9668B" w:rsidRDefault="00C9668B" w:rsidP="001C469C">
            <w:pPr>
              <w:spacing w:line="257" w:lineRule="auto"/>
              <w:rPr>
                <w:rFonts w:ascii="Calibri" w:eastAsia="Calibri" w:hAnsi="Calibri" w:cs="Calibri"/>
              </w:rPr>
            </w:pPr>
          </w:p>
        </w:tc>
      </w:tr>
      <w:tr w:rsidR="00A32736" w14:paraId="06709B82" w14:textId="77777777" w:rsidTr="00BB708E">
        <w:tc>
          <w:tcPr>
            <w:tcW w:w="3865" w:type="dxa"/>
          </w:tcPr>
          <w:p w14:paraId="6192D121"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0</w:t>
            </w:r>
          </w:p>
        </w:tc>
        <w:tc>
          <w:tcPr>
            <w:tcW w:w="2880" w:type="dxa"/>
          </w:tcPr>
          <w:p w14:paraId="586DC50A" w14:textId="77777777" w:rsidR="00A32736" w:rsidRDefault="00A32736" w:rsidP="001C469C">
            <w:pPr>
              <w:spacing w:line="257" w:lineRule="auto"/>
              <w:rPr>
                <w:rFonts w:ascii="Calibri" w:eastAsia="Calibri" w:hAnsi="Calibri" w:cs="Calibri"/>
              </w:rPr>
            </w:pPr>
            <w:r>
              <w:rPr>
                <w:rFonts w:ascii="Calibri" w:eastAsia="Calibri" w:hAnsi="Calibri" w:cs="Calibri"/>
              </w:rPr>
              <w:t>40.3%</w:t>
            </w:r>
            <w:r w:rsidR="009F1D78">
              <w:rPr>
                <w:rFonts w:ascii="Calibri" w:eastAsia="Calibri" w:hAnsi="Calibri" w:cs="Calibri"/>
              </w:rPr>
              <w:t>**</w:t>
            </w:r>
          </w:p>
        </w:tc>
        <w:tc>
          <w:tcPr>
            <w:tcW w:w="1710" w:type="dxa"/>
          </w:tcPr>
          <w:p w14:paraId="062CF99C" w14:textId="77777777" w:rsidR="00A32736" w:rsidRDefault="00A32736" w:rsidP="001C469C">
            <w:pPr>
              <w:spacing w:line="257" w:lineRule="auto"/>
              <w:rPr>
                <w:rFonts w:ascii="Calibri" w:eastAsia="Calibri" w:hAnsi="Calibri" w:cs="Calibri"/>
              </w:rPr>
            </w:pPr>
            <w:r>
              <w:rPr>
                <w:rFonts w:ascii="Calibri" w:eastAsia="Calibri" w:hAnsi="Calibri" w:cs="Calibri"/>
              </w:rPr>
              <w:t>34.5%</w:t>
            </w:r>
          </w:p>
        </w:tc>
      </w:tr>
      <w:tr w:rsidR="00A32736" w14:paraId="4910AE20" w14:textId="77777777" w:rsidTr="00BB708E">
        <w:tc>
          <w:tcPr>
            <w:tcW w:w="3865" w:type="dxa"/>
          </w:tcPr>
          <w:p w14:paraId="290A88CB"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1</w:t>
            </w:r>
          </w:p>
        </w:tc>
        <w:tc>
          <w:tcPr>
            <w:tcW w:w="2880" w:type="dxa"/>
          </w:tcPr>
          <w:p w14:paraId="142EA0ED" w14:textId="77777777" w:rsidR="00A32736" w:rsidRDefault="00A32736" w:rsidP="001C469C">
            <w:pPr>
              <w:spacing w:line="257" w:lineRule="auto"/>
              <w:rPr>
                <w:rFonts w:ascii="Calibri" w:eastAsia="Calibri" w:hAnsi="Calibri" w:cs="Calibri"/>
              </w:rPr>
            </w:pPr>
            <w:r>
              <w:rPr>
                <w:rFonts w:ascii="Calibri" w:eastAsia="Calibri" w:hAnsi="Calibri" w:cs="Calibri"/>
              </w:rPr>
              <w:t>38.9%</w:t>
            </w:r>
            <w:r w:rsidR="009F1D78">
              <w:rPr>
                <w:rFonts w:ascii="Calibri" w:eastAsia="Calibri" w:hAnsi="Calibri" w:cs="Calibri"/>
              </w:rPr>
              <w:t>**</w:t>
            </w:r>
          </w:p>
        </w:tc>
        <w:tc>
          <w:tcPr>
            <w:tcW w:w="1710" w:type="dxa"/>
          </w:tcPr>
          <w:p w14:paraId="5BE05B05" w14:textId="77777777" w:rsidR="00A32736" w:rsidRDefault="00A32736" w:rsidP="001C469C">
            <w:pPr>
              <w:spacing w:line="257" w:lineRule="auto"/>
              <w:rPr>
                <w:rFonts w:ascii="Calibri" w:eastAsia="Calibri" w:hAnsi="Calibri" w:cs="Calibri"/>
              </w:rPr>
            </w:pPr>
            <w:r>
              <w:rPr>
                <w:rFonts w:ascii="Calibri" w:eastAsia="Calibri" w:hAnsi="Calibri" w:cs="Calibri"/>
              </w:rPr>
              <w:t>48.4%</w:t>
            </w:r>
          </w:p>
        </w:tc>
      </w:tr>
      <w:tr w:rsidR="00A32736" w14:paraId="07A701CB" w14:textId="77777777" w:rsidTr="00BB708E">
        <w:tc>
          <w:tcPr>
            <w:tcW w:w="3865" w:type="dxa"/>
          </w:tcPr>
          <w:p w14:paraId="1FF4DD44"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2+</w:t>
            </w:r>
          </w:p>
        </w:tc>
        <w:tc>
          <w:tcPr>
            <w:tcW w:w="2880" w:type="dxa"/>
          </w:tcPr>
          <w:p w14:paraId="0FD932CD" w14:textId="77777777" w:rsidR="00A32736" w:rsidRDefault="00A32736" w:rsidP="001C469C">
            <w:pPr>
              <w:spacing w:line="257" w:lineRule="auto"/>
              <w:rPr>
                <w:rFonts w:ascii="Calibri" w:eastAsia="Calibri" w:hAnsi="Calibri" w:cs="Calibri"/>
              </w:rPr>
            </w:pPr>
            <w:r>
              <w:rPr>
                <w:rFonts w:ascii="Calibri" w:eastAsia="Calibri" w:hAnsi="Calibri" w:cs="Calibri"/>
              </w:rPr>
              <w:t>20.8%</w:t>
            </w:r>
            <w:r w:rsidR="009F1D78">
              <w:rPr>
                <w:rFonts w:ascii="Calibri" w:eastAsia="Calibri" w:hAnsi="Calibri" w:cs="Calibri"/>
              </w:rPr>
              <w:t>*</w:t>
            </w:r>
            <w:r w:rsidR="009F1D78" w:rsidRPr="009F1D78">
              <w:rPr>
                <w:rFonts w:ascii="Calibri" w:eastAsia="Calibri" w:hAnsi="Calibri" w:cs="Calibri"/>
                <w:vertAlign w:val="superscript"/>
              </w:rPr>
              <w:t>,</w:t>
            </w:r>
            <w:r w:rsidR="009F1D78">
              <w:rPr>
                <w:rFonts w:ascii="Calibri" w:eastAsia="Calibri" w:hAnsi="Calibri" w:cs="Calibri"/>
              </w:rPr>
              <w:t>**</w:t>
            </w:r>
          </w:p>
        </w:tc>
        <w:tc>
          <w:tcPr>
            <w:tcW w:w="1710" w:type="dxa"/>
          </w:tcPr>
          <w:p w14:paraId="1A7EA5B0" w14:textId="77777777" w:rsidR="00A32736" w:rsidRDefault="00A32736" w:rsidP="001C469C">
            <w:pPr>
              <w:spacing w:line="257" w:lineRule="auto"/>
              <w:rPr>
                <w:rFonts w:ascii="Calibri" w:eastAsia="Calibri" w:hAnsi="Calibri" w:cs="Calibri"/>
              </w:rPr>
            </w:pPr>
            <w:r>
              <w:rPr>
                <w:rFonts w:ascii="Calibri" w:eastAsia="Calibri" w:hAnsi="Calibri" w:cs="Calibri"/>
              </w:rPr>
              <w:t>17.1%</w:t>
            </w:r>
          </w:p>
        </w:tc>
      </w:tr>
      <w:tr w:rsidR="00A32736" w14:paraId="5CB81D65" w14:textId="77777777" w:rsidTr="00BB708E">
        <w:tc>
          <w:tcPr>
            <w:tcW w:w="3865" w:type="dxa"/>
          </w:tcPr>
          <w:p w14:paraId="2CFC8CB5"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International staging system</w:t>
            </w:r>
            <w:r w:rsidR="00F46B99" w:rsidRPr="00A0311A">
              <w:rPr>
                <w:rFonts w:ascii="Calibri" w:eastAsia="Calibri" w:hAnsi="Calibri" w:cs="Calibri"/>
              </w:rPr>
              <w:t xml:space="preserve"> </w:t>
            </w:r>
            <w:r w:rsidR="005510E8">
              <w:rPr>
                <w:rFonts w:ascii="Calibri" w:eastAsia="Calibri" w:hAnsi="Calibri" w:cs="Calibri"/>
              </w:rPr>
              <w:t xml:space="preserve">(ISS) </w:t>
            </w:r>
            <w:r w:rsidR="00F46B99" w:rsidRPr="00A0311A">
              <w:rPr>
                <w:rFonts w:ascii="Calibri" w:eastAsia="Calibri" w:hAnsi="Calibri" w:cs="Calibri"/>
              </w:rPr>
              <w:t>stage at diagnosis</w:t>
            </w:r>
          </w:p>
        </w:tc>
        <w:tc>
          <w:tcPr>
            <w:tcW w:w="2880" w:type="dxa"/>
          </w:tcPr>
          <w:p w14:paraId="6FAECBED" w14:textId="77777777" w:rsidR="00A32736" w:rsidRDefault="00A32736" w:rsidP="001C469C">
            <w:pPr>
              <w:spacing w:line="257" w:lineRule="auto"/>
              <w:rPr>
                <w:rFonts w:ascii="Calibri" w:eastAsia="Calibri" w:hAnsi="Calibri" w:cs="Calibri"/>
              </w:rPr>
            </w:pPr>
          </w:p>
        </w:tc>
        <w:tc>
          <w:tcPr>
            <w:tcW w:w="1710" w:type="dxa"/>
          </w:tcPr>
          <w:p w14:paraId="1FD22A93" w14:textId="77777777" w:rsidR="00A32736" w:rsidRDefault="00A32736" w:rsidP="001C469C">
            <w:pPr>
              <w:spacing w:line="257" w:lineRule="auto"/>
              <w:rPr>
                <w:rFonts w:ascii="Calibri" w:eastAsia="Calibri" w:hAnsi="Calibri" w:cs="Calibri"/>
              </w:rPr>
            </w:pPr>
          </w:p>
        </w:tc>
      </w:tr>
      <w:tr w:rsidR="00A32736" w14:paraId="3A9567AF" w14:textId="77777777" w:rsidTr="00BB708E">
        <w:tc>
          <w:tcPr>
            <w:tcW w:w="3865" w:type="dxa"/>
          </w:tcPr>
          <w:p w14:paraId="1E4C9D49"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I</w:t>
            </w:r>
          </w:p>
        </w:tc>
        <w:tc>
          <w:tcPr>
            <w:tcW w:w="2880" w:type="dxa"/>
          </w:tcPr>
          <w:p w14:paraId="7C3ABB14" w14:textId="77777777" w:rsidR="00A32736" w:rsidRDefault="00A32736" w:rsidP="001C469C">
            <w:pPr>
              <w:spacing w:line="257" w:lineRule="auto"/>
              <w:rPr>
                <w:rFonts w:ascii="Calibri" w:eastAsia="Calibri" w:hAnsi="Calibri" w:cs="Calibri"/>
              </w:rPr>
            </w:pPr>
            <w:r>
              <w:rPr>
                <w:rFonts w:ascii="Calibri" w:eastAsia="Calibri" w:hAnsi="Calibri" w:cs="Calibri"/>
              </w:rPr>
              <w:t>34.1%</w:t>
            </w:r>
            <w:r w:rsidR="009F1D78">
              <w:rPr>
                <w:rFonts w:ascii="Calibri" w:eastAsia="Calibri" w:hAnsi="Calibri" w:cs="Calibri"/>
              </w:rPr>
              <w:t>**</w:t>
            </w:r>
          </w:p>
        </w:tc>
        <w:tc>
          <w:tcPr>
            <w:tcW w:w="1710" w:type="dxa"/>
          </w:tcPr>
          <w:p w14:paraId="7427EBFE" w14:textId="77777777" w:rsidR="00A32736" w:rsidRDefault="00A32736" w:rsidP="001C469C">
            <w:pPr>
              <w:spacing w:line="257" w:lineRule="auto"/>
              <w:rPr>
                <w:rFonts w:ascii="Calibri" w:eastAsia="Calibri" w:hAnsi="Calibri" w:cs="Calibri"/>
              </w:rPr>
            </w:pPr>
            <w:r>
              <w:rPr>
                <w:rFonts w:ascii="Calibri" w:eastAsia="Calibri" w:hAnsi="Calibri" w:cs="Calibri"/>
              </w:rPr>
              <w:t>26.6%</w:t>
            </w:r>
          </w:p>
        </w:tc>
      </w:tr>
      <w:tr w:rsidR="00A32736" w14:paraId="02633921" w14:textId="77777777" w:rsidTr="00BB708E">
        <w:tc>
          <w:tcPr>
            <w:tcW w:w="3865" w:type="dxa"/>
          </w:tcPr>
          <w:p w14:paraId="10B77A85"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II</w:t>
            </w:r>
          </w:p>
        </w:tc>
        <w:tc>
          <w:tcPr>
            <w:tcW w:w="2880" w:type="dxa"/>
          </w:tcPr>
          <w:p w14:paraId="69E400E7" w14:textId="77777777" w:rsidR="00A32736" w:rsidRDefault="00A32736" w:rsidP="00A32736">
            <w:pPr>
              <w:spacing w:line="257" w:lineRule="auto"/>
              <w:rPr>
                <w:rFonts w:ascii="Calibri" w:eastAsia="Calibri" w:hAnsi="Calibri" w:cs="Calibri"/>
              </w:rPr>
            </w:pPr>
            <w:r>
              <w:rPr>
                <w:rFonts w:ascii="Calibri" w:eastAsia="Calibri" w:hAnsi="Calibri" w:cs="Calibri"/>
              </w:rPr>
              <w:t>33.3%</w:t>
            </w:r>
            <w:r w:rsidR="009F1D78">
              <w:rPr>
                <w:rFonts w:ascii="Calibri" w:eastAsia="Calibri" w:hAnsi="Calibri" w:cs="Calibri"/>
              </w:rPr>
              <w:t>**</w:t>
            </w:r>
          </w:p>
        </w:tc>
        <w:tc>
          <w:tcPr>
            <w:tcW w:w="1710" w:type="dxa"/>
          </w:tcPr>
          <w:p w14:paraId="6B038DC9" w14:textId="77777777" w:rsidR="00A32736" w:rsidRDefault="00A32736" w:rsidP="001C469C">
            <w:pPr>
              <w:spacing w:line="257" w:lineRule="auto"/>
              <w:rPr>
                <w:rFonts w:ascii="Calibri" w:eastAsia="Calibri" w:hAnsi="Calibri" w:cs="Calibri"/>
              </w:rPr>
            </w:pPr>
            <w:r>
              <w:rPr>
                <w:rFonts w:ascii="Calibri" w:eastAsia="Calibri" w:hAnsi="Calibri" w:cs="Calibri"/>
              </w:rPr>
              <w:t>44.3%</w:t>
            </w:r>
          </w:p>
        </w:tc>
      </w:tr>
      <w:tr w:rsidR="00A32736" w14:paraId="4C439A65" w14:textId="77777777" w:rsidTr="00BB708E">
        <w:tc>
          <w:tcPr>
            <w:tcW w:w="3865" w:type="dxa"/>
          </w:tcPr>
          <w:p w14:paraId="33936A0D"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III</w:t>
            </w:r>
          </w:p>
        </w:tc>
        <w:tc>
          <w:tcPr>
            <w:tcW w:w="2880" w:type="dxa"/>
          </w:tcPr>
          <w:p w14:paraId="39583E01" w14:textId="77777777" w:rsidR="00A32736" w:rsidRDefault="00A32736" w:rsidP="001C469C">
            <w:pPr>
              <w:spacing w:line="257" w:lineRule="auto"/>
              <w:rPr>
                <w:rFonts w:ascii="Calibri" w:eastAsia="Calibri" w:hAnsi="Calibri" w:cs="Calibri"/>
              </w:rPr>
            </w:pPr>
            <w:r>
              <w:rPr>
                <w:rFonts w:ascii="Calibri" w:eastAsia="Calibri" w:hAnsi="Calibri" w:cs="Calibri"/>
              </w:rPr>
              <w:t>32.7%</w:t>
            </w:r>
            <w:r w:rsidR="009F1D78">
              <w:rPr>
                <w:rFonts w:ascii="Calibri" w:eastAsia="Calibri" w:hAnsi="Calibri" w:cs="Calibri"/>
              </w:rPr>
              <w:t>**</w:t>
            </w:r>
          </w:p>
        </w:tc>
        <w:tc>
          <w:tcPr>
            <w:tcW w:w="1710" w:type="dxa"/>
          </w:tcPr>
          <w:p w14:paraId="094F8F92" w14:textId="77777777" w:rsidR="00A32736" w:rsidRDefault="00A32736" w:rsidP="001C469C">
            <w:pPr>
              <w:spacing w:line="257" w:lineRule="auto"/>
              <w:rPr>
                <w:rFonts w:ascii="Calibri" w:eastAsia="Calibri" w:hAnsi="Calibri" w:cs="Calibri"/>
              </w:rPr>
            </w:pPr>
            <w:r>
              <w:rPr>
                <w:rFonts w:ascii="Calibri" w:eastAsia="Calibri" w:hAnsi="Calibri" w:cs="Calibri"/>
              </w:rPr>
              <w:t>17.1%</w:t>
            </w:r>
          </w:p>
        </w:tc>
      </w:tr>
      <w:tr w:rsidR="00C9668B" w14:paraId="27D00E74" w14:textId="77777777" w:rsidTr="00BB708E">
        <w:tc>
          <w:tcPr>
            <w:tcW w:w="3865" w:type="dxa"/>
          </w:tcPr>
          <w:p w14:paraId="58870409" w14:textId="77777777" w:rsidR="00C9668B" w:rsidRDefault="00C9668B" w:rsidP="001C469C">
            <w:pPr>
              <w:spacing w:line="257" w:lineRule="auto"/>
              <w:rPr>
                <w:rFonts w:ascii="Calibri" w:eastAsia="Calibri" w:hAnsi="Calibri" w:cs="Calibri"/>
              </w:rPr>
            </w:pPr>
            <w:r>
              <w:rPr>
                <w:rFonts w:ascii="Calibri" w:eastAsia="Calibri" w:hAnsi="Calibri" w:cs="Calibri"/>
              </w:rPr>
              <w:t>Previous lines of therapy</w:t>
            </w:r>
          </w:p>
        </w:tc>
        <w:tc>
          <w:tcPr>
            <w:tcW w:w="2880" w:type="dxa"/>
          </w:tcPr>
          <w:p w14:paraId="4EB2A3F6" w14:textId="77777777" w:rsidR="00C9668B" w:rsidRDefault="00C9668B" w:rsidP="001C469C">
            <w:pPr>
              <w:spacing w:line="257" w:lineRule="auto"/>
              <w:rPr>
                <w:rFonts w:ascii="Calibri" w:eastAsia="Calibri" w:hAnsi="Calibri" w:cs="Calibri"/>
              </w:rPr>
            </w:pPr>
            <w:r>
              <w:rPr>
                <w:rFonts w:ascii="Calibri" w:eastAsia="Calibri" w:hAnsi="Calibri" w:cs="Calibri"/>
              </w:rPr>
              <w:t>0</w:t>
            </w:r>
          </w:p>
        </w:tc>
        <w:tc>
          <w:tcPr>
            <w:tcW w:w="1710" w:type="dxa"/>
          </w:tcPr>
          <w:p w14:paraId="3648F447" w14:textId="77777777" w:rsidR="00C9668B" w:rsidRDefault="00C9668B" w:rsidP="001C469C">
            <w:pPr>
              <w:spacing w:line="257" w:lineRule="auto"/>
              <w:rPr>
                <w:rFonts w:ascii="Calibri" w:eastAsia="Calibri" w:hAnsi="Calibri" w:cs="Calibri"/>
              </w:rPr>
            </w:pPr>
            <w:r>
              <w:rPr>
                <w:rFonts w:ascii="Calibri" w:eastAsia="Calibri" w:hAnsi="Calibri" w:cs="Calibri"/>
              </w:rPr>
              <w:t>0</w:t>
            </w:r>
          </w:p>
        </w:tc>
      </w:tr>
    </w:tbl>
    <w:p w14:paraId="73C736A1" w14:textId="77777777" w:rsidR="00C9668B" w:rsidRPr="005510E8" w:rsidRDefault="005510E8" w:rsidP="00C745B4">
      <w:pPr>
        <w:spacing w:line="257" w:lineRule="auto"/>
        <w:rPr>
          <w:rFonts w:ascii="Calibri" w:eastAsia="Calibri" w:hAnsi="Calibri" w:cs="Calibri"/>
          <w:sz w:val="18"/>
        </w:rPr>
      </w:pPr>
      <w:r w:rsidRPr="005510E8">
        <w:rPr>
          <w:rFonts w:ascii="Calibri" w:eastAsia="Calibri" w:hAnsi="Calibri" w:cs="Calibri"/>
          <w:sz w:val="18"/>
        </w:rPr>
        <w:t xml:space="preserve">NOTE: </w:t>
      </w:r>
      <w:r>
        <w:rPr>
          <w:rFonts w:ascii="Calibri" w:eastAsia="Calibri" w:hAnsi="Calibri" w:cs="Calibri"/>
          <w:sz w:val="18"/>
        </w:rPr>
        <w:t xml:space="preserve">Values shown in this table were calculated from reported data in </w:t>
      </w:r>
      <w:proofErr w:type="spellStart"/>
      <w:r>
        <w:rPr>
          <w:rFonts w:ascii="Calibri" w:eastAsia="Calibri" w:hAnsi="Calibri" w:cs="Calibri"/>
          <w:sz w:val="18"/>
        </w:rPr>
        <w:t>Braunlin</w:t>
      </w:r>
      <w:proofErr w:type="spellEnd"/>
      <w:r>
        <w:rPr>
          <w:rFonts w:ascii="Calibri" w:eastAsia="Calibri" w:hAnsi="Calibri" w:cs="Calibri"/>
          <w:sz w:val="18"/>
        </w:rPr>
        <w:t xml:space="preserve"> et al. (2020) and Moreau et al. (2021) by aggregating across categories </w:t>
      </w:r>
      <w:r w:rsidR="009F1D78">
        <w:rPr>
          <w:rFonts w:ascii="Calibri" w:eastAsia="Calibri" w:hAnsi="Calibri" w:cs="Calibri"/>
          <w:sz w:val="18"/>
        </w:rPr>
        <w:t xml:space="preserve">(indicated with *) </w:t>
      </w:r>
      <w:r>
        <w:rPr>
          <w:rFonts w:ascii="Calibri" w:eastAsia="Calibri" w:hAnsi="Calibri" w:cs="Calibri"/>
          <w:sz w:val="18"/>
        </w:rPr>
        <w:t>or adjusting for missing data assuming complete lack of non-response bias</w:t>
      </w:r>
      <w:r w:rsidR="009F1D78">
        <w:rPr>
          <w:rFonts w:ascii="Calibri" w:eastAsia="Calibri" w:hAnsi="Calibri" w:cs="Calibri"/>
          <w:sz w:val="18"/>
        </w:rPr>
        <w:t xml:space="preserve"> (indicated with **</w:t>
      </w:r>
      <w:r>
        <w:rPr>
          <w:rFonts w:ascii="Calibri" w:eastAsia="Calibri" w:hAnsi="Calibri" w:cs="Calibri"/>
          <w:sz w:val="18"/>
        </w:rPr>
        <w:t xml:space="preserve">) </w:t>
      </w:r>
      <w:r w:rsidR="001C469C">
        <w:rPr>
          <w:rFonts w:ascii="Calibri" w:eastAsia="Calibri" w:hAnsi="Calibri" w:cs="Calibri"/>
          <w:sz w:val="18"/>
        </w:rPr>
        <w:t xml:space="preserve">for ease of comparison </w:t>
      </w:r>
      <w:r>
        <w:rPr>
          <w:rFonts w:ascii="Calibri" w:eastAsia="Calibri" w:hAnsi="Calibri" w:cs="Calibri"/>
          <w:sz w:val="18"/>
        </w:rPr>
        <w:t>when necessary.</w:t>
      </w:r>
      <w:r w:rsidR="001C469C">
        <w:rPr>
          <w:rFonts w:ascii="Calibri" w:eastAsia="Calibri" w:hAnsi="Calibri" w:cs="Calibri"/>
          <w:sz w:val="18"/>
        </w:rPr>
        <w:t xml:space="preserve"> NR=not reported.</w:t>
      </w:r>
      <w:r w:rsidR="009F1D78">
        <w:rPr>
          <w:rFonts w:ascii="Calibri" w:eastAsia="Calibri" w:hAnsi="Calibri" w:cs="Calibri"/>
          <w:sz w:val="18"/>
        </w:rPr>
        <w:t xml:space="preserve"> </w:t>
      </w:r>
    </w:p>
    <w:p w14:paraId="3C87AB0F" w14:textId="77777777" w:rsidR="00C9668B" w:rsidRPr="007D3C12" w:rsidRDefault="00C9668B" w:rsidP="00C745B4">
      <w:pPr>
        <w:spacing w:line="257" w:lineRule="auto"/>
        <w:rPr>
          <w:rFonts w:ascii="Calibri" w:eastAsia="Calibri" w:hAnsi="Calibri" w:cs="Calibri"/>
        </w:rPr>
      </w:pPr>
      <w:r>
        <w:rPr>
          <w:rFonts w:ascii="Calibri" w:eastAsia="Calibri" w:hAnsi="Calibri" w:cs="Calibri"/>
        </w:rPr>
        <w:t xml:space="preserve">Therefore, </w:t>
      </w:r>
      <w:r w:rsidRPr="00F46B99">
        <w:rPr>
          <w:rFonts w:ascii="Calibri" w:eastAsia="Calibri" w:hAnsi="Calibri" w:cs="Calibri"/>
        </w:rPr>
        <w:t xml:space="preserve">we </w:t>
      </w:r>
      <w:r w:rsidR="00F46B99">
        <w:rPr>
          <w:rFonts w:ascii="Calibri" w:eastAsia="Calibri" w:hAnsi="Calibri" w:cs="Calibri"/>
        </w:rPr>
        <w:t xml:space="preserve">sought to </w:t>
      </w:r>
      <w:r w:rsidRPr="00F46B99">
        <w:rPr>
          <w:rFonts w:ascii="Calibri" w:eastAsia="Calibri" w:hAnsi="Calibri" w:cs="Calibri"/>
        </w:rPr>
        <w:t xml:space="preserve">standardized the survival rates of the MAIA trial to the population of the Flatiron health population with respect to the covariates presented in the above table. However, since the MAIA trial did not report survival rates stratified by each of these covariate values, we </w:t>
      </w:r>
      <w:r w:rsidR="00F46B99">
        <w:rPr>
          <w:rFonts w:ascii="Calibri" w:eastAsia="Calibri" w:hAnsi="Calibri" w:cs="Calibri"/>
        </w:rPr>
        <w:t>searched for</w:t>
      </w:r>
      <w:r w:rsidR="003A45E5" w:rsidRPr="00F46B99">
        <w:rPr>
          <w:rFonts w:ascii="Calibri" w:eastAsia="Calibri" w:hAnsi="Calibri" w:cs="Calibri"/>
        </w:rPr>
        <w:t xml:space="preserve"> hazard ratios for the covariates above, adjusted for treatment</w:t>
      </w:r>
      <w:r w:rsidR="003A45E5">
        <w:rPr>
          <w:rFonts w:ascii="Calibri" w:eastAsia="Calibri" w:hAnsi="Calibri" w:cs="Calibri"/>
        </w:rPr>
        <w:t xml:space="preserve"> effects, from the literature to estimate stratified progression free and overall survival rates in the MAIA trial.</w:t>
      </w:r>
    </w:p>
    <w:p w14:paraId="3BBA3FEE" w14:textId="77777777" w:rsidR="00094B81" w:rsidRDefault="00DF7FC3" w:rsidP="00C745B4">
      <w:pPr>
        <w:spacing w:line="257" w:lineRule="auto"/>
        <w:rPr>
          <w:rFonts w:ascii="Calibri" w:eastAsia="Calibri" w:hAnsi="Calibri" w:cs="Calibri"/>
        </w:rPr>
      </w:pPr>
      <w:r>
        <w:rPr>
          <w:rFonts w:ascii="Calibri" w:eastAsia="Calibri" w:hAnsi="Calibri" w:cs="Calibri"/>
        </w:rPr>
        <w:t xml:space="preserve">We performed a literature search to obtain estimates of hazard ratios for covariates of interest independent of treatment effects. The most relevant source we obtained was a </w:t>
      </w:r>
      <w:r w:rsidR="007D3C12">
        <w:rPr>
          <w:rFonts w:ascii="Calibri" w:eastAsia="Calibri" w:hAnsi="Calibri" w:cs="Calibri"/>
        </w:rPr>
        <w:t xml:space="preserve">large-scale prospective cohort study of newly diagnosed multiple myeloma patients from 90 different sites worldwide in the </w:t>
      </w:r>
      <w:proofErr w:type="spellStart"/>
      <w:r w:rsidR="007D3C12">
        <w:rPr>
          <w:rFonts w:ascii="Calibri" w:eastAsia="Calibri" w:hAnsi="Calibri" w:cs="Calibri"/>
        </w:rPr>
        <w:t>CoMMpass</w:t>
      </w:r>
      <w:proofErr w:type="spellEnd"/>
      <w:r w:rsidR="007D3C12">
        <w:rPr>
          <w:rFonts w:ascii="Calibri" w:eastAsia="Calibri" w:hAnsi="Calibri" w:cs="Calibri"/>
        </w:rPr>
        <w:t xml:space="preserve"> registry published by </w:t>
      </w:r>
      <w:proofErr w:type="spellStart"/>
      <w:r w:rsidR="007D3C12">
        <w:rPr>
          <w:rFonts w:ascii="Calibri" w:eastAsia="Calibri" w:hAnsi="Calibri" w:cs="Calibri"/>
        </w:rPr>
        <w:t>Derman</w:t>
      </w:r>
      <w:proofErr w:type="spellEnd"/>
      <w:r w:rsidR="007D3C12">
        <w:rPr>
          <w:rFonts w:ascii="Calibri" w:eastAsia="Calibri" w:hAnsi="Calibri" w:cs="Calibri"/>
        </w:rPr>
        <w:t xml:space="preserve"> et al. (2020). </w:t>
      </w:r>
      <w:proofErr w:type="spellStart"/>
      <w:r w:rsidR="007D3C12">
        <w:rPr>
          <w:rFonts w:ascii="Calibri" w:eastAsia="Calibri" w:hAnsi="Calibri" w:cs="Calibri"/>
        </w:rPr>
        <w:t>Derman</w:t>
      </w:r>
      <w:proofErr w:type="spellEnd"/>
      <w:r w:rsidR="007D3C12">
        <w:rPr>
          <w:rFonts w:ascii="Calibri" w:eastAsia="Calibri" w:hAnsi="Calibri" w:cs="Calibri"/>
        </w:rPr>
        <w:t xml:space="preserve"> et al. (2020) performed a multivariate analysis of the independent effects of age (+/- 65 years), gender, race (white/black), </w:t>
      </w:r>
      <w:r w:rsidR="005510E8">
        <w:rPr>
          <w:rFonts w:ascii="Calibri" w:eastAsia="Calibri" w:hAnsi="Calibri" w:cs="Calibri"/>
        </w:rPr>
        <w:t>Eastern Cooperative Oncology Group (ECOG)</w:t>
      </w:r>
      <w:r w:rsidR="007D3C12">
        <w:rPr>
          <w:rFonts w:ascii="Calibri" w:eastAsia="Calibri" w:hAnsi="Calibri" w:cs="Calibri"/>
        </w:rPr>
        <w:t xml:space="preserve"> </w:t>
      </w:r>
      <w:r w:rsidR="005510E8">
        <w:rPr>
          <w:rFonts w:ascii="Calibri" w:eastAsia="Calibri" w:hAnsi="Calibri" w:cs="Calibri"/>
        </w:rPr>
        <w:t>performance score</w:t>
      </w:r>
      <w:r w:rsidR="007D3C12">
        <w:rPr>
          <w:rFonts w:ascii="Calibri" w:eastAsia="Calibri" w:hAnsi="Calibri" w:cs="Calibri"/>
        </w:rPr>
        <w:t xml:space="preserve"> </w:t>
      </w:r>
      <w:r w:rsidR="005510E8">
        <w:rPr>
          <w:rFonts w:ascii="Calibri" w:eastAsia="Calibri" w:hAnsi="Calibri" w:cs="Calibri"/>
        </w:rPr>
        <w:t xml:space="preserve">(+/- </w:t>
      </w:r>
      <w:r w:rsidR="007D3C12">
        <w:rPr>
          <w:rFonts w:ascii="Calibri" w:eastAsia="Calibri" w:hAnsi="Calibri" w:cs="Calibri"/>
        </w:rPr>
        <w:t>2</w:t>
      </w:r>
      <w:r w:rsidR="005510E8">
        <w:rPr>
          <w:rFonts w:ascii="Calibri" w:eastAsia="Calibri" w:hAnsi="Calibri" w:cs="Calibri"/>
        </w:rPr>
        <w:t>)</w:t>
      </w:r>
      <w:r w:rsidR="007D3C12">
        <w:rPr>
          <w:rFonts w:ascii="Calibri" w:eastAsia="Calibri" w:hAnsi="Calibri" w:cs="Calibri"/>
        </w:rPr>
        <w:t xml:space="preserve">, </w:t>
      </w:r>
      <w:r w:rsidR="005510E8">
        <w:rPr>
          <w:rFonts w:ascii="Calibri" w:eastAsia="Calibri" w:hAnsi="Calibri" w:cs="Calibri"/>
        </w:rPr>
        <w:t>International Staging System (ISS) score</w:t>
      </w:r>
      <w:r w:rsidR="007D3C12">
        <w:rPr>
          <w:rFonts w:ascii="Calibri" w:eastAsia="Calibri" w:hAnsi="Calibri" w:cs="Calibri"/>
        </w:rPr>
        <w:t xml:space="preserve">, </w:t>
      </w:r>
      <w:r w:rsidR="005510E8">
        <w:rPr>
          <w:rFonts w:ascii="Calibri" w:eastAsia="Calibri" w:hAnsi="Calibri" w:cs="Calibri"/>
        </w:rPr>
        <w:t xml:space="preserve">estimated </w:t>
      </w:r>
      <w:proofErr w:type="spellStart"/>
      <w:r w:rsidR="005510E8">
        <w:rPr>
          <w:rFonts w:ascii="Calibri" w:eastAsia="Calibri" w:hAnsi="Calibri" w:cs="Calibri"/>
        </w:rPr>
        <w:t>glomular</w:t>
      </w:r>
      <w:proofErr w:type="spellEnd"/>
      <w:r w:rsidR="005510E8">
        <w:rPr>
          <w:rFonts w:ascii="Calibri" w:eastAsia="Calibri" w:hAnsi="Calibri" w:cs="Calibri"/>
        </w:rPr>
        <w:t xml:space="preserve"> </w:t>
      </w:r>
      <w:proofErr w:type="spellStart"/>
      <w:r w:rsidR="005510E8">
        <w:rPr>
          <w:rFonts w:ascii="Calibri" w:eastAsia="Calibri" w:hAnsi="Calibri" w:cs="Calibri"/>
        </w:rPr>
        <w:t>filration</w:t>
      </w:r>
      <w:proofErr w:type="spellEnd"/>
      <w:r w:rsidR="005510E8">
        <w:rPr>
          <w:rFonts w:ascii="Calibri" w:eastAsia="Calibri" w:hAnsi="Calibri" w:cs="Calibri"/>
        </w:rPr>
        <w:t xml:space="preserve"> rate (</w:t>
      </w:r>
      <w:proofErr w:type="spellStart"/>
      <w:r w:rsidR="007D3C12">
        <w:rPr>
          <w:rFonts w:ascii="Calibri" w:eastAsia="Calibri" w:hAnsi="Calibri" w:cs="Calibri"/>
        </w:rPr>
        <w:t>eGFR</w:t>
      </w:r>
      <w:proofErr w:type="spellEnd"/>
      <w:r w:rsidR="005510E8">
        <w:rPr>
          <w:rFonts w:ascii="Calibri" w:eastAsia="Calibri" w:hAnsi="Calibri" w:cs="Calibri"/>
        </w:rPr>
        <w:t>)</w:t>
      </w:r>
      <w:r w:rsidR="007D3C12">
        <w:rPr>
          <w:rFonts w:ascii="Calibri" w:eastAsia="Calibri" w:hAnsi="Calibri" w:cs="Calibri"/>
        </w:rPr>
        <w:t xml:space="preserve"> (+/- 60</w:t>
      </w:r>
      <w:r w:rsidR="005510E8">
        <w:rPr>
          <w:rFonts w:ascii="Calibri" w:eastAsia="Calibri" w:hAnsi="Calibri" w:cs="Calibri"/>
        </w:rPr>
        <w:t xml:space="preserve"> mL/min per 1.73 m</w:t>
      </w:r>
      <w:r w:rsidR="005510E8" w:rsidRPr="005510E8">
        <w:rPr>
          <w:rFonts w:ascii="Calibri" w:eastAsia="Calibri" w:hAnsi="Calibri" w:cs="Calibri"/>
          <w:vertAlign w:val="superscript"/>
        </w:rPr>
        <w:t>2</w:t>
      </w:r>
      <w:r w:rsidR="007D3C12">
        <w:rPr>
          <w:rFonts w:ascii="Calibri" w:eastAsia="Calibri" w:hAnsi="Calibri" w:cs="Calibri"/>
        </w:rPr>
        <w:t xml:space="preserve">), high risk cytogenetic abnormalities, induction therapy (triplet/non-triplet), and </w:t>
      </w:r>
      <w:r w:rsidR="005510E8">
        <w:rPr>
          <w:rFonts w:ascii="Calibri" w:eastAsia="Calibri" w:hAnsi="Calibri" w:cs="Calibri"/>
        </w:rPr>
        <w:t>autologous stem cell transplant (</w:t>
      </w:r>
      <w:r w:rsidR="007D3C12">
        <w:rPr>
          <w:rFonts w:ascii="Calibri" w:eastAsia="Calibri" w:hAnsi="Calibri" w:cs="Calibri"/>
        </w:rPr>
        <w:t>ASCT</w:t>
      </w:r>
      <w:r w:rsidR="005510E8">
        <w:rPr>
          <w:rFonts w:ascii="Calibri" w:eastAsia="Calibri" w:hAnsi="Calibri" w:cs="Calibri"/>
        </w:rPr>
        <w:t>)</w:t>
      </w:r>
      <w:r w:rsidR="007D3C12">
        <w:rPr>
          <w:rFonts w:ascii="Calibri" w:eastAsia="Calibri" w:hAnsi="Calibri" w:cs="Calibri"/>
        </w:rPr>
        <w:t xml:space="preserve"> on progression free survival and overall survival. The hazard ratios from this study for the covariates of interest are summarized in the </w:t>
      </w:r>
      <w:r w:rsidR="007D3C12">
        <w:rPr>
          <w:rFonts w:ascii="Calibri" w:eastAsia="Calibri" w:hAnsi="Calibri" w:cs="Calibri"/>
        </w:rPr>
        <w:lastRenderedPageBreak/>
        <w:t xml:space="preserve">table below. Notably, only non-treatment-related covariate in this analysis that was associated with progression free survival and/or overall survival at a statistically significant level was cytogenetic risk and the </w:t>
      </w:r>
      <w:r w:rsidR="00F46B99">
        <w:rPr>
          <w:rFonts w:ascii="Calibri" w:eastAsia="Calibri" w:hAnsi="Calibri" w:cs="Calibri"/>
        </w:rPr>
        <w:t>ISS</w:t>
      </w:r>
      <w:r w:rsidR="007D3C12">
        <w:rPr>
          <w:rFonts w:ascii="Calibri" w:eastAsia="Calibri" w:hAnsi="Calibri" w:cs="Calibri"/>
        </w:rPr>
        <w:t>.</w:t>
      </w:r>
      <w:r w:rsidR="003A45E5">
        <w:rPr>
          <w:rFonts w:ascii="Calibri" w:eastAsia="Calibri" w:hAnsi="Calibri" w:cs="Calibri"/>
        </w:rPr>
        <w:t xml:space="preserve"> </w:t>
      </w:r>
      <w:r w:rsidR="00A0311A">
        <w:rPr>
          <w:rFonts w:ascii="Calibri" w:eastAsia="Calibri" w:hAnsi="Calibri" w:cs="Calibri"/>
        </w:rPr>
        <w:t>Notably, the authors did not report on collinearity between nor interactions among the variables in this analysis (</w:t>
      </w:r>
      <w:proofErr w:type="spellStart"/>
      <w:r w:rsidR="00A0311A">
        <w:rPr>
          <w:rFonts w:ascii="Calibri" w:eastAsia="Calibri" w:hAnsi="Calibri" w:cs="Calibri"/>
        </w:rPr>
        <w:t>Derman</w:t>
      </w:r>
      <w:proofErr w:type="spellEnd"/>
      <w:r w:rsidR="00A0311A">
        <w:rPr>
          <w:rFonts w:ascii="Calibri" w:eastAsia="Calibri" w:hAnsi="Calibri" w:cs="Calibri"/>
        </w:rPr>
        <w:t xml:space="preserve"> et al., 2020). Therefore, we are limited to the assumption that each of these variables have independent effects on progression free and overall survival rates. Notably, an independent analysis considering collinearity and interactions would be possible with access to Flatiron Health microdata.</w:t>
      </w:r>
    </w:p>
    <w:p w14:paraId="7333735C" w14:textId="77777777" w:rsidR="00BB708E" w:rsidRPr="005510E8" w:rsidRDefault="005510E8" w:rsidP="00C745B4">
      <w:pPr>
        <w:spacing w:line="257" w:lineRule="auto"/>
        <w:rPr>
          <w:rFonts w:ascii="Calibri" w:eastAsia="Calibri" w:hAnsi="Calibri" w:cs="Calibri"/>
          <w:sz w:val="16"/>
        </w:rPr>
      </w:pPr>
      <w:r w:rsidRPr="005510E8">
        <w:rPr>
          <w:rFonts w:ascii="Calibri" w:eastAsia="Calibri" w:hAnsi="Calibri" w:cs="Calibri"/>
          <w:sz w:val="16"/>
        </w:rPr>
        <w:t>Table 5.</w:t>
      </w:r>
      <w:r>
        <w:rPr>
          <w:rFonts w:ascii="Calibri" w:eastAsia="Calibri" w:hAnsi="Calibri" w:cs="Calibri"/>
          <w:sz w:val="16"/>
        </w:rPr>
        <w:t xml:space="preserve"> Hazard ratios of relevant covariates on progression free and overall survival </w:t>
      </w:r>
      <w:r w:rsidR="005B2E31">
        <w:rPr>
          <w:rFonts w:ascii="Calibri" w:eastAsia="Calibri" w:hAnsi="Calibri" w:cs="Calibri"/>
          <w:sz w:val="16"/>
        </w:rPr>
        <w:t xml:space="preserve">from multivariate analysis adjusted for all variables shown and additional treatment-related variables </w:t>
      </w:r>
      <w:r>
        <w:rPr>
          <w:rFonts w:ascii="Calibri" w:eastAsia="Calibri" w:hAnsi="Calibri" w:cs="Calibri"/>
          <w:sz w:val="16"/>
        </w:rPr>
        <w:t xml:space="preserve">obtained from </w:t>
      </w:r>
      <w:proofErr w:type="spellStart"/>
      <w:r>
        <w:rPr>
          <w:rFonts w:ascii="Calibri" w:eastAsia="Calibri" w:hAnsi="Calibri" w:cs="Calibri"/>
          <w:sz w:val="16"/>
        </w:rPr>
        <w:t>Derman</w:t>
      </w:r>
      <w:proofErr w:type="spellEnd"/>
      <w:r>
        <w:rPr>
          <w:rFonts w:ascii="Calibri" w:eastAsia="Calibri" w:hAnsi="Calibri" w:cs="Calibri"/>
          <w:sz w:val="16"/>
        </w:rPr>
        <w:t xml:space="preserve"> et al. (2020).</w:t>
      </w:r>
    </w:p>
    <w:tbl>
      <w:tblPr>
        <w:tblStyle w:val="TableGrid"/>
        <w:tblW w:w="9445" w:type="dxa"/>
        <w:tblLayout w:type="fixed"/>
        <w:tblLook w:val="04A0" w:firstRow="1" w:lastRow="0" w:firstColumn="1" w:lastColumn="0" w:noHBand="0" w:noVBand="1"/>
      </w:tblPr>
      <w:tblGrid>
        <w:gridCol w:w="1525"/>
        <w:gridCol w:w="1710"/>
        <w:gridCol w:w="1890"/>
        <w:gridCol w:w="2250"/>
        <w:gridCol w:w="2070"/>
      </w:tblGrid>
      <w:tr w:rsidR="00DF7FC3" w14:paraId="25755F01" w14:textId="77777777" w:rsidTr="003E799A">
        <w:tc>
          <w:tcPr>
            <w:tcW w:w="1525" w:type="dxa"/>
          </w:tcPr>
          <w:p w14:paraId="17DD91D3" w14:textId="77777777" w:rsidR="00DF7FC3" w:rsidRPr="00060E1D" w:rsidRDefault="00DF7FC3" w:rsidP="00C745B4">
            <w:pPr>
              <w:spacing w:line="257" w:lineRule="auto"/>
              <w:rPr>
                <w:rFonts w:ascii="Calibri" w:eastAsia="Calibri" w:hAnsi="Calibri" w:cs="Calibri"/>
                <w:b/>
              </w:rPr>
            </w:pPr>
            <w:r w:rsidRPr="00060E1D">
              <w:rPr>
                <w:rFonts w:ascii="Calibri" w:eastAsia="Calibri" w:hAnsi="Calibri" w:cs="Calibri"/>
                <w:b/>
              </w:rPr>
              <w:t>Covariate</w:t>
            </w:r>
          </w:p>
        </w:tc>
        <w:tc>
          <w:tcPr>
            <w:tcW w:w="1710" w:type="dxa"/>
          </w:tcPr>
          <w:p w14:paraId="2A3019CE" w14:textId="77777777" w:rsidR="00DF7FC3" w:rsidRPr="00EB66DF" w:rsidRDefault="00DF7FC3" w:rsidP="00C745B4">
            <w:pPr>
              <w:spacing w:line="257" w:lineRule="auto"/>
              <w:rPr>
                <w:rFonts w:ascii="Calibri" w:eastAsia="Calibri" w:hAnsi="Calibri" w:cs="Calibri"/>
                <w:b/>
              </w:rPr>
            </w:pPr>
            <w:r w:rsidRPr="00EB66DF">
              <w:rPr>
                <w:rFonts w:ascii="Calibri" w:eastAsia="Calibri" w:hAnsi="Calibri" w:cs="Calibri"/>
                <w:b/>
              </w:rPr>
              <w:t>HR for progression free survival</w:t>
            </w:r>
          </w:p>
        </w:tc>
        <w:tc>
          <w:tcPr>
            <w:tcW w:w="1890" w:type="dxa"/>
          </w:tcPr>
          <w:p w14:paraId="125AB8A0" w14:textId="77777777" w:rsidR="00DF7FC3" w:rsidRPr="00EB66DF" w:rsidRDefault="00DF7FC3" w:rsidP="00C745B4">
            <w:pPr>
              <w:spacing w:line="257" w:lineRule="auto"/>
              <w:rPr>
                <w:rFonts w:ascii="Calibri" w:eastAsia="Calibri" w:hAnsi="Calibri" w:cs="Calibri"/>
                <w:b/>
              </w:rPr>
            </w:pPr>
            <w:r w:rsidRPr="00EB66DF">
              <w:rPr>
                <w:rFonts w:ascii="Calibri" w:eastAsia="Calibri" w:hAnsi="Calibri" w:cs="Calibri"/>
                <w:b/>
              </w:rPr>
              <w:t>HR for overall survival</w:t>
            </w:r>
          </w:p>
        </w:tc>
        <w:tc>
          <w:tcPr>
            <w:tcW w:w="2250" w:type="dxa"/>
          </w:tcPr>
          <w:p w14:paraId="3D697BDC" w14:textId="77777777" w:rsidR="00DF7FC3" w:rsidRPr="00EB66DF" w:rsidRDefault="00DF7FC3" w:rsidP="00C745B4">
            <w:pPr>
              <w:spacing w:line="257" w:lineRule="auto"/>
              <w:rPr>
                <w:rFonts w:ascii="Calibri" w:eastAsia="Calibri" w:hAnsi="Calibri" w:cs="Calibri"/>
                <w:b/>
              </w:rPr>
            </w:pPr>
            <w:r w:rsidRPr="00EB66DF">
              <w:rPr>
                <w:rFonts w:ascii="Calibri" w:eastAsia="Calibri" w:hAnsi="Calibri" w:cs="Calibri"/>
                <w:b/>
              </w:rPr>
              <w:t>Group of interest</w:t>
            </w:r>
          </w:p>
        </w:tc>
        <w:tc>
          <w:tcPr>
            <w:tcW w:w="2070" w:type="dxa"/>
          </w:tcPr>
          <w:p w14:paraId="12C1876F" w14:textId="77777777" w:rsidR="00DF7FC3" w:rsidRPr="00EB66DF" w:rsidRDefault="00DF7FC3" w:rsidP="00C745B4">
            <w:pPr>
              <w:spacing w:line="257" w:lineRule="auto"/>
              <w:rPr>
                <w:rFonts w:ascii="Calibri" w:eastAsia="Calibri" w:hAnsi="Calibri" w:cs="Calibri"/>
                <w:b/>
              </w:rPr>
            </w:pPr>
            <w:r w:rsidRPr="00EB66DF">
              <w:rPr>
                <w:rFonts w:ascii="Calibri" w:eastAsia="Calibri" w:hAnsi="Calibri" w:cs="Calibri"/>
                <w:b/>
              </w:rPr>
              <w:t>Reference group</w:t>
            </w:r>
          </w:p>
        </w:tc>
      </w:tr>
      <w:tr w:rsidR="00DF7FC3" w14:paraId="4F7F088F" w14:textId="77777777" w:rsidTr="003E799A">
        <w:tc>
          <w:tcPr>
            <w:tcW w:w="1525" w:type="dxa"/>
          </w:tcPr>
          <w:p w14:paraId="22CA6D40" w14:textId="77777777" w:rsidR="00DF7FC3" w:rsidRDefault="00DF7FC3" w:rsidP="00C745B4">
            <w:pPr>
              <w:spacing w:line="257" w:lineRule="auto"/>
              <w:rPr>
                <w:rFonts w:ascii="Calibri" w:eastAsia="Calibri" w:hAnsi="Calibri" w:cs="Calibri"/>
              </w:rPr>
            </w:pPr>
            <w:r>
              <w:rPr>
                <w:rFonts w:ascii="Calibri" w:eastAsia="Calibri" w:hAnsi="Calibri" w:cs="Calibri"/>
              </w:rPr>
              <w:t>Sex</w:t>
            </w:r>
          </w:p>
        </w:tc>
        <w:tc>
          <w:tcPr>
            <w:tcW w:w="1710" w:type="dxa"/>
          </w:tcPr>
          <w:p w14:paraId="4ACDF974" w14:textId="77777777" w:rsidR="00DF7FC3" w:rsidRDefault="00DF7FC3" w:rsidP="00DF7FC3">
            <w:pPr>
              <w:spacing w:line="257" w:lineRule="auto"/>
              <w:rPr>
                <w:rFonts w:ascii="Calibri" w:eastAsia="Calibri" w:hAnsi="Calibri" w:cs="Calibri"/>
              </w:rPr>
            </w:pPr>
            <w:r>
              <w:rPr>
                <w:rFonts w:ascii="Calibri" w:eastAsia="Calibri" w:hAnsi="Calibri" w:cs="Calibri"/>
              </w:rPr>
              <w:t>1.1 (0.9 – 1.5)</w:t>
            </w:r>
          </w:p>
        </w:tc>
        <w:tc>
          <w:tcPr>
            <w:tcW w:w="1890" w:type="dxa"/>
          </w:tcPr>
          <w:p w14:paraId="5AE7C2BD" w14:textId="77777777" w:rsidR="00DF7FC3" w:rsidRDefault="00DF7FC3" w:rsidP="00DF7FC3">
            <w:pPr>
              <w:spacing w:line="257" w:lineRule="auto"/>
              <w:rPr>
                <w:rFonts w:ascii="Calibri" w:eastAsia="Calibri" w:hAnsi="Calibri" w:cs="Calibri"/>
              </w:rPr>
            </w:pPr>
            <w:r>
              <w:rPr>
                <w:rFonts w:ascii="Calibri" w:eastAsia="Calibri" w:hAnsi="Calibri" w:cs="Calibri"/>
              </w:rPr>
              <w:t>1.5 (0.97 – 2.2)</w:t>
            </w:r>
          </w:p>
        </w:tc>
        <w:tc>
          <w:tcPr>
            <w:tcW w:w="2250" w:type="dxa"/>
          </w:tcPr>
          <w:p w14:paraId="0826A035" w14:textId="77777777" w:rsidR="00DF7FC3" w:rsidRDefault="00DF7FC3" w:rsidP="00C745B4">
            <w:pPr>
              <w:spacing w:line="257" w:lineRule="auto"/>
              <w:rPr>
                <w:rFonts w:ascii="Calibri" w:eastAsia="Calibri" w:hAnsi="Calibri" w:cs="Calibri"/>
              </w:rPr>
            </w:pPr>
            <w:r>
              <w:rPr>
                <w:rFonts w:ascii="Calibri" w:eastAsia="Calibri" w:hAnsi="Calibri" w:cs="Calibri"/>
              </w:rPr>
              <w:t>Male</w:t>
            </w:r>
          </w:p>
        </w:tc>
        <w:tc>
          <w:tcPr>
            <w:tcW w:w="2070" w:type="dxa"/>
          </w:tcPr>
          <w:p w14:paraId="4CDCD909" w14:textId="77777777" w:rsidR="00DF7FC3" w:rsidRDefault="00DF7FC3" w:rsidP="00C745B4">
            <w:pPr>
              <w:spacing w:line="257" w:lineRule="auto"/>
              <w:rPr>
                <w:rFonts w:ascii="Calibri" w:eastAsia="Calibri" w:hAnsi="Calibri" w:cs="Calibri"/>
              </w:rPr>
            </w:pPr>
            <w:r>
              <w:rPr>
                <w:rFonts w:ascii="Calibri" w:eastAsia="Calibri" w:hAnsi="Calibri" w:cs="Calibri"/>
              </w:rPr>
              <w:t>Female</w:t>
            </w:r>
          </w:p>
        </w:tc>
      </w:tr>
      <w:tr w:rsidR="00DF7FC3" w14:paraId="0EDA13E9" w14:textId="77777777" w:rsidTr="003E799A">
        <w:tc>
          <w:tcPr>
            <w:tcW w:w="1525" w:type="dxa"/>
          </w:tcPr>
          <w:p w14:paraId="57782B11" w14:textId="77777777" w:rsidR="00DF7FC3" w:rsidRDefault="00DF7FC3" w:rsidP="00C745B4">
            <w:pPr>
              <w:spacing w:line="257" w:lineRule="auto"/>
              <w:rPr>
                <w:rFonts w:ascii="Calibri" w:eastAsia="Calibri" w:hAnsi="Calibri" w:cs="Calibri"/>
              </w:rPr>
            </w:pPr>
            <w:r>
              <w:rPr>
                <w:rFonts w:ascii="Calibri" w:eastAsia="Calibri" w:hAnsi="Calibri" w:cs="Calibri"/>
              </w:rPr>
              <w:t>Age</w:t>
            </w:r>
          </w:p>
        </w:tc>
        <w:tc>
          <w:tcPr>
            <w:tcW w:w="1710" w:type="dxa"/>
          </w:tcPr>
          <w:p w14:paraId="38191234" w14:textId="77777777" w:rsidR="00DF7FC3" w:rsidRDefault="00DF7FC3" w:rsidP="00DF7FC3">
            <w:pPr>
              <w:spacing w:line="257" w:lineRule="auto"/>
              <w:rPr>
                <w:rFonts w:ascii="Calibri" w:eastAsia="Calibri" w:hAnsi="Calibri" w:cs="Calibri"/>
              </w:rPr>
            </w:pPr>
            <w:r>
              <w:rPr>
                <w:rFonts w:ascii="Calibri" w:eastAsia="Calibri" w:hAnsi="Calibri" w:cs="Calibri"/>
              </w:rPr>
              <w:t>1.2 (0.9 – 1.6)</w:t>
            </w:r>
          </w:p>
        </w:tc>
        <w:tc>
          <w:tcPr>
            <w:tcW w:w="1890" w:type="dxa"/>
          </w:tcPr>
          <w:p w14:paraId="34DC255D" w14:textId="77777777" w:rsidR="00DF7FC3" w:rsidRDefault="00DF7FC3" w:rsidP="00DF7FC3">
            <w:pPr>
              <w:spacing w:line="257" w:lineRule="auto"/>
              <w:rPr>
                <w:rFonts w:ascii="Calibri" w:eastAsia="Calibri" w:hAnsi="Calibri" w:cs="Calibri"/>
              </w:rPr>
            </w:pPr>
            <w:r>
              <w:rPr>
                <w:rFonts w:ascii="Calibri" w:eastAsia="Calibri" w:hAnsi="Calibri" w:cs="Calibri"/>
              </w:rPr>
              <w:t>1.3 (0.9 – 2.0)</w:t>
            </w:r>
          </w:p>
        </w:tc>
        <w:tc>
          <w:tcPr>
            <w:tcW w:w="2250" w:type="dxa"/>
          </w:tcPr>
          <w:p w14:paraId="7C923DC5" w14:textId="77777777" w:rsidR="00DF7FC3" w:rsidRDefault="00DF7FC3" w:rsidP="00882839">
            <w:pPr>
              <w:spacing w:line="257" w:lineRule="auto"/>
              <w:rPr>
                <w:rFonts w:ascii="Calibri" w:eastAsia="Calibri" w:hAnsi="Calibri" w:cs="Calibri"/>
              </w:rPr>
            </w:pPr>
            <w:r>
              <w:rPr>
                <w:rFonts w:ascii="Calibri" w:eastAsia="Calibri" w:hAnsi="Calibri" w:cs="Calibri"/>
              </w:rPr>
              <w:t>65+</w:t>
            </w:r>
          </w:p>
        </w:tc>
        <w:tc>
          <w:tcPr>
            <w:tcW w:w="2070" w:type="dxa"/>
          </w:tcPr>
          <w:p w14:paraId="1158985E" w14:textId="77777777" w:rsidR="00DF7FC3" w:rsidRDefault="00DF7FC3" w:rsidP="00C745B4">
            <w:pPr>
              <w:spacing w:line="257" w:lineRule="auto"/>
              <w:rPr>
                <w:rFonts w:ascii="Calibri" w:eastAsia="Calibri" w:hAnsi="Calibri" w:cs="Calibri"/>
              </w:rPr>
            </w:pPr>
            <w:r>
              <w:rPr>
                <w:rFonts w:ascii="Calibri" w:eastAsia="Calibri" w:hAnsi="Calibri" w:cs="Calibri"/>
              </w:rPr>
              <w:t>Under 65</w:t>
            </w:r>
          </w:p>
        </w:tc>
      </w:tr>
      <w:tr w:rsidR="00DF7FC3" w14:paraId="6859366D" w14:textId="77777777" w:rsidTr="003E799A">
        <w:tc>
          <w:tcPr>
            <w:tcW w:w="1525" w:type="dxa"/>
          </w:tcPr>
          <w:p w14:paraId="5F3A893D" w14:textId="77777777" w:rsidR="00DF7FC3" w:rsidRDefault="00DF7FC3" w:rsidP="00C745B4">
            <w:pPr>
              <w:spacing w:line="257" w:lineRule="auto"/>
              <w:rPr>
                <w:rFonts w:ascii="Calibri" w:eastAsia="Calibri" w:hAnsi="Calibri" w:cs="Calibri"/>
              </w:rPr>
            </w:pPr>
            <w:r>
              <w:rPr>
                <w:rFonts w:ascii="Calibri" w:eastAsia="Calibri" w:hAnsi="Calibri" w:cs="Calibri"/>
              </w:rPr>
              <w:t>Race</w:t>
            </w:r>
          </w:p>
        </w:tc>
        <w:tc>
          <w:tcPr>
            <w:tcW w:w="1710" w:type="dxa"/>
          </w:tcPr>
          <w:p w14:paraId="63AFE0D2" w14:textId="77777777" w:rsidR="00DF7FC3" w:rsidRDefault="00DF7FC3" w:rsidP="00DF7FC3">
            <w:pPr>
              <w:spacing w:line="257" w:lineRule="auto"/>
              <w:rPr>
                <w:rFonts w:ascii="Calibri" w:eastAsia="Calibri" w:hAnsi="Calibri" w:cs="Calibri"/>
              </w:rPr>
            </w:pPr>
            <w:r>
              <w:rPr>
                <w:rFonts w:ascii="Calibri" w:eastAsia="Calibri" w:hAnsi="Calibri" w:cs="Calibri"/>
              </w:rPr>
              <w:t>1.2 (0.8 - 1.7)</w:t>
            </w:r>
          </w:p>
        </w:tc>
        <w:tc>
          <w:tcPr>
            <w:tcW w:w="1890" w:type="dxa"/>
          </w:tcPr>
          <w:p w14:paraId="6D50B533" w14:textId="77777777" w:rsidR="00DF7FC3" w:rsidRDefault="00DF7FC3" w:rsidP="00DF7FC3">
            <w:pPr>
              <w:spacing w:line="257" w:lineRule="auto"/>
              <w:rPr>
                <w:rFonts w:ascii="Calibri" w:eastAsia="Calibri" w:hAnsi="Calibri" w:cs="Calibri"/>
              </w:rPr>
            </w:pPr>
            <w:r>
              <w:rPr>
                <w:rFonts w:ascii="Calibri" w:eastAsia="Calibri" w:hAnsi="Calibri" w:cs="Calibri"/>
              </w:rPr>
              <w:t>1.4 (0.9 - 2.3)</w:t>
            </w:r>
          </w:p>
        </w:tc>
        <w:tc>
          <w:tcPr>
            <w:tcW w:w="2250" w:type="dxa"/>
          </w:tcPr>
          <w:p w14:paraId="4C44485B" w14:textId="77777777" w:rsidR="00DF7FC3" w:rsidRDefault="00DF7FC3" w:rsidP="00C745B4">
            <w:pPr>
              <w:spacing w:line="257" w:lineRule="auto"/>
              <w:rPr>
                <w:rFonts w:ascii="Calibri" w:eastAsia="Calibri" w:hAnsi="Calibri" w:cs="Calibri"/>
              </w:rPr>
            </w:pPr>
            <w:r>
              <w:rPr>
                <w:rFonts w:ascii="Calibri" w:eastAsia="Calibri" w:hAnsi="Calibri" w:cs="Calibri"/>
              </w:rPr>
              <w:t>Black race</w:t>
            </w:r>
          </w:p>
        </w:tc>
        <w:tc>
          <w:tcPr>
            <w:tcW w:w="2070" w:type="dxa"/>
          </w:tcPr>
          <w:p w14:paraId="7298BB60" w14:textId="77777777" w:rsidR="00DF7FC3" w:rsidRDefault="00DF7FC3" w:rsidP="00C745B4">
            <w:pPr>
              <w:spacing w:line="257" w:lineRule="auto"/>
              <w:rPr>
                <w:rFonts w:ascii="Calibri" w:eastAsia="Calibri" w:hAnsi="Calibri" w:cs="Calibri"/>
              </w:rPr>
            </w:pPr>
            <w:r>
              <w:rPr>
                <w:rFonts w:ascii="Calibri" w:eastAsia="Calibri" w:hAnsi="Calibri" w:cs="Calibri"/>
              </w:rPr>
              <w:t>White race</w:t>
            </w:r>
          </w:p>
        </w:tc>
      </w:tr>
      <w:tr w:rsidR="009F1D78" w14:paraId="1FC6DFC9" w14:textId="77777777" w:rsidTr="00F35937">
        <w:tc>
          <w:tcPr>
            <w:tcW w:w="1525" w:type="dxa"/>
          </w:tcPr>
          <w:p w14:paraId="4189EACF" w14:textId="77777777" w:rsidR="009F1D78" w:rsidRDefault="009F1D78" w:rsidP="00C745B4">
            <w:pPr>
              <w:spacing w:line="257" w:lineRule="auto"/>
              <w:rPr>
                <w:rFonts w:ascii="Calibri" w:eastAsia="Calibri" w:hAnsi="Calibri" w:cs="Calibri"/>
              </w:rPr>
            </w:pPr>
            <w:r>
              <w:rPr>
                <w:rFonts w:ascii="Calibri" w:eastAsia="Calibri" w:hAnsi="Calibri" w:cs="Calibri"/>
              </w:rPr>
              <w:t>Cytogenetic risk</w:t>
            </w:r>
            <w:r w:rsidR="006540C5">
              <w:rPr>
                <w:rFonts w:ascii="Calibri" w:eastAsia="Calibri" w:hAnsi="Calibri" w:cs="Calibri"/>
              </w:rPr>
              <w:t>*</w:t>
            </w:r>
          </w:p>
        </w:tc>
        <w:tc>
          <w:tcPr>
            <w:tcW w:w="1710" w:type="dxa"/>
          </w:tcPr>
          <w:p w14:paraId="6301E0A9" w14:textId="77777777" w:rsidR="009F1D78" w:rsidRDefault="009F1D78" w:rsidP="00044268">
            <w:pPr>
              <w:spacing w:line="257" w:lineRule="auto"/>
              <w:rPr>
                <w:rFonts w:ascii="Calibri" w:eastAsia="Calibri" w:hAnsi="Calibri" w:cs="Calibri"/>
              </w:rPr>
            </w:pPr>
            <w:r>
              <w:rPr>
                <w:rFonts w:ascii="Calibri" w:eastAsia="Calibri" w:hAnsi="Calibri" w:cs="Calibri"/>
              </w:rPr>
              <w:t>1.</w:t>
            </w:r>
            <w:r w:rsidR="00044268">
              <w:rPr>
                <w:rFonts w:ascii="Calibri" w:eastAsia="Calibri" w:hAnsi="Calibri" w:cs="Calibri"/>
              </w:rPr>
              <w:t>3</w:t>
            </w:r>
            <w:r>
              <w:rPr>
                <w:rFonts w:ascii="Calibri" w:eastAsia="Calibri" w:hAnsi="Calibri" w:cs="Calibri"/>
              </w:rPr>
              <w:t xml:space="preserve"> (1.</w:t>
            </w:r>
            <w:r w:rsidR="00044268">
              <w:rPr>
                <w:rFonts w:ascii="Calibri" w:eastAsia="Calibri" w:hAnsi="Calibri" w:cs="Calibri"/>
              </w:rPr>
              <w:t>1</w:t>
            </w:r>
            <w:r>
              <w:rPr>
                <w:rFonts w:ascii="Calibri" w:eastAsia="Calibri" w:hAnsi="Calibri" w:cs="Calibri"/>
              </w:rPr>
              <w:t xml:space="preserve"> </w:t>
            </w:r>
            <w:r w:rsidR="00044268">
              <w:rPr>
                <w:rFonts w:ascii="Calibri" w:eastAsia="Calibri" w:hAnsi="Calibri" w:cs="Calibri"/>
              </w:rPr>
              <w:t>–</w:t>
            </w:r>
            <w:r>
              <w:rPr>
                <w:rFonts w:ascii="Calibri" w:eastAsia="Calibri" w:hAnsi="Calibri" w:cs="Calibri"/>
              </w:rPr>
              <w:t xml:space="preserve"> </w:t>
            </w:r>
            <w:r w:rsidR="00044268">
              <w:rPr>
                <w:rFonts w:ascii="Calibri" w:eastAsia="Calibri" w:hAnsi="Calibri" w:cs="Calibri"/>
              </w:rPr>
              <w:t>1.5</w:t>
            </w:r>
            <w:r>
              <w:rPr>
                <w:rFonts w:ascii="Calibri" w:eastAsia="Calibri" w:hAnsi="Calibri" w:cs="Calibri"/>
              </w:rPr>
              <w:t>)</w:t>
            </w:r>
          </w:p>
        </w:tc>
        <w:tc>
          <w:tcPr>
            <w:tcW w:w="1890" w:type="dxa"/>
          </w:tcPr>
          <w:p w14:paraId="5A14AEF3" w14:textId="77777777" w:rsidR="009F1D78" w:rsidRDefault="009F1D78" w:rsidP="00044268">
            <w:pPr>
              <w:spacing w:line="257" w:lineRule="auto"/>
              <w:rPr>
                <w:rFonts w:ascii="Calibri" w:eastAsia="Calibri" w:hAnsi="Calibri" w:cs="Calibri"/>
              </w:rPr>
            </w:pPr>
            <w:r>
              <w:rPr>
                <w:rFonts w:ascii="Calibri" w:eastAsia="Calibri" w:hAnsi="Calibri" w:cs="Calibri"/>
              </w:rPr>
              <w:t>1.</w:t>
            </w:r>
            <w:r w:rsidR="00044268">
              <w:rPr>
                <w:rFonts w:ascii="Calibri" w:eastAsia="Calibri" w:hAnsi="Calibri" w:cs="Calibri"/>
              </w:rPr>
              <w:t>5</w:t>
            </w:r>
            <w:r>
              <w:rPr>
                <w:rFonts w:ascii="Calibri" w:eastAsia="Calibri" w:hAnsi="Calibri" w:cs="Calibri"/>
              </w:rPr>
              <w:t xml:space="preserve"> (1.2 – </w:t>
            </w:r>
            <w:r w:rsidR="00044268">
              <w:rPr>
                <w:rFonts w:ascii="Calibri" w:eastAsia="Calibri" w:hAnsi="Calibri" w:cs="Calibri"/>
              </w:rPr>
              <w:t>1.9</w:t>
            </w:r>
            <w:r>
              <w:rPr>
                <w:rFonts w:ascii="Calibri" w:eastAsia="Calibri" w:hAnsi="Calibri" w:cs="Calibri"/>
              </w:rPr>
              <w:t>)</w:t>
            </w:r>
          </w:p>
        </w:tc>
        <w:tc>
          <w:tcPr>
            <w:tcW w:w="4320" w:type="dxa"/>
            <w:gridSpan w:val="2"/>
          </w:tcPr>
          <w:p w14:paraId="66888E45" w14:textId="77777777" w:rsidR="009F1D78" w:rsidRDefault="009F1D78" w:rsidP="00C745B4">
            <w:pPr>
              <w:spacing w:line="257" w:lineRule="auto"/>
              <w:rPr>
                <w:rFonts w:ascii="Calibri" w:eastAsia="Calibri" w:hAnsi="Calibri" w:cs="Calibri"/>
              </w:rPr>
            </w:pPr>
            <w:r>
              <w:rPr>
                <w:rFonts w:ascii="Calibri" w:eastAsia="Calibri" w:hAnsi="Calibri" w:cs="Calibri"/>
              </w:rPr>
              <w:t xml:space="preserve">Increase in the number of cytogenetic abnormalities (including </w:t>
            </w:r>
            <w:r w:rsidR="00044268">
              <w:rPr>
                <w:rFonts w:ascii="Calibri" w:eastAsia="Calibri" w:hAnsi="Calibri" w:cs="Calibri"/>
              </w:rPr>
              <w:t>deletion 17p/TP53, 1q gain or amplification, t(4;14), t(14;16), and t(14;20)</w:t>
            </w:r>
          </w:p>
        </w:tc>
      </w:tr>
      <w:tr w:rsidR="006540C5" w14:paraId="1D4A282F" w14:textId="77777777" w:rsidTr="00F35937">
        <w:tc>
          <w:tcPr>
            <w:tcW w:w="1525" w:type="dxa"/>
          </w:tcPr>
          <w:p w14:paraId="2B83D905" w14:textId="77777777" w:rsidR="006540C5" w:rsidRDefault="006540C5" w:rsidP="006540C5">
            <w:pPr>
              <w:spacing w:line="257" w:lineRule="auto"/>
              <w:rPr>
                <w:rFonts w:ascii="Calibri" w:eastAsia="Calibri" w:hAnsi="Calibri" w:cs="Calibri"/>
              </w:rPr>
            </w:pPr>
            <w:r>
              <w:rPr>
                <w:rFonts w:ascii="Calibri" w:eastAsia="Calibri" w:hAnsi="Calibri" w:cs="Calibri"/>
              </w:rPr>
              <w:t>High risk by UAMS70</w:t>
            </w:r>
          </w:p>
        </w:tc>
        <w:tc>
          <w:tcPr>
            <w:tcW w:w="1710" w:type="dxa"/>
          </w:tcPr>
          <w:p w14:paraId="7C2954BA" w14:textId="77777777" w:rsidR="006540C5" w:rsidRDefault="006540C5" w:rsidP="00DF7FC3">
            <w:pPr>
              <w:spacing w:line="257" w:lineRule="auto"/>
              <w:rPr>
                <w:rFonts w:ascii="Calibri" w:eastAsia="Calibri" w:hAnsi="Calibri" w:cs="Calibri"/>
              </w:rPr>
            </w:pPr>
            <w:r>
              <w:rPr>
                <w:rFonts w:ascii="Calibri" w:eastAsia="Calibri" w:hAnsi="Calibri" w:cs="Calibri"/>
              </w:rPr>
              <w:t>1.6 (1.2 – 2.4)</w:t>
            </w:r>
          </w:p>
        </w:tc>
        <w:tc>
          <w:tcPr>
            <w:tcW w:w="1890" w:type="dxa"/>
          </w:tcPr>
          <w:p w14:paraId="58A46173" w14:textId="77777777" w:rsidR="006540C5" w:rsidRDefault="006540C5" w:rsidP="00DF7FC3">
            <w:pPr>
              <w:spacing w:line="257" w:lineRule="auto"/>
              <w:rPr>
                <w:rFonts w:ascii="Calibri" w:eastAsia="Calibri" w:hAnsi="Calibri" w:cs="Calibri"/>
              </w:rPr>
            </w:pPr>
            <w:r>
              <w:rPr>
                <w:rFonts w:ascii="Calibri" w:eastAsia="Calibri" w:hAnsi="Calibri" w:cs="Calibri"/>
              </w:rPr>
              <w:t xml:space="preserve">1.9 (1.2 – 3.0) </w:t>
            </w:r>
          </w:p>
        </w:tc>
        <w:tc>
          <w:tcPr>
            <w:tcW w:w="2250" w:type="dxa"/>
          </w:tcPr>
          <w:p w14:paraId="353B589D" w14:textId="77777777" w:rsidR="006540C5" w:rsidRDefault="006540C5" w:rsidP="00C745B4">
            <w:pPr>
              <w:spacing w:line="257" w:lineRule="auto"/>
              <w:rPr>
                <w:rFonts w:ascii="Calibri" w:eastAsia="Calibri" w:hAnsi="Calibri" w:cs="Calibri"/>
              </w:rPr>
            </w:pPr>
            <w:r>
              <w:rPr>
                <w:rFonts w:ascii="Calibri" w:eastAsia="Calibri" w:hAnsi="Calibri" w:cs="Calibri"/>
              </w:rPr>
              <w:t>High risk</w:t>
            </w:r>
          </w:p>
        </w:tc>
        <w:tc>
          <w:tcPr>
            <w:tcW w:w="2070" w:type="dxa"/>
          </w:tcPr>
          <w:p w14:paraId="40C33EB9" w14:textId="77777777" w:rsidR="006540C5" w:rsidRDefault="006540C5" w:rsidP="00C745B4">
            <w:pPr>
              <w:spacing w:line="257" w:lineRule="auto"/>
              <w:rPr>
                <w:rFonts w:ascii="Calibri" w:eastAsia="Calibri" w:hAnsi="Calibri" w:cs="Calibri"/>
              </w:rPr>
            </w:pPr>
            <w:r>
              <w:rPr>
                <w:rFonts w:ascii="Calibri" w:eastAsia="Calibri" w:hAnsi="Calibri" w:cs="Calibri"/>
              </w:rPr>
              <w:t>Low risk</w:t>
            </w:r>
          </w:p>
        </w:tc>
      </w:tr>
      <w:tr w:rsidR="00DF7FC3" w14:paraId="4A91AD66" w14:textId="77777777" w:rsidTr="003E799A">
        <w:tc>
          <w:tcPr>
            <w:tcW w:w="1525" w:type="dxa"/>
          </w:tcPr>
          <w:p w14:paraId="40F458E8" w14:textId="77777777" w:rsidR="00DF7FC3" w:rsidRDefault="00DF7FC3" w:rsidP="00C745B4">
            <w:pPr>
              <w:spacing w:line="257" w:lineRule="auto"/>
              <w:rPr>
                <w:rFonts w:ascii="Calibri" w:eastAsia="Calibri" w:hAnsi="Calibri" w:cs="Calibri"/>
              </w:rPr>
            </w:pPr>
            <w:r>
              <w:rPr>
                <w:rFonts w:ascii="Calibri" w:eastAsia="Calibri" w:hAnsi="Calibri" w:cs="Calibri"/>
              </w:rPr>
              <w:t>Renal function</w:t>
            </w:r>
          </w:p>
        </w:tc>
        <w:tc>
          <w:tcPr>
            <w:tcW w:w="1710" w:type="dxa"/>
          </w:tcPr>
          <w:p w14:paraId="7903A135" w14:textId="77777777" w:rsidR="00DF7FC3" w:rsidRDefault="00DF7FC3" w:rsidP="00DF7FC3">
            <w:pPr>
              <w:spacing w:line="257" w:lineRule="auto"/>
              <w:rPr>
                <w:rFonts w:ascii="Calibri" w:eastAsia="Calibri" w:hAnsi="Calibri" w:cs="Calibri"/>
              </w:rPr>
            </w:pPr>
            <w:r>
              <w:rPr>
                <w:rFonts w:ascii="Calibri" w:eastAsia="Calibri" w:hAnsi="Calibri" w:cs="Calibri"/>
              </w:rPr>
              <w:t>0.95 (0.7 – 1.3)</w:t>
            </w:r>
          </w:p>
        </w:tc>
        <w:tc>
          <w:tcPr>
            <w:tcW w:w="1890" w:type="dxa"/>
          </w:tcPr>
          <w:p w14:paraId="1B4C61CC" w14:textId="77777777" w:rsidR="00DF7FC3" w:rsidRDefault="00DF7FC3" w:rsidP="00DF7FC3">
            <w:pPr>
              <w:spacing w:line="257" w:lineRule="auto"/>
              <w:rPr>
                <w:rFonts w:ascii="Calibri" w:eastAsia="Calibri" w:hAnsi="Calibri" w:cs="Calibri"/>
              </w:rPr>
            </w:pPr>
            <w:r>
              <w:rPr>
                <w:rFonts w:ascii="Calibri" w:eastAsia="Calibri" w:hAnsi="Calibri" w:cs="Calibri"/>
              </w:rPr>
              <w:t>1.1 (0.7 – 1.7)</w:t>
            </w:r>
          </w:p>
        </w:tc>
        <w:tc>
          <w:tcPr>
            <w:tcW w:w="2250" w:type="dxa"/>
          </w:tcPr>
          <w:p w14:paraId="5C50862E" w14:textId="77777777" w:rsidR="00DF7FC3" w:rsidRDefault="00DF7FC3" w:rsidP="00C745B4">
            <w:pPr>
              <w:spacing w:line="257" w:lineRule="auto"/>
              <w:rPr>
                <w:rFonts w:ascii="Calibri" w:eastAsia="Calibri" w:hAnsi="Calibri" w:cs="Calibri"/>
              </w:rPr>
            </w:pPr>
            <w:r>
              <w:rPr>
                <w:rFonts w:ascii="Calibri" w:eastAsia="Calibri" w:hAnsi="Calibri" w:cs="Calibri"/>
              </w:rPr>
              <w:t xml:space="preserve">&lt;60 </w:t>
            </w:r>
            <w:proofErr w:type="spellStart"/>
            <w:r>
              <w:rPr>
                <w:rFonts w:ascii="Calibri" w:eastAsia="Calibri" w:hAnsi="Calibri" w:cs="Calibri"/>
              </w:rPr>
              <w:t>eGFR</w:t>
            </w:r>
            <w:proofErr w:type="spellEnd"/>
          </w:p>
        </w:tc>
        <w:tc>
          <w:tcPr>
            <w:tcW w:w="2070" w:type="dxa"/>
          </w:tcPr>
          <w:p w14:paraId="18387FF6" w14:textId="77777777" w:rsidR="00DF7FC3" w:rsidRDefault="00DF7FC3" w:rsidP="00C745B4">
            <w:pPr>
              <w:spacing w:line="257" w:lineRule="auto"/>
              <w:rPr>
                <w:rFonts w:ascii="Calibri" w:eastAsia="Calibri" w:hAnsi="Calibri" w:cs="Calibri"/>
              </w:rPr>
            </w:pPr>
            <w:r>
              <w:rPr>
                <w:rFonts w:ascii="Calibri" w:eastAsia="Calibri" w:hAnsi="Calibri" w:cs="Calibri"/>
              </w:rPr>
              <w:t xml:space="preserve">&gt;60 </w:t>
            </w:r>
            <w:proofErr w:type="spellStart"/>
            <w:r>
              <w:rPr>
                <w:rFonts w:ascii="Calibri" w:eastAsia="Calibri" w:hAnsi="Calibri" w:cs="Calibri"/>
              </w:rPr>
              <w:t>eGFR</w:t>
            </w:r>
            <w:proofErr w:type="spellEnd"/>
          </w:p>
        </w:tc>
      </w:tr>
      <w:tr w:rsidR="003A45E5" w14:paraId="0C6C8B0F" w14:textId="77777777" w:rsidTr="003E799A">
        <w:tc>
          <w:tcPr>
            <w:tcW w:w="1525" w:type="dxa"/>
          </w:tcPr>
          <w:p w14:paraId="51B60243" w14:textId="77777777" w:rsidR="003A45E5" w:rsidRDefault="003A45E5" w:rsidP="003E799A">
            <w:pPr>
              <w:spacing w:line="257" w:lineRule="auto"/>
              <w:rPr>
                <w:rFonts w:ascii="Calibri" w:eastAsia="Calibri" w:hAnsi="Calibri" w:cs="Calibri"/>
              </w:rPr>
            </w:pPr>
            <w:r>
              <w:rPr>
                <w:rFonts w:ascii="Calibri" w:eastAsia="Calibri" w:hAnsi="Calibri" w:cs="Calibri"/>
              </w:rPr>
              <w:t>ECOG performance</w:t>
            </w:r>
            <w:r w:rsidR="00A0311A">
              <w:rPr>
                <w:rFonts w:ascii="Calibri" w:eastAsia="Calibri" w:hAnsi="Calibri" w:cs="Calibri"/>
              </w:rPr>
              <w:t xml:space="preserve"> score </w:t>
            </w:r>
          </w:p>
        </w:tc>
        <w:tc>
          <w:tcPr>
            <w:tcW w:w="1710" w:type="dxa"/>
          </w:tcPr>
          <w:p w14:paraId="4E81A6DF" w14:textId="77777777" w:rsidR="003A45E5" w:rsidRDefault="003E799A" w:rsidP="00DF7FC3">
            <w:pPr>
              <w:spacing w:line="257" w:lineRule="auto"/>
              <w:rPr>
                <w:rFonts w:ascii="Calibri" w:eastAsia="Calibri" w:hAnsi="Calibri" w:cs="Calibri"/>
              </w:rPr>
            </w:pPr>
            <w:r>
              <w:rPr>
                <w:rFonts w:ascii="Calibri" w:eastAsia="Calibri" w:hAnsi="Calibri" w:cs="Calibri"/>
              </w:rPr>
              <w:t xml:space="preserve">0.97 (0.7 – 1.4) </w:t>
            </w:r>
          </w:p>
        </w:tc>
        <w:tc>
          <w:tcPr>
            <w:tcW w:w="1890" w:type="dxa"/>
          </w:tcPr>
          <w:p w14:paraId="5EEB8D61" w14:textId="77777777" w:rsidR="003A45E5" w:rsidRDefault="003E799A" w:rsidP="00DF7FC3">
            <w:pPr>
              <w:spacing w:line="257" w:lineRule="auto"/>
              <w:rPr>
                <w:rFonts w:ascii="Calibri" w:eastAsia="Calibri" w:hAnsi="Calibri" w:cs="Calibri"/>
              </w:rPr>
            </w:pPr>
            <w:r>
              <w:rPr>
                <w:rFonts w:ascii="Calibri" w:eastAsia="Calibri" w:hAnsi="Calibri" w:cs="Calibri"/>
              </w:rPr>
              <w:t>1.0 (0.7 – 1.6)</w:t>
            </w:r>
          </w:p>
        </w:tc>
        <w:tc>
          <w:tcPr>
            <w:tcW w:w="2250" w:type="dxa"/>
          </w:tcPr>
          <w:p w14:paraId="0D9BB050" w14:textId="77777777" w:rsidR="003A45E5" w:rsidRDefault="003E799A" w:rsidP="00C745B4">
            <w:pPr>
              <w:spacing w:line="257" w:lineRule="auto"/>
              <w:rPr>
                <w:rFonts w:ascii="Calibri" w:eastAsia="Calibri" w:hAnsi="Calibri" w:cs="Calibri"/>
              </w:rPr>
            </w:pPr>
            <w:r>
              <w:rPr>
                <w:rFonts w:ascii="Calibri" w:eastAsia="Calibri" w:hAnsi="Calibri" w:cs="Calibri"/>
              </w:rPr>
              <w:t>ECOG performance status score of 2 or above</w:t>
            </w:r>
          </w:p>
        </w:tc>
        <w:tc>
          <w:tcPr>
            <w:tcW w:w="2070" w:type="dxa"/>
          </w:tcPr>
          <w:p w14:paraId="28C79A05" w14:textId="77777777" w:rsidR="003A45E5" w:rsidRDefault="003E799A" w:rsidP="00C745B4">
            <w:pPr>
              <w:spacing w:line="257" w:lineRule="auto"/>
              <w:rPr>
                <w:rFonts w:ascii="Calibri" w:eastAsia="Calibri" w:hAnsi="Calibri" w:cs="Calibri"/>
              </w:rPr>
            </w:pPr>
            <w:r>
              <w:rPr>
                <w:rFonts w:ascii="Calibri" w:eastAsia="Calibri" w:hAnsi="Calibri" w:cs="Calibri"/>
              </w:rPr>
              <w:t>ECOG performance status score less than 2</w:t>
            </w:r>
          </w:p>
        </w:tc>
      </w:tr>
      <w:tr w:rsidR="003E799A" w14:paraId="65668848" w14:textId="77777777" w:rsidTr="003E799A">
        <w:tc>
          <w:tcPr>
            <w:tcW w:w="1525" w:type="dxa"/>
          </w:tcPr>
          <w:p w14:paraId="3B1F7EBD" w14:textId="77777777" w:rsidR="003E799A" w:rsidRDefault="003E799A" w:rsidP="00C745B4">
            <w:pPr>
              <w:spacing w:line="257" w:lineRule="auto"/>
              <w:rPr>
                <w:rFonts w:ascii="Calibri" w:eastAsia="Calibri" w:hAnsi="Calibri" w:cs="Calibri"/>
              </w:rPr>
            </w:pPr>
            <w:r>
              <w:rPr>
                <w:rFonts w:ascii="Calibri" w:eastAsia="Calibri" w:hAnsi="Calibri" w:cs="Calibri"/>
              </w:rPr>
              <w:t>ISS status</w:t>
            </w:r>
          </w:p>
        </w:tc>
        <w:tc>
          <w:tcPr>
            <w:tcW w:w="1710" w:type="dxa"/>
          </w:tcPr>
          <w:p w14:paraId="424DECA8" w14:textId="77777777" w:rsidR="003E799A" w:rsidRPr="006540C5" w:rsidRDefault="003E799A" w:rsidP="006540C5">
            <w:pPr>
              <w:spacing w:line="257" w:lineRule="auto"/>
              <w:rPr>
                <w:rFonts w:ascii="Calibri" w:eastAsia="Calibri" w:hAnsi="Calibri" w:cs="Calibri"/>
              </w:rPr>
            </w:pPr>
            <w:r w:rsidRPr="006540C5">
              <w:rPr>
                <w:rFonts w:ascii="Calibri" w:eastAsia="Calibri" w:hAnsi="Calibri" w:cs="Calibri"/>
              </w:rPr>
              <w:t>1.</w:t>
            </w:r>
            <w:r w:rsidR="006540C5" w:rsidRPr="006540C5">
              <w:rPr>
                <w:rFonts w:ascii="Calibri" w:eastAsia="Calibri" w:hAnsi="Calibri" w:cs="Calibri"/>
              </w:rPr>
              <w:t>3</w:t>
            </w:r>
            <w:r w:rsidRPr="006540C5">
              <w:rPr>
                <w:rFonts w:ascii="Calibri" w:eastAsia="Calibri" w:hAnsi="Calibri" w:cs="Calibri"/>
              </w:rPr>
              <w:t xml:space="preserve"> (1.</w:t>
            </w:r>
            <w:r w:rsidR="006540C5" w:rsidRPr="006540C5">
              <w:rPr>
                <w:rFonts w:ascii="Calibri" w:eastAsia="Calibri" w:hAnsi="Calibri" w:cs="Calibri"/>
              </w:rPr>
              <w:t>04</w:t>
            </w:r>
            <w:r w:rsidRPr="006540C5">
              <w:rPr>
                <w:rFonts w:ascii="Calibri" w:eastAsia="Calibri" w:hAnsi="Calibri" w:cs="Calibri"/>
              </w:rPr>
              <w:t xml:space="preserve"> – </w:t>
            </w:r>
            <w:r w:rsidR="006540C5" w:rsidRPr="006540C5">
              <w:rPr>
                <w:rFonts w:ascii="Calibri" w:eastAsia="Calibri" w:hAnsi="Calibri" w:cs="Calibri"/>
              </w:rPr>
              <w:t>1.5</w:t>
            </w:r>
            <w:r w:rsidRPr="006540C5">
              <w:rPr>
                <w:rFonts w:ascii="Calibri" w:eastAsia="Calibri" w:hAnsi="Calibri" w:cs="Calibri"/>
              </w:rPr>
              <w:t>)</w:t>
            </w:r>
          </w:p>
        </w:tc>
        <w:tc>
          <w:tcPr>
            <w:tcW w:w="1890" w:type="dxa"/>
          </w:tcPr>
          <w:p w14:paraId="427CB442" w14:textId="77777777" w:rsidR="003E799A" w:rsidRPr="006540C5" w:rsidRDefault="003E799A" w:rsidP="006540C5">
            <w:pPr>
              <w:spacing w:line="257" w:lineRule="auto"/>
              <w:rPr>
                <w:rFonts w:ascii="Calibri" w:eastAsia="Calibri" w:hAnsi="Calibri" w:cs="Calibri"/>
              </w:rPr>
            </w:pPr>
            <w:r w:rsidRPr="006540C5">
              <w:rPr>
                <w:rFonts w:ascii="Calibri" w:eastAsia="Calibri" w:hAnsi="Calibri" w:cs="Calibri"/>
              </w:rPr>
              <w:t>1.</w:t>
            </w:r>
            <w:r w:rsidR="006540C5" w:rsidRPr="006540C5">
              <w:rPr>
                <w:rFonts w:ascii="Calibri" w:eastAsia="Calibri" w:hAnsi="Calibri" w:cs="Calibri"/>
              </w:rPr>
              <w:t>5</w:t>
            </w:r>
            <w:r w:rsidRPr="006540C5">
              <w:rPr>
                <w:rFonts w:ascii="Calibri" w:eastAsia="Calibri" w:hAnsi="Calibri" w:cs="Calibri"/>
              </w:rPr>
              <w:t xml:space="preserve"> (1.</w:t>
            </w:r>
            <w:r w:rsidR="006540C5" w:rsidRPr="006540C5">
              <w:rPr>
                <w:rFonts w:ascii="Calibri" w:eastAsia="Calibri" w:hAnsi="Calibri" w:cs="Calibri"/>
              </w:rPr>
              <w:t>1</w:t>
            </w:r>
            <w:r w:rsidRPr="006540C5">
              <w:rPr>
                <w:rFonts w:ascii="Calibri" w:eastAsia="Calibri" w:hAnsi="Calibri" w:cs="Calibri"/>
              </w:rPr>
              <w:t xml:space="preserve"> – </w:t>
            </w:r>
            <w:r w:rsidR="006540C5" w:rsidRPr="006540C5">
              <w:rPr>
                <w:rFonts w:ascii="Calibri" w:eastAsia="Calibri" w:hAnsi="Calibri" w:cs="Calibri"/>
              </w:rPr>
              <w:t>2</w:t>
            </w:r>
            <w:r w:rsidRPr="006540C5">
              <w:rPr>
                <w:rFonts w:ascii="Calibri" w:eastAsia="Calibri" w:hAnsi="Calibri" w:cs="Calibri"/>
              </w:rPr>
              <w:t>.0)</w:t>
            </w:r>
          </w:p>
        </w:tc>
        <w:tc>
          <w:tcPr>
            <w:tcW w:w="4320" w:type="dxa"/>
            <w:gridSpan w:val="2"/>
          </w:tcPr>
          <w:p w14:paraId="451C2FE7" w14:textId="77777777" w:rsidR="003E799A" w:rsidRDefault="003E799A" w:rsidP="006540C5">
            <w:pPr>
              <w:spacing w:line="257" w:lineRule="auto"/>
              <w:rPr>
                <w:rFonts w:ascii="Calibri" w:eastAsia="Calibri" w:hAnsi="Calibri" w:cs="Calibri"/>
              </w:rPr>
            </w:pPr>
            <w:r>
              <w:rPr>
                <w:rFonts w:ascii="Calibri" w:eastAsia="Calibri" w:hAnsi="Calibri" w:cs="Calibri"/>
              </w:rPr>
              <w:t>Unit increase in ISS status score</w:t>
            </w:r>
          </w:p>
        </w:tc>
      </w:tr>
    </w:tbl>
    <w:p w14:paraId="29872A6B" w14:textId="77777777" w:rsidR="00BB708E" w:rsidRDefault="006540C5" w:rsidP="00555662">
      <w:pPr>
        <w:spacing w:line="257" w:lineRule="auto"/>
        <w:rPr>
          <w:rFonts w:ascii="Calibri" w:eastAsia="Calibri" w:hAnsi="Calibri" w:cs="Calibri"/>
        </w:rPr>
      </w:pPr>
      <w:r>
        <w:rPr>
          <w:rFonts w:ascii="Calibri" w:eastAsia="Calibri" w:hAnsi="Calibri" w:cs="Calibri"/>
        </w:rPr>
        <w:t>*The authors found that this effect was modified by race such that it was present in white patients but not black.</w:t>
      </w:r>
    </w:p>
    <w:p w14:paraId="417312CD" w14:textId="77777777" w:rsidR="009102F0" w:rsidRDefault="00555662" w:rsidP="009102F0">
      <w:pPr>
        <w:spacing w:line="257" w:lineRule="auto"/>
        <w:rPr>
          <w:rFonts w:ascii="Calibri" w:eastAsia="Calibri" w:hAnsi="Calibri" w:cs="Calibri"/>
        </w:rPr>
      </w:pPr>
      <w:r w:rsidRPr="00555662">
        <w:rPr>
          <w:rFonts w:ascii="Calibri" w:eastAsia="Calibri" w:hAnsi="Calibri" w:cs="Calibri"/>
        </w:rPr>
        <w:t>The</w:t>
      </w:r>
      <w:r w:rsidR="00A0311A" w:rsidRPr="00555662">
        <w:rPr>
          <w:rFonts w:ascii="Calibri" w:eastAsia="Calibri" w:hAnsi="Calibri" w:cs="Calibri"/>
        </w:rPr>
        <w:t xml:space="preserve"> Flatiron health and the MAIA trail populations substantially varied with respect to age, race, cytogenetic risk, renal impairment, ECOG performance status score, and ISS stage at diagnosis</w:t>
      </w:r>
      <w:r w:rsidRPr="00555662">
        <w:rPr>
          <w:rFonts w:ascii="Calibri" w:eastAsia="Calibri" w:hAnsi="Calibri" w:cs="Calibri"/>
        </w:rPr>
        <w:t>. However, given that only the cytogenetic risk and ISS stage variables were found to be associated with progression free and overall survival at a statistically significant level and that the differences between the Flatiron health and MAIA trial populations were more substantial with regard to cytogenetic risk than ISS stage, we chose to standardized the MAIA trial population to the Flatiron Health population with regard to cytogenetic risk only.</w:t>
      </w:r>
      <w:r w:rsidR="00F46B99">
        <w:rPr>
          <w:rFonts w:ascii="Calibri" w:eastAsia="Calibri" w:hAnsi="Calibri" w:cs="Calibri"/>
        </w:rPr>
        <w:t xml:space="preserve"> </w:t>
      </w:r>
      <w:r w:rsidR="009102F0">
        <w:rPr>
          <w:rFonts w:ascii="Calibri" w:eastAsia="Calibri" w:hAnsi="Calibri" w:cs="Calibri"/>
        </w:rPr>
        <w:t xml:space="preserve">We chose not to additionally standardize to ISS stage due to the expected correlation between the two variables and the lack of a joint distribution with cytogenetic risk exposure reported in the MAIA trial participants. </w:t>
      </w:r>
    </w:p>
    <w:p w14:paraId="76A52AB2" w14:textId="77777777" w:rsidR="00970F1B" w:rsidRDefault="00970F1B" w:rsidP="009102F0">
      <w:pPr>
        <w:spacing w:line="257" w:lineRule="auto"/>
        <w:rPr>
          <w:rFonts w:ascii="Calibri" w:eastAsia="Calibri" w:hAnsi="Calibri" w:cs="Calibri"/>
        </w:rPr>
      </w:pPr>
      <w:commentRangeStart w:id="1"/>
      <w:r w:rsidRPr="00970F1B">
        <w:rPr>
          <w:rFonts w:ascii="Calibri" w:eastAsia="Calibri" w:hAnsi="Calibri" w:cs="Calibri"/>
          <w:highlight w:val="yellow"/>
        </w:rPr>
        <w:t xml:space="preserve">While </w:t>
      </w:r>
      <w:proofErr w:type="spellStart"/>
      <w:r w:rsidRPr="00970F1B">
        <w:rPr>
          <w:rFonts w:ascii="Calibri" w:eastAsia="Calibri" w:hAnsi="Calibri" w:cs="Calibri"/>
          <w:highlight w:val="yellow"/>
        </w:rPr>
        <w:t>Derman</w:t>
      </w:r>
      <w:proofErr w:type="spellEnd"/>
      <w:r w:rsidRPr="00970F1B">
        <w:rPr>
          <w:rFonts w:ascii="Calibri" w:eastAsia="Calibri" w:hAnsi="Calibri" w:cs="Calibri"/>
          <w:highlight w:val="yellow"/>
        </w:rPr>
        <w:t xml:space="preserve"> et al. (2020) found that the effect of cytogenetic risk was modified by race, we do not currently consider this, which is a limitation of our analysis</w:t>
      </w:r>
      <w:commentRangeEnd w:id="1"/>
      <w:r w:rsidR="000E586C">
        <w:rPr>
          <w:rStyle w:val="CommentReference"/>
        </w:rPr>
        <w:commentReference w:id="1"/>
      </w:r>
      <w:r w:rsidRPr="00970F1B">
        <w:rPr>
          <w:rFonts w:ascii="Calibri" w:eastAsia="Calibri" w:hAnsi="Calibri" w:cs="Calibri"/>
          <w:highlight w:val="yellow"/>
        </w:rPr>
        <w:t>.</w:t>
      </w:r>
      <w:r>
        <w:rPr>
          <w:rFonts w:ascii="Calibri" w:eastAsia="Calibri" w:hAnsi="Calibri" w:cs="Calibri"/>
        </w:rPr>
        <w:t xml:space="preserve"> </w:t>
      </w:r>
      <w:r w:rsidRPr="00101203">
        <w:rPr>
          <w:rFonts w:ascii="Calibri" w:eastAsia="Calibri" w:hAnsi="Calibri" w:cs="Calibri"/>
        </w:rPr>
        <w:t>Due to a lack of more detailed data</w:t>
      </w:r>
      <w:r w:rsidR="00101203">
        <w:rPr>
          <w:rFonts w:ascii="Calibri" w:eastAsia="Calibri" w:hAnsi="Calibri" w:cs="Calibri"/>
        </w:rPr>
        <w:t xml:space="preserve"> from Flatiron Health and the MAIA trial</w:t>
      </w:r>
      <w:r w:rsidRPr="00101203">
        <w:rPr>
          <w:rFonts w:ascii="Calibri" w:eastAsia="Calibri" w:hAnsi="Calibri" w:cs="Calibri"/>
        </w:rPr>
        <w:t xml:space="preserve">, we assumed </w:t>
      </w:r>
      <w:r w:rsidR="00101203" w:rsidRPr="00101203">
        <w:rPr>
          <w:rFonts w:ascii="Calibri" w:eastAsia="Calibri" w:hAnsi="Calibri" w:cs="Calibri"/>
        </w:rPr>
        <w:t xml:space="preserve">that of those with at least one high risk cytogenetic abnormality, 75% had one and 25% had two. This assumption was obtained based on data reported by </w:t>
      </w:r>
      <w:proofErr w:type="spellStart"/>
      <w:r w:rsidR="00101203" w:rsidRPr="00101203">
        <w:rPr>
          <w:rFonts w:ascii="Calibri" w:eastAsia="Calibri" w:hAnsi="Calibri" w:cs="Calibri"/>
        </w:rPr>
        <w:t>Derman</w:t>
      </w:r>
      <w:proofErr w:type="spellEnd"/>
      <w:r w:rsidR="00101203" w:rsidRPr="00101203">
        <w:rPr>
          <w:rFonts w:ascii="Calibri" w:eastAsia="Calibri" w:hAnsi="Calibri" w:cs="Calibri"/>
        </w:rPr>
        <w:t xml:space="preserve"> et al. (2020) that 243 patients had one high risk cytogenetic abnormality and 84 had at least two. Based on this assumption, we weighted the hazard ratio reported by </w:t>
      </w:r>
      <w:proofErr w:type="spellStart"/>
      <w:r w:rsidR="00101203" w:rsidRPr="00101203">
        <w:rPr>
          <w:rFonts w:ascii="Calibri" w:eastAsia="Calibri" w:hAnsi="Calibri" w:cs="Calibri"/>
        </w:rPr>
        <w:t>Derman</w:t>
      </w:r>
      <w:proofErr w:type="spellEnd"/>
      <w:r w:rsidR="00101203" w:rsidRPr="00101203">
        <w:rPr>
          <w:rFonts w:ascii="Calibri" w:eastAsia="Calibri" w:hAnsi="Calibri" w:cs="Calibri"/>
        </w:rPr>
        <w:t xml:space="preserve"> for an increase in the </w:t>
      </w:r>
      <w:r w:rsidR="00101203" w:rsidRPr="00101203">
        <w:rPr>
          <w:rFonts w:ascii="Calibri" w:eastAsia="Calibri" w:hAnsi="Calibri" w:cs="Calibri"/>
        </w:rPr>
        <w:lastRenderedPageBreak/>
        <w:t xml:space="preserve">number of high risk cytogenetic abnormalities such that the summary hazard ratio for HRCA on PFS was 1.375 (95% CI: 1.125, 1.625) and OS was 1.625 (95% CI: 1.25, </w:t>
      </w:r>
      <w:r w:rsidR="00101203">
        <w:rPr>
          <w:rFonts w:ascii="Calibri" w:eastAsia="Calibri" w:hAnsi="Calibri" w:cs="Calibri"/>
        </w:rPr>
        <w:t>2.125) relative to those with no high risk cytogenetic abnormalities.</w:t>
      </w:r>
      <w:r>
        <w:rPr>
          <w:rFonts w:ascii="Calibri" w:eastAsia="Calibri" w:hAnsi="Calibri" w:cs="Calibri"/>
        </w:rPr>
        <w:t xml:space="preserve"> </w:t>
      </w:r>
    </w:p>
    <w:p w14:paraId="3963E1E8" w14:textId="77777777" w:rsidR="00F46B99" w:rsidRDefault="00555662" w:rsidP="00555662">
      <w:pPr>
        <w:spacing w:line="257" w:lineRule="auto"/>
        <w:rPr>
          <w:rFonts w:ascii="Calibri" w:eastAsia="Calibri" w:hAnsi="Calibri" w:cs="Calibri"/>
        </w:rPr>
      </w:pPr>
      <w:r>
        <w:rPr>
          <w:rFonts w:ascii="Calibri" w:eastAsia="Calibri" w:hAnsi="Calibri" w:cs="Calibri"/>
        </w:rPr>
        <w:t>The steps taken to perform this standardization and derive the hazard ratios for each treatment category at the first line of treatment</w:t>
      </w:r>
      <w:r w:rsidR="00970F1B">
        <w:rPr>
          <w:rFonts w:ascii="Calibri" w:eastAsia="Calibri" w:hAnsi="Calibri" w:cs="Calibri"/>
        </w:rPr>
        <w:t xml:space="preserve"> for overall survival. Because </w:t>
      </w:r>
      <w:proofErr w:type="spellStart"/>
      <w:r w:rsidR="00970F1B">
        <w:rPr>
          <w:rFonts w:ascii="Calibri" w:eastAsia="Calibri" w:hAnsi="Calibri" w:cs="Calibri"/>
        </w:rPr>
        <w:t>Braunlin</w:t>
      </w:r>
      <w:proofErr w:type="spellEnd"/>
      <w:r w:rsidR="00970F1B">
        <w:rPr>
          <w:rFonts w:ascii="Calibri" w:eastAsia="Calibri" w:hAnsi="Calibri" w:cs="Calibri"/>
        </w:rPr>
        <w:t xml:space="preserve"> et al. (2020) did not report progression free survival for the Flatiron health cohort, we chose to repeat the process outlined below for overall survival using duration of treatment hazard rates, which we will ultimately use to inform progression free survival hazard ratios in our simulation.</w:t>
      </w:r>
    </w:p>
    <w:p w14:paraId="47DE42D8" w14:textId="77777777" w:rsidR="00CF38E3" w:rsidRDefault="00CF38E3" w:rsidP="00C745B4">
      <w:pPr>
        <w:spacing w:line="257" w:lineRule="auto"/>
        <w:rPr>
          <w:rFonts w:ascii="Calibri" w:eastAsia="Calibri" w:hAnsi="Calibri" w:cs="Calibri"/>
        </w:rPr>
      </w:pPr>
      <w:r w:rsidRPr="00555662">
        <w:rPr>
          <w:rFonts w:ascii="Calibri" w:eastAsia="Calibri" w:hAnsi="Calibri" w:cs="Calibri"/>
          <w:b/>
        </w:rPr>
        <w:t>Step 1:</w:t>
      </w:r>
      <w:r>
        <w:rPr>
          <w:rFonts w:ascii="Calibri" w:eastAsia="Calibri" w:hAnsi="Calibri" w:cs="Calibri"/>
        </w:rPr>
        <w:t xml:space="preserve"> Calculate MAIA trial overall survival hazard rate using the </w:t>
      </w:r>
      <w:r w:rsidR="00970F1B">
        <w:rPr>
          <w:rFonts w:ascii="Calibri" w:eastAsia="Calibri" w:hAnsi="Calibri" w:cs="Calibri"/>
        </w:rPr>
        <w:t>overall</w:t>
      </w:r>
      <w:r>
        <w:rPr>
          <w:rFonts w:ascii="Calibri" w:eastAsia="Calibri" w:hAnsi="Calibri" w:cs="Calibri"/>
        </w:rPr>
        <w:t xml:space="preserve"> survival rate of </w:t>
      </w:r>
      <w:r w:rsidR="00970F1B">
        <w:rPr>
          <w:rFonts w:ascii="Calibri" w:eastAsia="Calibri" w:hAnsi="Calibri" w:cs="Calibri"/>
        </w:rPr>
        <w:t>83</w:t>
      </w:r>
      <w:r>
        <w:rPr>
          <w:rFonts w:ascii="Calibri" w:eastAsia="Calibri" w:hAnsi="Calibri" w:cs="Calibri"/>
        </w:rPr>
        <w:t>.</w:t>
      </w:r>
      <w:r w:rsidR="00970F1B">
        <w:rPr>
          <w:rFonts w:ascii="Calibri" w:eastAsia="Calibri" w:hAnsi="Calibri" w:cs="Calibri"/>
        </w:rPr>
        <w:t>2</w:t>
      </w:r>
      <w:r>
        <w:rPr>
          <w:rFonts w:ascii="Calibri" w:eastAsia="Calibri" w:hAnsi="Calibri" w:cs="Calibri"/>
        </w:rPr>
        <w:t xml:space="preserve">% at </w:t>
      </w:r>
      <w:r w:rsidR="00970F1B">
        <w:rPr>
          <w:rFonts w:ascii="Calibri" w:eastAsia="Calibri" w:hAnsi="Calibri" w:cs="Calibri"/>
        </w:rPr>
        <w:t>28</w:t>
      </w:r>
      <w:r>
        <w:rPr>
          <w:rFonts w:ascii="Calibri" w:eastAsia="Calibri" w:hAnsi="Calibri" w:cs="Calibri"/>
        </w:rPr>
        <w:t xml:space="preserve"> months.</w:t>
      </w:r>
    </w:p>
    <w:p w14:paraId="34B72FD6" w14:textId="77777777" w:rsidR="00555662" w:rsidRDefault="00555662" w:rsidP="00555662">
      <w:pPr>
        <w:spacing w:line="257" w:lineRule="auto"/>
        <w:jc w:val="center"/>
        <w:rPr>
          <w:rFonts w:ascii="Calibri" w:eastAsia="Calibri" w:hAnsi="Calibri" w:cs="Calibri"/>
        </w:rPr>
      </w:pPr>
      <m:oMathPara>
        <m:oMath>
          <m:r>
            <w:rPr>
              <w:rFonts w:ascii="Cambria Math" w:eastAsia="Calibri" w:hAnsi="Cambria Math" w:cs="Calibri"/>
            </w:rPr>
            <m:t>h=</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(S</m:t>
              </m:r>
              <m:d>
                <m:dPr>
                  <m:ctrlPr>
                    <w:rPr>
                      <w:rFonts w:ascii="Cambria Math" w:eastAsia="Calibri" w:hAnsi="Cambria Math" w:cs="Calibri"/>
                      <w:i/>
                    </w:rPr>
                  </m:ctrlPr>
                </m:dPr>
                <m:e>
                  <m:r>
                    <w:rPr>
                      <w:rFonts w:ascii="Cambria Math" w:eastAsia="Calibri" w:hAnsi="Cambria Math" w:cs="Calibri"/>
                    </w:rPr>
                    <m:t>t</m:t>
                  </m:r>
                </m:e>
              </m:d>
              <m:r>
                <w:rPr>
                  <w:rFonts w:ascii="Cambria Math" w:eastAsia="Calibri" w:hAnsi="Cambria Math" w:cs="Calibri"/>
                </w:rPr>
                <m:t>)</m:t>
              </m:r>
            </m:num>
            <m:den>
              <m:r>
                <w:rPr>
                  <w:rFonts w:ascii="Cambria Math" w:eastAsia="Calibri" w:hAnsi="Cambria Math" w:cs="Calibri"/>
                </w:rPr>
                <m:t>t</m:t>
              </m:r>
            </m:den>
          </m:f>
        </m:oMath>
      </m:oMathPara>
    </w:p>
    <w:p w14:paraId="72B2F6A3" w14:textId="77777777" w:rsidR="00CF38E3" w:rsidRPr="00CF38E3" w:rsidRDefault="00CF38E3" w:rsidP="00C745B4">
      <w:pPr>
        <w:spacing w:line="257" w:lineRule="auto"/>
        <w:rPr>
          <w:rFonts w:ascii="Calibri" w:eastAsia="Calibri" w:hAnsi="Calibri" w:cs="Calibri"/>
        </w:rPr>
      </w:pPr>
      <m:oMathPara>
        <m:oMath>
          <m:r>
            <w:rPr>
              <w:rFonts w:ascii="Cambria Math" w:eastAsia="Calibri" w:hAnsi="Cambria Math" w:cs="Calibri"/>
            </w:rPr>
            <m:t xml:space="preserve"> </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(0.</m:t>
              </m:r>
              <m:r>
                <w:rPr>
                  <w:rFonts w:ascii="Cambria Math" w:eastAsia="Calibri" w:hAnsi="Cambria Math" w:cs="Calibri"/>
                </w:rPr>
                <m:t>832</m:t>
              </m:r>
              <m:r>
                <w:rPr>
                  <w:rFonts w:ascii="Cambria Math" w:eastAsia="Calibri" w:hAnsi="Cambria Math" w:cs="Calibri"/>
                </w:rPr>
                <m:t>)</m:t>
              </m:r>
            </m:num>
            <m:den>
              <m:r>
                <w:rPr>
                  <w:rFonts w:ascii="Cambria Math" w:eastAsia="Calibri" w:hAnsi="Cambria Math" w:cs="Calibri"/>
                </w:rPr>
                <m:t>28</m:t>
              </m:r>
            </m:den>
          </m:f>
          <m:r>
            <w:rPr>
              <w:rFonts w:ascii="Cambria Math" w:eastAsia="Calibri" w:hAnsi="Cambria Math" w:cs="Calibri"/>
            </w:rPr>
            <m:t>=0.0</m:t>
          </m:r>
          <m:r>
            <w:rPr>
              <w:rFonts w:ascii="Cambria Math" w:eastAsia="Calibri" w:hAnsi="Cambria Math" w:cs="Calibri"/>
            </w:rPr>
            <m:t>0657</m:t>
          </m:r>
        </m:oMath>
      </m:oMathPara>
    </w:p>
    <w:p w14:paraId="56ACB982" w14:textId="77777777" w:rsidR="00CF38E3" w:rsidRDefault="00CF38E3" w:rsidP="00C745B4">
      <w:pPr>
        <w:spacing w:line="257" w:lineRule="auto"/>
        <w:rPr>
          <w:rFonts w:ascii="Calibri" w:eastAsia="Calibri" w:hAnsi="Calibri" w:cs="Calibri"/>
        </w:rPr>
      </w:pPr>
      <w:r w:rsidRPr="00555662">
        <w:rPr>
          <w:rFonts w:ascii="Calibri" w:eastAsia="Calibri" w:hAnsi="Calibri" w:cs="Calibri"/>
          <w:b/>
        </w:rPr>
        <w:t>Step 2:</w:t>
      </w:r>
      <w:r>
        <w:rPr>
          <w:rFonts w:ascii="Calibri" w:eastAsia="Calibri" w:hAnsi="Calibri" w:cs="Calibri"/>
        </w:rPr>
        <w:t xml:space="preserve"> Calculate MAIA trial </w:t>
      </w:r>
      <w:r w:rsidR="00970F1B">
        <w:rPr>
          <w:rFonts w:ascii="Calibri" w:eastAsia="Calibri" w:hAnsi="Calibri" w:cs="Calibri"/>
        </w:rPr>
        <w:t>overall</w:t>
      </w:r>
      <w:r>
        <w:rPr>
          <w:rFonts w:ascii="Calibri" w:eastAsia="Calibri" w:hAnsi="Calibri" w:cs="Calibri"/>
        </w:rPr>
        <w:t xml:space="preserve"> survival hazard rates stratified by cytogenetic risk using the </w:t>
      </w:r>
      <w:r w:rsidR="00970F1B">
        <w:rPr>
          <w:rFonts w:ascii="Calibri" w:eastAsia="Calibri" w:hAnsi="Calibri" w:cs="Calibri"/>
        </w:rPr>
        <w:t xml:space="preserve">trial </w:t>
      </w:r>
      <w:r>
        <w:rPr>
          <w:rFonts w:ascii="Calibri" w:eastAsia="Calibri" w:hAnsi="Calibri" w:cs="Calibri"/>
        </w:rPr>
        <w:t xml:space="preserve">overall survival hazard rate (calculated in step 1), the </w:t>
      </w:r>
      <w:r w:rsidR="00970F1B">
        <w:rPr>
          <w:rFonts w:ascii="Calibri" w:eastAsia="Calibri" w:hAnsi="Calibri" w:cs="Calibri"/>
        </w:rPr>
        <w:t>cytogenetic risk hazard ratio for overall</w:t>
      </w:r>
      <w:r>
        <w:rPr>
          <w:rFonts w:ascii="Calibri" w:eastAsia="Calibri" w:hAnsi="Calibri" w:cs="Calibri"/>
        </w:rPr>
        <w:t xml:space="preserve"> survival (1.</w:t>
      </w:r>
      <w:r w:rsidR="00970F1B">
        <w:rPr>
          <w:rFonts w:ascii="Calibri" w:eastAsia="Calibri" w:hAnsi="Calibri" w:cs="Calibri"/>
        </w:rPr>
        <w:t>5</w:t>
      </w:r>
      <w:r>
        <w:rPr>
          <w:rFonts w:ascii="Calibri" w:eastAsia="Calibri" w:hAnsi="Calibri" w:cs="Calibri"/>
        </w:rPr>
        <w:t>), and the prevalence of high risk cytogenetic patients (15%).</w:t>
      </w:r>
    </w:p>
    <w:p w14:paraId="3B559874" w14:textId="77777777" w:rsidR="00555662" w:rsidRDefault="00555662" w:rsidP="00555662">
      <w:pPr>
        <w:spacing w:line="257" w:lineRule="auto"/>
        <w:rPr>
          <w:rFonts w:ascii="Calibri" w:eastAsia="Calibri" w:hAnsi="Calibri" w:cs="Calibri"/>
        </w:rPr>
      </w:pPr>
      <w:r>
        <w:rPr>
          <w:rFonts w:ascii="Calibri" w:eastAsia="Calibri" w:hAnsi="Calibri" w:cs="Calibri"/>
        </w:rPr>
        <w:t>Given:</w:t>
      </w:r>
    </w:p>
    <w:p w14:paraId="5DC66704" w14:textId="77777777" w:rsidR="00555662" w:rsidRPr="00574CD5" w:rsidRDefault="00555662" w:rsidP="00555662">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m:t>
          </m:r>
          <m:d>
            <m:dPr>
              <m:ctrlPr>
                <w:rPr>
                  <w:rFonts w:ascii="Cambria Math" w:eastAsia="Calibri" w:hAnsi="Cambria Math" w:cs="Calibri"/>
                  <w:i/>
                </w:rPr>
              </m:ctrlPr>
            </m:dPr>
            <m:e>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e>
          </m:d>
        </m:oMath>
      </m:oMathPara>
    </w:p>
    <w:p w14:paraId="1F6AEC3B" w14:textId="77777777" w:rsidR="00555662" w:rsidRPr="00574CD5" w:rsidRDefault="00555662" w:rsidP="00555662">
      <w:pPr>
        <w:spacing w:line="257" w:lineRule="auto"/>
        <w:jc w:val="center"/>
        <w:rPr>
          <w:rFonts w:ascii="Calibri" w:eastAsia="Calibri" w:hAnsi="Calibri" w:cs="Calibri"/>
        </w:rPr>
      </w:pPr>
      <w:r>
        <w:rPr>
          <w:rFonts w:ascii="Calibri" w:eastAsia="Calibri" w:hAnsi="Calibri" w:cs="Calibri"/>
        </w:rPr>
        <w:t>and</w:t>
      </w:r>
    </w:p>
    <w:p w14:paraId="63F55CDD" w14:textId="77777777" w:rsidR="00555662" w:rsidRPr="00555662" w:rsidRDefault="00555662" w:rsidP="00555662">
      <w:pPr>
        <w:spacing w:line="257" w:lineRule="auto"/>
        <w:rPr>
          <w:rFonts w:ascii="Calibri" w:eastAsia="Calibri" w:hAnsi="Calibri" w:cs="Calibri"/>
        </w:rPr>
      </w:pPr>
      <m:oMathPara>
        <m:oMath>
          <m:r>
            <w:rPr>
              <w:rFonts w:ascii="Cambria Math" w:eastAsia="Calibri" w:hAnsi="Cambria Math" w:cs="Calibri"/>
            </w:rPr>
            <m:t>HR=</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oMath>
      </m:oMathPara>
    </w:p>
    <w:p w14:paraId="56F8646C" w14:textId="77777777" w:rsidR="00555662" w:rsidRDefault="00555662" w:rsidP="00555662">
      <w:pPr>
        <w:spacing w:line="257" w:lineRule="auto"/>
        <w:jc w:val="center"/>
        <w:rPr>
          <w:rFonts w:ascii="Calibri" w:eastAsia="Calibri" w:hAnsi="Calibri" w:cs="Calibri"/>
        </w:rPr>
      </w:pPr>
      <w:r>
        <w:rPr>
          <w:rFonts w:ascii="Calibri" w:eastAsia="Calibri" w:hAnsi="Calibri" w:cs="Calibri"/>
        </w:rPr>
        <w:t>Then,</w:t>
      </w:r>
    </w:p>
    <w:p w14:paraId="123170C8" w14:textId="77777777" w:rsidR="00555662" w:rsidRPr="003A45E5" w:rsidRDefault="00555662" w:rsidP="00555662">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h</m:t>
              </m:r>
            </m:num>
            <m:den>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HR</m:t>
                  </m:r>
                </m:den>
              </m:f>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den>
          </m:f>
        </m:oMath>
      </m:oMathPara>
    </w:p>
    <w:p w14:paraId="0DC07191" w14:textId="77777777" w:rsidR="00555662" w:rsidRPr="003A45E5" w:rsidRDefault="00555662" w:rsidP="00555662">
      <w:pPr>
        <w:spacing w:line="257" w:lineRule="auto"/>
        <w:rPr>
          <w:rFonts w:ascii="Calibri" w:eastAsia="Calibri" w:hAnsi="Calibri" w:cs="Calibri"/>
        </w:rPr>
      </w:pPr>
      <w:r>
        <w:rPr>
          <w:rFonts w:ascii="Calibri" w:eastAsia="Calibri" w:hAnsi="Calibri" w:cs="Calibri"/>
        </w:rPr>
        <w:t xml:space="preserve">Where, </w:t>
      </w:r>
    </w:p>
    <w:tbl>
      <w:tblPr>
        <w:tblStyle w:val="TableGrid"/>
        <w:tblW w:w="0" w:type="auto"/>
        <w:jc w:val="center"/>
        <w:tblLook w:val="04A0" w:firstRow="1" w:lastRow="0" w:firstColumn="1" w:lastColumn="0" w:noHBand="0" w:noVBand="1"/>
      </w:tblPr>
      <w:tblGrid>
        <w:gridCol w:w="1345"/>
        <w:gridCol w:w="6300"/>
      </w:tblGrid>
      <w:tr w:rsidR="00555662" w14:paraId="1A313242" w14:textId="77777777" w:rsidTr="005B2E31">
        <w:trPr>
          <w:jc w:val="center"/>
        </w:trPr>
        <w:tc>
          <w:tcPr>
            <w:tcW w:w="1345" w:type="dxa"/>
          </w:tcPr>
          <w:p w14:paraId="2AD1710A" w14:textId="77777777" w:rsidR="00555662" w:rsidRDefault="00555662" w:rsidP="001C469C">
            <w:pPr>
              <w:spacing w:line="257" w:lineRule="auto"/>
              <w:rPr>
                <w:rFonts w:ascii="Calibri" w:eastAsia="Calibri" w:hAnsi="Calibri" w:cs="Calibri"/>
              </w:rPr>
            </w:pPr>
            <w:r>
              <w:rPr>
                <w:rFonts w:ascii="Calibri" w:eastAsia="Calibri" w:hAnsi="Calibri" w:cs="Calibri"/>
              </w:rPr>
              <w:t>Parameter</w:t>
            </w:r>
          </w:p>
        </w:tc>
        <w:tc>
          <w:tcPr>
            <w:tcW w:w="6300" w:type="dxa"/>
          </w:tcPr>
          <w:p w14:paraId="3FEA4A4D" w14:textId="77777777" w:rsidR="00555662" w:rsidRDefault="00555662" w:rsidP="001C469C">
            <w:pPr>
              <w:spacing w:line="257" w:lineRule="auto"/>
              <w:rPr>
                <w:rFonts w:ascii="Calibri" w:eastAsia="Calibri" w:hAnsi="Calibri" w:cs="Calibri"/>
              </w:rPr>
            </w:pPr>
            <w:r>
              <w:rPr>
                <w:rFonts w:ascii="Calibri" w:eastAsia="Calibri" w:hAnsi="Calibri" w:cs="Calibri"/>
              </w:rPr>
              <w:t>Definition</w:t>
            </w:r>
          </w:p>
        </w:tc>
      </w:tr>
      <w:tr w:rsidR="00555662" w14:paraId="455053BE" w14:textId="77777777" w:rsidTr="005B2E31">
        <w:trPr>
          <w:jc w:val="center"/>
        </w:trPr>
        <w:tc>
          <w:tcPr>
            <w:tcW w:w="1345" w:type="dxa"/>
          </w:tcPr>
          <w:p w14:paraId="6C61CFFC" w14:textId="77777777" w:rsidR="00555662" w:rsidRDefault="00555662" w:rsidP="001C469C">
            <w:pPr>
              <w:spacing w:line="257" w:lineRule="auto"/>
              <w:rPr>
                <w:rFonts w:ascii="Calibri" w:eastAsia="Calibri" w:hAnsi="Calibri" w:cs="Calibri"/>
              </w:rPr>
            </w:pPr>
            <m:oMathPara>
              <m:oMath>
                <m:r>
                  <w:rPr>
                    <w:rFonts w:ascii="Cambria Math" w:eastAsia="Calibri" w:hAnsi="Cambria Math" w:cs="Calibri"/>
                  </w:rPr>
                  <m:t>h</m:t>
                </m:r>
              </m:oMath>
            </m:oMathPara>
          </w:p>
        </w:tc>
        <w:tc>
          <w:tcPr>
            <w:tcW w:w="6300" w:type="dxa"/>
          </w:tcPr>
          <w:p w14:paraId="7F74F7B8" w14:textId="77777777" w:rsidR="00555662" w:rsidRDefault="00555662" w:rsidP="001C469C">
            <w:pPr>
              <w:spacing w:line="257" w:lineRule="auto"/>
              <w:rPr>
                <w:rFonts w:ascii="Calibri" w:eastAsia="Calibri" w:hAnsi="Calibri" w:cs="Calibri"/>
              </w:rPr>
            </w:pPr>
            <w:r>
              <w:rPr>
                <w:rFonts w:ascii="Calibri" w:eastAsia="Calibri" w:hAnsi="Calibri" w:cs="Calibri"/>
              </w:rPr>
              <w:t>Overall hazard rate</w:t>
            </w:r>
          </w:p>
        </w:tc>
      </w:tr>
      <w:tr w:rsidR="00555662" w14:paraId="3A8A5B23" w14:textId="77777777" w:rsidTr="005B2E31">
        <w:trPr>
          <w:jc w:val="center"/>
        </w:trPr>
        <w:tc>
          <w:tcPr>
            <w:tcW w:w="1345" w:type="dxa"/>
          </w:tcPr>
          <w:p w14:paraId="35A96A47" w14:textId="77777777" w:rsidR="00555662" w:rsidRDefault="00555662"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oMath>
            </m:oMathPara>
          </w:p>
        </w:tc>
        <w:tc>
          <w:tcPr>
            <w:tcW w:w="6300" w:type="dxa"/>
          </w:tcPr>
          <w:p w14:paraId="3F5EFFDB" w14:textId="77777777" w:rsidR="00555662" w:rsidRDefault="00555662" w:rsidP="001C469C">
            <w:pPr>
              <w:spacing w:line="257" w:lineRule="auto"/>
              <w:rPr>
                <w:rFonts w:ascii="Calibri" w:eastAsia="Calibri" w:hAnsi="Calibri" w:cs="Calibri"/>
              </w:rPr>
            </w:pPr>
            <w:r>
              <w:rPr>
                <w:rFonts w:ascii="Calibri" w:eastAsia="Calibri" w:hAnsi="Calibri" w:cs="Calibri"/>
              </w:rPr>
              <w:t>Hazard rate for exposure category 1</w:t>
            </w:r>
          </w:p>
        </w:tc>
      </w:tr>
      <w:tr w:rsidR="00555662" w14:paraId="1EDFB611" w14:textId="77777777" w:rsidTr="005B2E31">
        <w:trPr>
          <w:jc w:val="center"/>
        </w:trPr>
        <w:tc>
          <w:tcPr>
            <w:tcW w:w="1345" w:type="dxa"/>
          </w:tcPr>
          <w:p w14:paraId="68D71ABD" w14:textId="77777777" w:rsidR="00555662" w:rsidRDefault="00555662"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oMath>
            </m:oMathPara>
          </w:p>
        </w:tc>
        <w:tc>
          <w:tcPr>
            <w:tcW w:w="6300" w:type="dxa"/>
          </w:tcPr>
          <w:p w14:paraId="1F29BA60" w14:textId="77777777" w:rsidR="00555662" w:rsidRDefault="00555662" w:rsidP="001C469C">
            <w:pPr>
              <w:spacing w:line="257" w:lineRule="auto"/>
              <w:rPr>
                <w:rFonts w:ascii="Calibri" w:eastAsia="Calibri" w:hAnsi="Calibri" w:cs="Calibri"/>
              </w:rPr>
            </w:pPr>
            <w:r>
              <w:rPr>
                <w:rFonts w:ascii="Calibri" w:eastAsia="Calibri" w:hAnsi="Calibri" w:cs="Calibri"/>
              </w:rPr>
              <w:t>Hazard rate for exposure category 2</w:t>
            </w:r>
          </w:p>
        </w:tc>
      </w:tr>
      <w:tr w:rsidR="00555662" w14:paraId="01CD2A78" w14:textId="77777777" w:rsidTr="005B2E31">
        <w:trPr>
          <w:jc w:val="center"/>
        </w:trPr>
        <w:tc>
          <w:tcPr>
            <w:tcW w:w="1345" w:type="dxa"/>
          </w:tcPr>
          <w:p w14:paraId="07585EB4" w14:textId="77777777" w:rsidR="00555662" w:rsidRDefault="00555662"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oMath>
            </m:oMathPara>
          </w:p>
        </w:tc>
        <w:tc>
          <w:tcPr>
            <w:tcW w:w="6300" w:type="dxa"/>
          </w:tcPr>
          <w:p w14:paraId="6435DF87" w14:textId="77777777" w:rsidR="00555662" w:rsidRDefault="00555662" w:rsidP="001C469C">
            <w:pPr>
              <w:spacing w:line="257" w:lineRule="auto"/>
              <w:rPr>
                <w:rFonts w:ascii="Calibri" w:eastAsia="Calibri" w:hAnsi="Calibri" w:cs="Calibri"/>
              </w:rPr>
            </w:pPr>
            <w:r>
              <w:rPr>
                <w:rFonts w:ascii="Calibri" w:eastAsia="Calibri" w:hAnsi="Calibri" w:cs="Calibri"/>
              </w:rPr>
              <w:t>Prevalence of exposure category 1</w:t>
            </w:r>
          </w:p>
        </w:tc>
      </w:tr>
      <w:tr w:rsidR="00555662" w14:paraId="130B0C4E" w14:textId="77777777" w:rsidTr="005B2E31">
        <w:trPr>
          <w:jc w:val="center"/>
        </w:trPr>
        <w:tc>
          <w:tcPr>
            <w:tcW w:w="1345" w:type="dxa"/>
          </w:tcPr>
          <w:p w14:paraId="36E2EAB4" w14:textId="77777777" w:rsidR="00555662" w:rsidRDefault="00555662" w:rsidP="001C469C">
            <w:pPr>
              <w:spacing w:line="257" w:lineRule="auto"/>
              <w:rPr>
                <w:rFonts w:ascii="Calibri" w:eastAsia="Calibri" w:hAnsi="Calibri" w:cs="Calibri"/>
              </w:rPr>
            </w:pPr>
            <m:oMathPara>
              <m:oMath>
                <m:r>
                  <w:rPr>
                    <w:rFonts w:ascii="Cambria Math" w:eastAsia="Calibri" w:hAnsi="Cambria Math" w:cs="Calibri"/>
                  </w:rPr>
                  <m:t>HR</m:t>
                </m:r>
              </m:oMath>
            </m:oMathPara>
          </w:p>
        </w:tc>
        <w:tc>
          <w:tcPr>
            <w:tcW w:w="6300" w:type="dxa"/>
          </w:tcPr>
          <w:p w14:paraId="3A52BC35" w14:textId="77777777" w:rsidR="00555662" w:rsidRDefault="00555662" w:rsidP="001C469C">
            <w:pPr>
              <w:spacing w:line="257" w:lineRule="auto"/>
              <w:rPr>
                <w:rFonts w:ascii="Calibri" w:eastAsia="Calibri" w:hAnsi="Calibri" w:cs="Calibri"/>
              </w:rPr>
            </w:pPr>
            <w:r>
              <w:rPr>
                <w:rFonts w:ascii="Calibri" w:eastAsia="Calibri" w:hAnsi="Calibri" w:cs="Calibri"/>
              </w:rPr>
              <w:t>Hazard ratio of exposure category 1 relative to exposure category 2</w:t>
            </w:r>
          </w:p>
        </w:tc>
      </w:tr>
    </w:tbl>
    <w:p w14:paraId="29E3D804" w14:textId="77777777" w:rsidR="00555662" w:rsidRDefault="00555662" w:rsidP="00555662">
      <w:pPr>
        <w:spacing w:line="257" w:lineRule="auto"/>
        <w:rPr>
          <w:rFonts w:ascii="Calibri" w:eastAsia="Calibri" w:hAnsi="Calibri" w:cs="Calibri"/>
        </w:rPr>
      </w:pPr>
    </w:p>
    <w:p w14:paraId="24E2D677" w14:textId="77777777" w:rsidR="00555662" w:rsidRDefault="00555662" w:rsidP="00C745B4">
      <w:pPr>
        <w:spacing w:line="257" w:lineRule="auto"/>
        <w:rPr>
          <w:rFonts w:ascii="Calibri" w:eastAsia="Calibri" w:hAnsi="Calibri" w:cs="Calibri"/>
        </w:rPr>
      </w:pPr>
      <w:r>
        <w:rPr>
          <w:rFonts w:ascii="Calibri" w:eastAsia="Calibri" w:hAnsi="Calibri" w:cs="Calibri"/>
        </w:rPr>
        <w:t xml:space="preserve">Given that we have the overall hazard rate </w:t>
      </w:r>
      <m:oMath>
        <m:r>
          <w:rPr>
            <w:rFonts w:ascii="Cambria Math" w:eastAsia="Calibri" w:hAnsi="Cambria Math" w:cs="Calibri"/>
          </w:rPr>
          <m:t>(h)</m:t>
        </m:r>
      </m:oMath>
      <w:r>
        <w:rPr>
          <w:rFonts w:ascii="Calibri" w:eastAsia="Calibri" w:hAnsi="Calibri" w:cs="Calibri"/>
        </w:rPr>
        <w:t xml:space="preserve"> and the prevalence of each exposure category (</w:t>
      </w:r>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 xml:space="preserve">) </m:t>
        </m:r>
      </m:oMath>
      <w:r>
        <w:rPr>
          <w:rFonts w:ascii="Calibri" w:eastAsia="Calibri" w:hAnsi="Calibri" w:cs="Calibri"/>
        </w:rPr>
        <w:t>from the MAIA trial and the hazard ratio (</w:t>
      </w:r>
      <m:oMath>
        <m:r>
          <w:rPr>
            <w:rFonts w:ascii="Cambria Math" w:eastAsia="Calibri" w:hAnsi="Cambria Math" w:cs="Calibri"/>
          </w:rPr>
          <m:t>HR</m:t>
        </m:r>
      </m:oMath>
      <w:r>
        <w:rPr>
          <w:rFonts w:ascii="Calibri" w:eastAsia="Calibri" w:hAnsi="Calibri" w:cs="Calibri"/>
        </w:rPr>
        <w:t xml:space="preserve">) from Derman et al. (2020), we can then solve for the hazard rate specific to each exposure category </w:t>
      </w:r>
      <w:r w:rsidR="003E799A">
        <w:rPr>
          <w:rFonts w:ascii="Calibri" w:eastAsia="Calibri" w:hAnsi="Calibri" w:cs="Calibri"/>
        </w:rPr>
        <w:t>(shown below).</w:t>
      </w:r>
    </w:p>
    <w:p w14:paraId="2D4A51DF" w14:textId="00965332" w:rsidR="00CF38E3" w:rsidRPr="00E67508" w:rsidRDefault="00CF38E3"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 xml:space="preserve">maia,  </m:t>
              </m:r>
              <m:r>
                <w:rPr>
                  <w:rFonts w:ascii="Cambria Math" w:eastAsia="Calibri" w:hAnsi="Cambria Math" w:cs="Calibri"/>
                </w:rPr>
                <m:t>high risk</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0.0</m:t>
              </m:r>
              <m:r>
                <w:rPr>
                  <w:rFonts w:ascii="Cambria Math" w:eastAsia="Calibri" w:hAnsi="Cambria Math" w:cs="Calibri"/>
                </w:rPr>
                <m:t>0657</m:t>
              </m:r>
            </m:num>
            <m:den>
              <m:r>
                <w:rPr>
                  <w:rFonts w:ascii="Cambria Math" w:eastAsia="Calibri" w:hAnsi="Cambria Math" w:cs="Calibri"/>
                </w:rPr>
                <m:t>0.15+</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1.6</m:t>
                  </m:r>
                  <m:r>
                    <w:rPr>
                      <w:rFonts w:ascii="Cambria Math" w:eastAsia="Calibri" w:hAnsi="Cambria Math" w:cs="Calibri"/>
                    </w:rPr>
                    <m:t>25</m:t>
                  </m:r>
                </m:den>
              </m:f>
              <m:r>
                <w:rPr>
                  <w:rFonts w:ascii="Cambria Math" w:eastAsia="Calibri" w:hAnsi="Cambria Math" w:cs="Calibri"/>
                </w:rPr>
                <m:t>*(1-0.15)</m:t>
              </m:r>
            </m:den>
          </m:f>
          <m:r>
            <w:rPr>
              <w:rFonts w:ascii="Cambria Math" w:eastAsia="Calibri" w:hAnsi="Cambria Math" w:cs="Calibri"/>
            </w:rPr>
            <m:t>=0.0</m:t>
          </m:r>
          <m:r>
            <w:rPr>
              <w:rFonts w:ascii="Cambria Math" w:eastAsia="Calibri" w:hAnsi="Cambria Math" w:cs="Calibri"/>
            </w:rPr>
            <m:t>0</m:t>
          </m:r>
          <m:r>
            <w:rPr>
              <w:rFonts w:ascii="Cambria Math" w:eastAsia="Calibri" w:hAnsi="Cambria Math" w:cs="Calibri"/>
            </w:rPr>
            <m:t>976</m:t>
          </m:r>
        </m:oMath>
      </m:oMathPara>
    </w:p>
    <w:p w14:paraId="1733AC29" w14:textId="20A075DF" w:rsidR="00CF38E3" w:rsidRPr="00CF38E3" w:rsidRDefault="00CF38E3"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m:t>
              </m:r>
              <m:r>
                <w:rPr>
                  <w:rFonts w:ascii="Cambria Math" w:eastAsia="Calibri" w:hAnsi="Cambria Math" w:cs="Calibri"/>
                </w:rPr>
                <m:t>low risk</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0.0</m:t>
              </m:r>
              <m:r>
                <w:rPr>
                  <w:rFonts w:ascii="Cambria Math" w:eastAsia="Calibri" w:hAnsi="Cambria Math" w:cs="Calibri"/>
                </w:rPr>
                <m:t>0976</m:t>
              </m:r>
            </m:num>
            <m:den>
              <m:r>
                <w:rPr>
                  <w:rFonts w:ascii="Cambria Math" w:eastAsia="Calibri" w:hAnsi="Cambria Math" w:cs="Calibri"/>
                </w:rPr>
                <m:t>1.6</m:t>
              </m:r>
              <m:r>
                <w:rPr>
                  <w:rFonts w:ascii="Cambria Math" w:eastAsia="Calibri" w:hAnsi="Cambria Math" w:cs="Calibri"/>
                </w:rPr>
                <m:t>25</m:t>
              </m:r>
            </m:den>
          </m:f>
          <m:r>
            <w:rPr>
              <w:rFonts w:ascii="Cambria Math" w:eastAsia="Calibri" w:hAnsi="Cambria Math" w:cs="Calibri"/>
            </w:rPr>
            <m:t>=0.0</m:t>
          </m:r>
          <m:r>
            <w:rPr>
              <w:rFonts w:ascii="Cambria Math" w:eastAsia="Calibri" w:hAnsi="Cambria Math" w:cs="Calibri"/>
            </w:rPr>
            <m:t>0601</m:t>
          </m:r>
          <m:r>
            <w:rPr>
              <w:rFonts w:ascii="Cambria Math" w:eastAsia="Calibri" w:hAnsi="Cambria Math" w:cs="Calibri"/>
            </w:rPr>
            <m:t xml:space="preserve"> </m:t>
          </m:r>
        </m:oMath>
      </m:oMathPara>
    </w:p>
    <w:p w14:paraId="346053B2" w14:textId="308DB358" w:rsidR="00CF38E3" w:rsidRDefault="00CF38E3" w:rsidP="00C745B4">
      <w:pPr>
        <w:spacing w:line="257" w:lineRule="auto"/>
        <w:rPr>
          <w:rFonts w:ascii="Calibri" w:eastAsia="Calibri" w:hAnsi="Calibri" w:cs="Calibri"/>
        </w:rPr>
      </w:pPr>
      <w:r w:rsidRPr="00555662">
        <w:rPr>
          <w:rFonts w:ascii="Calibri" w:eastAsia="Calibri" w:hAnsi="Calibri" w:cs="Calibri"/>
          <w:b/>
        </w:rPr>
        <w:t>Step 3:</w:t>
      </w:r>
      <w:r>
        <w:rPr>
          <w:rFonts w:ascii="Calibri" w:eastAsia="Calibri" w:hAnsi="Calibri" w:cs="Calibri"/>
        </w:rPr>
        <w:t xml:space="preserve"> Calculate the MAIA trial </w:t>
      </w:r>
      <w:r w:rsidR="00E67508">
        <w:rPr>
          <w:rFonts w:ascii="Calibri" w:eastAsia="Calibri" w:hAnsi="Calibri" w:cs="Calibri"/>
        </w:rPr>
        <w:t>overall</w:t>
      </w:r>
      <w:r>
        <w:rPr>
          <w:rFonts w:ascii="Calibri" w:eastAsia="Calibri" w:hAnsi="Calibri" w:cs="Calibri"/>
        </w:rPr>
        <w:t xml:space="preserve"> survival hazard rate standardized to the Flatiron health population on cytogenetic risk using the exposure distribution of high risk cytogenetics from that cohort (7</w:t>
      </w:r>
      <w:r w:rsidR="00E67508">
        <w:rPr>
          <w:rFonts w:ascii="Calibri" w:eastAsia="Calibri" w:hAnsi="Calibri" w:cs="Calibri"/>
        </w:rPr>
        <w:t>2.9</w:t>
      </w:r>
      <w:r>
        <w:rPr>
          <w:rFonts w:ascii="Calibri" w:eastAsia="Calibri" w:hAnsi="Calibri" w:cs="Calibri"/>
        </w:rPr>
        <w:t>%).</w:t>
      </w:r>
    </w:p>
    <w:p w14:paraId="6E77B358" w14:textId="6EE5929E" w:rsidR="00CF38E3" w:rsidRDefault="00CF38E3"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 xml:space="preserve">maia, </m:t>
              </m:r>
              <m:r>
                <w:rPr>
                  <w:rFonts w:ascii="Cambria Math" w:eastAsia="Calibri" w:hAnsi="Cambria Math" w:cs="Calibri"/>
                </w:rPr>
                <m:t>standardized</m:t>
              </m:r>
            </m:sub>
          </m:sSub>
          <m:r>
            <w:rPr>
              <w:rFonts w:ascii="Cambria Math" w:eastAsia="Calibri" w:hAnsi="Cambria Math" w:cs="Calibri"/>
            </w:rPr>
            <m:t>=0.0</m:t>
          </m:r>
          <m:r>
            <w:rPr>
              <w:rFonts w:ascii="Cambria Math" w:eastAsia="Calibri" w:hAnsi="Cambria Math" w:cs="Calibri"/>
            </w:rPr>
            <m:t>0976</m:t>
          </m:r>
          <m:r>
            <w:rPr>
              <w:rFonts w:ascii="Cambria Math" w:eastAsia="Calibri" w:hAnsi="Cambria Math" w:cs="Calibri"/>
            </w:rPr>
            <m:t>*0.7</m:t>
          </m:r>
          <m:r>
            <w:rPr>
              <w:rFonts w:ascii="Cambria Math" w:eastAsia="Calibri" w:hAnsi="Cambria Math" w:cs="Calibri"/>
            </w:rPr>
            <m:t>29</m:t>
          </m:r>
          <m:r>
            <w:rPr>
              <w:rFonts w:ascii="Cambria Math" w:eastAsia="Calibri" w:hAnsi="Cambria Math" w:cs="Calibri"/>
            </w:rPr>
            <m:t>+0.0</m:t>
          </m:r>
          <m:r>
            <w:rPr>
              <w:rFonts w:ascii="Cambria Math" w:eastAsia="Calibri" w:hAnsi="Cambria Math" w:cs="Calibri"/>
            </w:rPr>
            <m:t>0601</m:t>
          </m:r>
          <m:r>
            <w:rPr>
              <w:rFonts w:ascii="Cambria Math" w:eastAsia="Calibri" w:hAnsi="Cambria Math" w:cs="Calibri"/>
            </w:rPr>
            <m:t>*</m:t>
          </m:r>
          <m:d>
            <m:dPr>
              <m:ctrlPr>
                <w:rPr>
                  <w:rFonts w:ascii="Cambria Math" w:eastAsia="Calibri" w:hAnsi="Cambria Math" w:cs="Calibri"/>
                  <w:i/>
                </w:rPr>
              </m:ctrlPr>
            </m:dPr>
            <m:e>
              <m:r>
                <w:rPr>
                  <w:rFonts w:ascii="Cambria Math" w:eastAsia="Calibri" w:hAnsi="Cambria Math" w:cs="Calibri"/>
                </w:rPr>
                <m:t>1-0.7</m:t>
              </m:r>
              <m:r>
                <w:rPr>
                  <w:rFonts w:ascii="Cambria Math" w:eastAsia="Calibri" w:hAnsi="Cambria Math" w:cs="Calibri"/>
                </w:rPr>
                <m:t>29</m:t>
              </m:r>
            </m:e>
          </m:d>
          <m:r>
            <w:rPr>
              <w:rFonts w:ascii="Cambria Math" w:eastAsia="Calibri" w:hAnsi="Cambria Math" w:cs="Calibri"/>
            </w:rPr>
            <m:t>=0.0</m:t>
          </m:r>
          <m:r>
            <w:rPr>
              <w:rFonts w:ascii="Cambria Math" w:eastAsia="Calibri" w:hAnsi="Cambria Math" w:cs="Calibri"/>
            </w:rPr>
            <m:t>087</m:t>
          </m:r>
          <m:r>
            <w:rPr>
              <w:rFonts w:ascii="Cambria Math" w:eastAsia="Calibri" w:hAnsi="Cambria Math" w:cs="Calibri"/>
            </w:rPr>
            <m:t>4</m:t>
          </m:r>
        </m:oMath>
      </m:oMathPara>
    </w:p>
    <w:p w14:paraId="01283574" w14:textId="77777777" w:rsidR="003A45E5" w:rsidRDefault="009C1501" w:rsidP="00C745B4">
      <w:pPr>
        <w:spacing w:line="257" w:lineRule="auto"/>
        <w:rPr>
          <w:rFonts w:ascii="Calibri" w:eastAsia="Calibri" w:hAnsi="Calibri" w:cs="Calibri"/>
        </w:rPr>
      </w:pPr>
      <w:r w:rsidRPr="00555662">
        <w:rPr>
          <w:rFonts w:ascii="Calibri" w:eastAsia="Calibri" w:hAnsi="Calibri" w:cs="Calibri"/>
          <w:b/>
        </w:rPr>
        <w:t>Step 4:</w:t>
      </w:r>
      <w:r>
        <w:rPr>
          <w:rFonts w:ascii="Calibri" w:eastAsia="Calibri" w:hAnsi="Calibri" w:cs="Calibri"/>
        </w:rPr>
        <w:t xml:space="preserve"> Calculate the overall survival hazard rate for the Flatiron Health cohort using the median </w:t>
      </w:r>
      <w:r w:rsidR="009B1EB8">
        <w:rPr>
          <w:rFonts w:ascii="Calibri" w:eastAsia="Calibri" w:hAnsi="Calibri" w:cs="Calibri"/>
        </w:rPr>
        <w:t>overall survival time of 60 months.</w:t>
      </w:r>
    </w:p>
    <w:p w14:paraId="7E9747A1" w14:textId="77777777" w:rsidR="009C1501" w:rsidRPr="009C1501" w:rsidRDefault="009C1501"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flatiron</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(0.5)</m:t>
              </m:r>
            </m:num>
            <m:den>
              <m:r>
                <w:rPr>
                  <w:rFonts w:ascii="Cambria Math" w:eastAsia="Calibri" w:hAnsi="Cambria Math" w:cs="Calibri"/>
                </w:rPr>
                <m:t>60</m:t>
              </m:r>
            </m:den>
          </m:f>
          <m:r>
            <w:rPr>
              <w:rFonts w:ascii="Cambria Math" w:eastAsia="Calibri" w:hAnsi="Cambria Math" w:cs="Calibri"/>
            </w:rPr>
            <m:t>=0.01155</m:t>
          </m:r>
        </m:oMath>
      </m:oMathPara>
    </w:p>
    <w:p w14:paraId="0CA3D6F1" w14:textId="77777777" w:rsidR="009C1501" w:rsidRDefault="009C1501" w:rsidP="009C1501">
      <w:pPr>
        <w:spacing w:line="257" w:lineRule="auto"/>
        <w:rPr>
          <w:rFonts w:ascii="Calibri" w:eastAsia="Calibri" w:hAnsi="Calibri" w:cs="Calibri"/>
        </w:rPr>
      </w:pPr>
      <w:r w:rsidRPr="00555662">
        <w:rPr>
          <w:rFonts w:ascii="Calibri" w:eastAsia="Calibri" w:hAnsi="Calibri" w:cs="Calibri"/>
          <w:b/>
        </w:rPr>
        <w:t>Step 5:</w:t>
      </w:r>
      <w:r>
        <w:rPr>
          <w:rFonts w:ascii="Calibri" w:eastAsia="Calibri" w:hAnsi="Calibri" w:cs="Calibri"/>
        </w:rPr>
        <w:t xml:space="preserve"> Solve for the </w:t>
      </w:r>
      <w:r w:rsidR="009B1EB8">
        <w:rPr>
          <w:rFonts w:ascii="Calibri" w:eastAsia="Calibri" w:hAnsi="Calibri" w:cs="Calibri"/>
        </w:rPr>
        <w:t>overall</w:t>
      </w:r>
      <w:r>
        <w:rPr>
          <w:rFonts w:ascii="Calibri" w:eastAsia="Calibri" w:hAnsi="Calibri" w:cs="Calibri"/>
        </w:rPr>
        <w:t xml:space="preserve"> survival rate of the residual treatment category using the following equation</w:t>
      </w:r>
      <w:r w:rsidR="007737BE">
        <w:rPr>
          <w:rFonts w:ascii="Calibri" w:eastAsia="Calibri" w:hAnsi="Calibri" w:cs="Calibri"/>
        </w:rPr>
        <w:t xml:space="preserve">, using the MAIA standardized hazard rate for both the daratumumab-containing and isatuxamib-containing treatment categories, the treatment coverage rates in 2019 from </w:t>
      </w:r>
      <w:proofErr w:type="spellStart"/>
      <w:r w:rsidR="007737BE">
        <w:rPr>
          <w:rFonts w:ascii="Calibri" w:eastAsia="Calibri" w:hAnsi="Calibri" w:cs="Calibri"/>
        </w:rPr>
        <w:t>Braunlin</w:t>
      </w:r>
      <w:proofErr w:type="spellEnd"/>
      <w:r w:rsidR="007737BE">
        <w:rPr>
          <w:rFonts w:ascii="Calibri" w:eastAsia="Calibri" w:hAnsi="Calibri" w:cs="Calibri"/>
        </w:rPr>
        <w:t xml:space="preserve"> et al. (2020), and first line of treatment Flatiron Health hazard rate.</w:t>
      </w:r>
    </w:p>
    <w:p w14:paraId="04798657" w14:textId="77777777" w:rsidR="009C1501" w:rsidRPr="00E67508" w:rsidRDefault="009C1501"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flatiron</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maia,standarized</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maia,standardized</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r>
            <w:rPr>
              <w:rFonts w:ascii="Cambria Math" w:eastAsia="Calibri" w:hAnsi="Cambria Math" w:cs="Calibri"/>
            </w:rPr>
            <m:t>)</m:t>
          </m:r>
        </m:oMath>
      </m:oMathPara>
    </w:p>
    <w:p w14:paraId="45236037" w14:textId="6DB45411" w:rsidR="009C1501" w:rsidRPr="00E67508" w:rsidRDefault="009C1501" w:rsidP="009C1501">
      <w:pPr>
        <w:spacing w:line="257" w:lineRule="auto"/>
        <w:rPr>
          <w:rFonts w:ascii="Calibri" w:eastAsia="Calibri" w:hAnsi="Calibri" w:cs="Calibri"/>
        </w:rPr>
      </w:pPr>
      <m:oMathPara>
        <m:oMath>
          <m:r>
            <w:rPr>
              <w:rFonts w:ascii="Cambria Math" w:eastAsia="Calibri" w:hAnsi="Cambria Math" w:cs="Calibri"/>
            </w:rPr>
            <m:t>0.0</m:t>
          </m:r>
          <m:r>
            <w:rPr>
              <w:rFonts w:ascii="Cambria Math" w:eastAsia="Calibri" w:hAnsi="Cambria Math" w:cs="Calibri"/>
            </w:rPr>
            <m:t>1155</m:t>
          </m:r>
          <m:r>
            <w:rPr>
              <w:rFonts w:ascii="Cambria Math" w:eastAsia="Calibri" w:hAnsi="Cambria Math" w:cs="Calibri"/>
            </w:rPr>
            <m:t>=0.0</m:t>
          </m:r>
          <m:r>
            <w:rPr>
              <w:rFonts w:ascii="Cambria Math" w:eastAsia="Calibri" w:hAnsi="Cambria Math" w:cs="Calibri"/>
            </w:rPr>
            <m:t>0874</m:t>
          </m:r>
          <m:r>
            <w:rPr>
              <w:rFonts w:ascii="Cambria Math" w:eastAsia="Calibri" w:hAnsi="Cambria Math" w:cs="Calibri"/>
            </w:rPr>
            <m:t>*0.01+</m:t>
          </m:r>
          <m:r>
            <w:rPr>
              <w:rFonts w:ascii="Cambria Math" w:eastAsia="Calibri" w:hAnsi="Cambria Math" w:cs="Calibri"/>
            </w:rPr>
            <m:t>0.00874</m:t>
          </m:r>
          <m:r>
            <w:rPr>
              <w:rFonts w:ascii="Cambria Math" w:eastAsia="Calibri" w:hAnsi="Cambria Math" w:cs="Calibri"/>
            </w:rPr>
            <m:t>*0.00+</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*0.99</m:t>
          </m:r>
        </m:oMath>
      </m:oMathPara>
    </w:p>
    <w:p w14:paraId="792F090D" w14:textId="498256B0" w:rsidR="009C1501" w:rsidRPr="003E799A" w:rsidRDefault="009C1501"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=0.0</m:t>
          </m:r>
          <m:r>
            <w:rPr>
              <w:rFonts w:ascii="Cambria Math" w:eastAsia="Calibri" w:hAnsi="Cambria Math" w:cs="Calibri"/>
            </w:rPr>
            <m:t>1158</m:t>
          </m:r>
        </m:oMath>
      </m:oMathPara>
    </w:p>
    <w:p w14:paraId="1C7B2738" w14:textId="77777777" w:rsidR="009C1501" w:rsidRDefault="009C1501" w:rsidP="009C1501">
      <w:pPr>
        <w:spacing w:line="257" w:lineRule="auto"/>
        <w:rPr>
          <w:rFonts w:ascii="Calibri" w:eastAsia="Calibri" w:hAnsi="Calibri" w:cs="Calibri"/>
        </w:rPr>
      </w:pPr>
      <w:r w:rsidRPr="00555662">
        <w:rPr>
          <w:rFonts w:ascii="Calibri" w:eastAsia="Calibri" w:hAnsi="Calibri" w:cs="Calibri"/>
          <w:b/>
        </w:rPr>
        <w:t>Step 6:</w:t>
      </w:r>
      <w:r>
        <w:rPr>
          <w:rFonts w:ascii="Calibri" w:eastAsia="Calibri" w:hAnsi="Calibri" w:cs="Calibri"/>
        </w:rPr>
        <w:t xml:space="preserve"> Calculate hazard ratios for each treatment category using respective </w:t>
      </w:r>
      <w:r w:rsidR="009B1EB8">
        <w:rPr>
          <w:rFonts w:ascii="Calibri" w:eastAsia="Calibri" w:hAnsi="Calibri" w:cs="Calibri"/>
        </w:rPr>
        <w:t>overall</w:t>
      </w:r>
      <w:r>
        <w:rPr>
          <w:rFonts w:ascii="Calibri" w:eastAsia="Calibri" w:hAnsi="Calibri" w:cs="Calibri"/>
        </w:rPr>
        <w:t xml:space="preserve"> survival rates</w:t>
      </w:r>
      <w:r w:rsidR="005543B6">
        <w:rPr>
          <w:rFonts w:ascii="Calibri" w:eastAsia="Calibri" w:hAnsi="Calibri" w:cs="Calibri"/>
        </w:rPr>
        <w:t xml:space="preserve"> by dividing the treatment category-specific hazard rate by the hazard rate specific to the all categories combined (Flatiron health hazard rate)</w:t>
      </w:r>
      <w:r w:rsidR="005B2E31">
        <w:rPr>
          <w:rFonts w:ascii="Calibri" w:eastAsia="Calibri" w:hAnsi="Calibri" w:cs="Calibri"/>
        </w:rPr>
        <w:t>.</w:t>
      </w:r>
    </w:p>
    <w:p w14:paraId="3B9C4D9C" w14:textId="77777777" w:rsidR="005B2E31" w:rsidRPr="005B2E31" w:rsidRDefault="005B2E31" w:rsidP="009C1501">
      <w:pPr>
        <w:spacing w:line="257" w:lineRule="auto"/>
        <w:rPr>
          <w:rFonts w:ascii="Calibri" w:eastAsia="Calibri" w:hAnsi="Calibri" w:cs="Calibri"/>
          <w:sz w:val="16"/>
        </w:rPr>
      </w:pPr>
      <w:r w:rsidRPr="005B2E31">
        <w:rPr>
          <w:rFonts w:ascii="Calibri" w:eastAsia="Calibri" w:hAnsi="Calibri" w:cs="Calibri"/>
          <w:sz w:val="16"/>
        </w:rPr>
        <w:t xml:space="preserve">Table 6. Estimated </w:t>
      </w:r>
      <w:r w:rsidR="009B1EB8">
        <w:rPr>
          <w:rFonts w:ascii="Calibri" w:eastAsia="Calibri" w:hAnsi="Calibri" w:cs="Calibri"/>
          <w:sz w:val="16"/>
        </w:rPr>
        <w:t>overall</w:t>
      </w:r>
      <w:r w:rsidRPr="005B2E31">
        <w:rPr>
          <w:rFonts w:ascii="Calibri" w:eastAsia="Calibri" w:hAnsi="Calibri" w:cs="Calibri"/>
          <w:sz w:val="16"/>
        </w:rPr>
        <w:t xml:space="preserve"> survival hazard ratios </w:t>
      </w:r>
      <w:r>
        <w:rPr>
          <w:rFonts w:ascii="Calibri" w:eastAsia="Calibri" w:hAnsi="Calibri" w:cs="Calibri"/>
          <w:sz w:val="16"/>
        </w:rPr>
        <w:t xml:space="preserve">at the first line of treatment </w:t>
      </w:r>
      <w:r w:rsidRPr="005B2E31">
        <w:rPr>
          <w:rFonts w:ascii="Calibri" w:eastAsia="Calibri" w:hAnsi="Calibri" w:cs="Calibri"/>
          <w:sz w:val="16"/>
        </w:rPr>
        <w:t>for each modeled treatment category relative to all categories combined, without uncertainty.</w:t>
      </w:r>
    </w:p>
    <w:tbl>
      <w:tblPr>
        <w:tblStyle w:val="TableGrid"/>
        <w:tblW w:w="0" w:type="auto"/>
        <w:tblLook w:val="04A0" w:firstRow="1" w:lastRow="0" w:firstColumn="1" w:lastColumn="0" w:noHBand="0" w:noVBand="1"/>
      </w:tblPr>
      <w:tblGrid>
        <w:gridCol w:w="3350"/>
        <w:gridCol w:w="2045"/>
        <w:gridCol w:w="3955"/>
      </w:tblGrid>
      <w:tr w:rsidR="009C1501" w14:paraId="57855F39" w14:textId="77777777" w:rsidTr="00A0311A">
        <w:tc>
          <w:tcPr>
            <w:tcW w:w="3350" w:type="dxa"/>
          </w:tcPr>
          <w:p w14:paraId="765A3156" w14:textId="77777777" w:rsidR="009C1501" w:rsidRPr="00A0311A" w:rsidRDefault="009C1501" w:rsidP="009C1501">
            <w:pPr>
              <w:spacing w:line="257" w:lineRule="auto"/>
              <w:rPr>
                <w:rFonts w:ascii="Calibri" w:eastAsia="Calibri" w:hAnsi="Calibri" w:cs="Calibri"/>
                <w:b/>
              </w:rPr>
            </w:pPr>
            <w:r w:rsidRPr="00A0311A">
              <w:rPr>
                <w:rFonts w:ascii="Calibri" w:eastAsia="Calibri" w:hAnsi="Calibri" w:cs="Calibri"/>
                <w:b/>
              </w:rPr>
              <w:t>Exposure category</w:t>
            </w:r>
          </w:p>
        </w:tc>
        <w:tc>
          <w:tcPr>
            <w:tcW w:w="2045" w:type="dxa"/>
          </w:tcPr>
          <w:p w14:paraId="7D239E02" w14:textId="77777777" w:rsidR="009C1501" w:rsidRPr="00A0311A" w:rsidRDefault="009C1501" w:rsidP="009C1501">
            <w:pPr>
              <w:spacing w:line="257" w:lineRule="auto"/>
              <w:rPr>
                <w:rFonts w:ascii="Calibri" w:eastAsia="Calibri" w:hAnsi="Calibri" w:cs="Calibri"/>
                <w:b/>
              </w:rPr>
            </w:pPr>
            <w:r w:rsidRPr="00A0311A">
              <w:rPr>
                <w:rFonts w:ascii="Calibri" w:eastAsia="Calibri" w:hAnsi="Calibri" w:cs="Calibri"/>
                <w:b/>
              </w:rPr>
              <w:t>Hazard rate</w:t>
            </w:r>
          </w:p>
        </w:tc>
        <w:tc>
          <w:tcPr>
            <w:tcW w:w="3955" w:type="dxa"/>
          </w:tcPr>
          <w:p w14:paraId="5A71B6F9" w14:textId="581D3B96" w:rsidR="009C1501" w:rsidRPr="00A0311A" w:rsidRDefault="009B1EB8" w:rsidP="00A0311A">
            <w:pPr>
              <w:spacing w:line="257" w:lineRule="auto"/>
              <w:rPr>
                <w:rFonts w:ascii="Calibri" w:eastAsia="Calibri" w:hAnsi="Calibri" w:cs="Calibri"/>
                <w:b/>
              </w:rPr>
            </w:pPr>
            <w:r>
              <w:rPr>
                <w:rFonts w:ascii="Calibri" w:eastAsia="Calibri" w:hAnsi="Calibri" w:cs="Calibri"/>
                <w:b/>
              </w:rPr>
              <w:t>Overall</w:t>
            </w:r>
            <w:r w:rsidR="00060E7C" w:rsidRPr="00A0311A">
              <w:rPr>
                <w:rFonts w:ascii="Calibri" w:eastAsia="Calibri" w:hAnsi="Calibri" w:cs="Calibri"/>
                <w:b/>
              </w:rPr>
              <w:t xml:space="preserve"> Survival </w:t>
            </w:r>
            <w:r w:rsidR="009C1501" w:rsidRPr="00A0311A">
              <w:rPr>
                <w:rFonts w:ascii="Calibri" w:eastAsia="Calibri" w:hAnsi="Calibri" w:cs="Calibri"/>
                <w:b/>
              </w:rPr>
              <w:t xml:space="preserve">Hazard ratio relative to </w:t>
            </w:r>
            <w:r w:rsidR="00A0311A">
              <w:rPr>
                <w:rFonts w:ascii="Calibri" w:eastAsia="Calibri" w:hAnsi="Calibri" w:cs="Calibri"/>
                <w:b/>
              </w:rPr>
              <w:t>all categories combined</w:t>
            </w:r>
            <w:r w:rsidR="00E67508">
              <w:rPr>
                <w:rFonts w:ascii="Calibri" w:eastAsia="Calibri" w:hAnsi="Calibri" w:cs="Calibri"/>
                <w:b/>
              </w:rPr>
              <w:t>*</w:t>
            </w:r>
          </w:p>
        </w:tc>
      </w:tr>
      <w:tr w:rsidR="009C1501" w14:paraId="6FFC57A8" w14:textId="77777777" w:rsidTr="00A0311A">
        <w:tc>
          <w:tcPr>
            <w:tcW w:w="3350" w:type="dxa"/>
          </w:tcPr>
          <w:p w14:paraId="32A2F5B5" w14:textId="77777777" w:rsidR="009C1501" w:rsidRPr="00C64154" w:rsidRDefault="009C1501" w:rsidP="009C1501">
            <w:pPr>
              <w:spacing w:line="257" w:lineRule="auto"/>
              <w:rPr>
                <w:rFonts w:ascii="Calibri" w:eastAsia="Calibri" w:hAnsi="Calibri" w:cs="Calibri"/>
              </w:rPr>
            </w:pPr>
            <w:r w:rsidRPr="00C64154">
              <w:rPr>
                <w:rFonts w:ascii="Calibri" w:eastAsia="Calibri" w:hAnsi="Calibri" w:cs="Calibri"/>
              </w:rPr>
              <w:t>All categories combined</w:t>
            </w:r>
          </w:p>
        </w:tc>
        <w:tc>
          <w:tcPr>
            <w:tcW w:w="2045" w:type="dxa"/>
          </w:tcPr>
          <w:p w14:paraId="30B8FF17" w14:textId="2DB9FF4C" w:rsidR="009C1501" w:rsidRPr="00C64154" w:rsidRDefault="00E67508" w:rsidP="009C1501">
            <w:pPr>
              <w:spacing w:line="257" w:lineRule="auto"/>
              <w:rPr>
                <w:rFonts w:ascii="Calibri" w:eastAsia="Calibri" w:hAnsi="Calibri" w:cs="Calibri"/>
              </w:rPr>
            </w:pPr>
            <w:r w:rsidRPr="00C64154">
              <w:rPr>
                <w:rFonts w:ascii="Calibri" w:eastAsia="Calibri" w:hAnsi="Calibri" w:cs="Calibri"/>
              </w:rPr>
              <w:t>0.01155</w:t>
            </w:r>
          </w:p>
        </w:tc>
        <w:tc>
          <w:tcPr>
            <w:tcW w:w="3955" w:type="dxa"/>
          </w:tcPr>
          <w:p w14:paraId="441EE322" w14:textId="77777777" w:rsidR="009C1501" w:rsidRPr="00C64154" w:rsidRDefault="009C1501" w:rsidP="009C1501">
            <w:pPr>
              <w:spacing w:line="257" w:lineRule="auto"/>
              <w:rPr>
                <w:rFonts w:ascii="Calibri" w:eastAsia="Calibri" w:hAnsi="Calibri" w:cs="Calibri"/>
              </w:rPr>
            </w:pPr>
            <w:r w:rsidRPr="00C64154">
              <w:rPr>
                <w:rFonts w:ascii="Calibri" w:eastAsia="Calibri" w:hAnsi="Calibri" w:cs="Calibri"/>
              </w:rPr>
              <w:t>1 (reference)</w:t>
            </w:r>
          </w:p>
        </w:tc>
      </w:tr>
      <w:tr w:rsidR="009C1501" w14:paraId="63540A5B" w14:textId="77777777" w:rsidTr="00A0311A">
        <w:tc>
          <w:tcPr>
            <w:tcW w:w="3350" w:type="dxa"/>
          </w:tcPr>
          <w:p w14:paraId="3EBBACBC" w14:textId="77777777" w:rsidR="009C1501" w:rsidRPr="00C64154" w:rsidRDefault="009C1501" w:rsidP="009C1501">
            <w:pPr>
              <w:spacing w:line="257" w:lineRule="auto"/>
              <w:rPr>
                <w:rFonts w:ascii="Calibri" w:eastAsia="Calibri" w:hAnsi="Calibri" w:cs="Calibri"/>
              </w:rPr>
            </w:pPr>
            <w:r w:rsidRPr="00C64154">
              <w:rPr>
                <w:rFonts w:ascii="Calibri" w:eastAsia="Calibri" w:hAnsi="Calibri" w:cs="Calibri"/>
              </w:rPr>
              <w:t>Dara-containing category</w:t>
            </w:r>
          </w:p>
        </w:tc>
        <w:tc>
          <w:tcPr>
            <w:tcW w:w="2045" w:type="dxa"/>
          </w:tcPr>
          <w:p w14:paraId="40DE86EE" w14:textId="7D00DF28" w:rsidR="009C1501" w:rsidRPr="00C64154" w:rsidRDefault="00E67508" w:rsidP="009C1501">
            <w:pPr>
              <w:spacing w:line="257" w:lineRule="auto"/>
              <w:rPr>
                <w:rFonts w:ascii="Calibri" w:eastAsia="Calibri" w:hAnsi="Calibri" w:cs="Calibri"/>
              </w:rPr>
            </w:pPr>
            <w:r w:rsidRPr="00C64154">
              <w:rPr>
                <w:rFonts w:ascii="Calibri" w:eastAsia="Calibri" w:hAnsi="Calibri" w:cs="Calibri"/>
              </w:rPr>
              <w:t>0.00874</w:t>
            </w:r>
          </w:p>
        </w:tc>
        <w:tc>
          <w:tcPr>
            <w:tcW w:w="3955" w:type="dxa"/>
          </w:tcPr>
          <w:p w14:paraId="33EB421C" w14:textId="766C3E64" w:rsidR="009C1501" w:rsidRPr="00C64154" w:rsidRDefault="005543B6" w:rsidP="00E67508">
            <w:pPr>
              <w:spacing w:line="257" w:lineRule="auto"/>
              <w:rPr>
                <w:rFonts w:ascii="Calibri" w:eastAsia="Calibri" w:hAnsi="Calibri" w:cs="Calibri"/>
              </w:rPr>
            </w:pPr>
            <w:r w:rsidRPr="00C64154">
              <w:rPr>
                <w:rFonts w:ascii="Calibri" w:eastAsia="Calibri" w:hAnsi="Calibri" w:cs="Calibri"/>
              </w:rPr>
              <w:t>0.</w:t>
            </w:r>
            <w:r w:rsidR="00E67508" w:rsidRPr="00C64154">
              <w:rPr>
                <w:rFonts w:ascii="Calibri" w:eastAsia="Calibri" w:hAnsi="Calibri" w:cs="Calibri"/>
              </w:rPr>
              <w:t>760</w:t>
            </w:r>
          </w:p>
        </w:tc>
      </w:tr>
      <w:tr w:rsidR="009C1501" w14:paraId="10A9378D" w14:textId="77777777" w:rsidTr="00A0311A">
        <w:tc>
          <w:tcPr>
            <w:tcW w:w="3350" w:type="dxa"/>
          </w:tcPr>
          <w:p w14:paraId="2A1E2B43" w14:textId="77777777" w:rsidR="009C1501" w:rsidRPr="00C64154" w:rsidRDefault="009C1501" w:rsidP="009C1501">
            <w:pPr>
              <w:spacing w:line="257" w:lineRule="auto"/>
              <w:rPr>
                <w:rFonts w:ascii="Calibri" w:eastAsia="Calibri" w:hAnsi="Calibri" w:cs="Calibri"/>
              </w:rPr>
            </w:pPr>
            <w:r w:rsidRPr="00C64154">
              <w:rPr>
                <w:rFonts w:ascii="Calibri" w:eastAsia="Calibri" w:hAnsi="Calibri" w:cs="Calibri"/>
              </w:rPr>
              <w:t>Isa-containing category</w:t>
            </w:r>
          </w:p>
        </w:tc>
        <w:tc>
          <w:tcPr>
            <w:tcW w:w="2045" w:type="dxa"/>
          </w:tcPr>
          <w:p w14:paraId="626E79E3" w14:textId="054FB52F" w:rsidR="009C1501" w:rsidRPr="00C64154" w:rsidRDefault="009C1501" w:rsidP="00E67508">
            <w:pPr>
              <w:spacing w:line="257" w:lineRule="auto"/>
              <w:rPr>
                <w:rFonts w:ascii="Calibri" w:eastAsia="Calibri" w:hAnsi="Calibri" w:cs="Calibri"/>
              </w:rPr>
            </w:pPr>
            <w:r w:rsidRPr="00C64154">
              <w:rPr>
                <w:rFonts w:ascii="Calibri" w:eastAsia="Calibri" w:hAnsi="Calibri" w:cs="Calibri"/>
              </w:rPr>
              <w:t>0.0</w:t>
            </w:r>
            <w:r w:rsidR="00E67508" w:rsidRPr="00C64154">
              <w:rPr>
                <w:rFonts w:ascii="Calibri" w:eastAsia="Calibri" w:hAnsi="Calibri" w:cs="Calibri"/>
              </w:rPr>
              <w:t>0874</w:t>
            </w:r>
          </w:p>
        </w:tc>
        <w:tc>
          <w:tcPr>
            <w:tcW w:w="3955" w:type="dxa"/>
          </w:tcPr>
          <w:p w14:paraId="4346DD6B" w14:textId="395194F0" w:rsidR="009C1501" w:rsidRPr="00C64154" w:rsidRDefault="005543B6" w:rsidP="009C1501">
            <w:pPr>
              <w:spacing w:line="257" w:lineRule="auto"/>
              <w:rPr>
                <w:rFonts w:ascii="Calibri" w:eastAsia="Calibri" w:hAnsi="Calibri" w:cs="Calibri"/>
              </w:rPr>
            </w:pPr>
            <w:r w:rsidRPr="00C64154">
              <w:rPr>
                <w:rFonts w:ascii="Calibri" w:eastAsia="Calibri" w:hAnsi="Calibri" w:cs="Calibri"/>
              </w:rPr>
              <w:t>0</w:t>
            </w:r>
            <w:r w:rsidR="00E67508" w:rsidRPr="00C64154">
              <w:rPr>
                <w:rFonts w:ascii="Calibri" w:eastAsia="Calibri" w:hAnsi="Calibri" w:cs="Calibri"/>
              </w:rPr>
              <w:t>.760</w:t>
            </w:r>
          </w:p>
        </w:tc>
      </w:tr>
      <w:tr w:rsidR="009C1501" w14:paraId="440C2496" w14:textId="77777777" w:rsidTr="00A0311A">
        <w:tc>
          <w:tcPr>
            <w:tcW w:w="3350" w:type="dxa"/>
          </w:tcPr>
          <w:p w14:paraId="46C4E25B" w14:textId="77777777" w:rsidR="009C1501" w:rsidRPr="00C64154" w:rsidRDefault="009C1501" w:rsidP="009C1501">
            <w:pPr>
              <w:spacing w:line="257" w:lineRule="auto"/>
              <w:rPr>
                <w:rFonts w:ascii="Calibri" w:eastAsia="Calibri" w:hAnsi="Calibri" w:cs="Calibri"/>
              </w:rPr>
            </w:pPr>
            <w:r w:rsidRPr="00C64154">
              <w:rPr>
                <w:rFonts w:ascii="Calibri" w:eastAsia="Calibri" w:hAnsi="Calibri" w:cs="Calibri"/>
              </w:rPr>
              <w:t>Residual category</w:t>
            </w:r>
          </w:p>
        </w:tc>
        <w:tc>
          <w:tcPr>
            <w:tcW w:w="2045" w:type="dxa"/>
          </w:tcPr>
          <w:p w14:paraId="0A2C9780" w14:textId="78936478" w:rsidR="009C1501" w:rsidRPr="00C64154" w:rsidRDefault="009C1501" w:rsidP="00E67508">
            <w:pPr>
              <w:spacing w:line="257" w:lineRule="auto"/>
              <w:rPr>
                <w:rFonts w:ascii="Calibri" w:eastAsia="Calibri" w:hAnsi="Calibri" w:cs="Calibri"/>
              </w:rPr>
            </w:pPr>
            <w:r w:rsidRPr="00C64154">
              <w:rPr>
                <w:rFonts w:ascii="Calibri" w:eastAsia="Calibri" w:hAnsi="Calibri" w:cs="Calibri"/>
              </w:rPr>
              <w:t>0.0</w:t>
            </w:r>
            <w:r w:rsidR="00E67508" w:rsidRPr="00C64154">
              <w:rPr>
                <w:rFonts w:ascii="Calibri" w:eastAsia="Calibri" w:hAnsi="Calibri" w:cs="Calibri"/>
              </w:rPr>
              <w:t>1158</w:t>
            </w:r>
          </w:p>
        </w:tc>
        <w:tc>
          <w:tcPr>
            <w:tcW w:w="3955" w:type="dxa"/>
          </w:tcPr>
          <w:p w14:paraId="6BBCC631" w14:textId="40715D83" w:rsidR="009C1501" w:rsidRPr="00C64154" w:rsidRDefault="00060E7C" w:rsidP="009C1501">
            <w:pPr>
              <w:spacing w:line="257" w:lineRule="auto"/>
              <w:rPr>
                <w:rFonts w:ascii="Calibri" w:eastAsia="Calibri" w:hAnsi="Calibri" w:cs="Calibri"/>
              </w:rPr>
            </w:pPr>
            <w:r w:rsidRPr="00C64154">
              <w:rPr>
                <w:rFonts w:ascii="Calibri" w:eastAsia="Calibri" w:hAnsi="Calibri" w:cs="Calibri"/>
              </w:rPr>
              <w:t>1</w:t>
            </w:r>
            <w:r w:rsidR="00E67508" w:rsidRPr="00C64154">
              <w:rPr>
                <w:rFonts w:ascii="Calibri" w:eastAsia="Calibri" w:hAnsi="Calibri" w:cs="Calibri"/>
              </w:rPr>
              <w:t>.0024</w:t>
            </w:r>
          </w:p>
        </w:tc>
      </w:tr>
    </w:tbl>
    <w:p w14:paraId="20E45FCB" w14:textId="7202AA82" w:rsidR="009C1501" w:rsidRPr="00CF38E3" w:rsidRDefault="00E67508" w:rsidP="009C1501">
      <w:pPr>
        <w:spacing w:line="257" w:lineRule="auto"/>
        <w:rPr>
          <w:rFonts w:ascii="Calibri" w:eastAsia="Calibri" w:hAnsi="Calibri" w:cs="Calibri"/>
        </w:rPr>
      </w:pPr>
      <w:r>
        <w:rPr>
          <w:rFonts w:ascii="Calibri" w:eastAsia="Calibri" w:hAnsi="Calibri" w:cs="Calibri"/>
        </w:rPr>
        <w:t>*Note rounding differences</w:t>
      </w:r>
    </w:p>
    <w:p w14:paraId="743BA54B" w14:textId="77777777" w:rsidR="009C1501" w:rsidRDefault="00060E7C" w:rsidP="009C1501">
      <w:pPr>
        <w:spacing w:line="257" w:lineRule="auto"/>
        <w:rPr>
          <w:rFonts w:ascii="Calibri" w:eastAsia="Calibri" w:hAnsi="Calibri" w:cs="Calibri"/>
        </w:rPr>
      </w:pPr>
      <w:r w:rsidRPr="003E799A">
        <w:rPr>
          <w:rFonts w:ascii="Calibri" w:eastAsia="Calibri" w:hAnsi="Calibri" w:cs="Calibri"/>
          <w:b/>
        </w:rPr>
        <w:t>Step 7</w:t>
      </w:r>
      <w:r>
        <w:rPr>
          <w:rFonts w:ascii="Calibri" w:eastAsia="Calibri" w:hAnsi="Calibri" w:cs="Calibri"/>
        </w:rPr>
        <w:t xml:space="preserve">: </w:t>
      </w:r>
      <w:r w:rsidR="00BB708E">
        <w:rPr>
          <w:rFonts w:ascii="Calibri" w:eastAsia="Calibri" w:hAnsi="Calibri" w:cs="Calibri"/>
        </w:rPr>
        <w:t>Calculate</w:t>
      </w:r>
      <w:r>
        <w:rPr>
          <w:rFonts w:ascii="Calibri" w:eastAsia="Calibri" w:hAnsi="Calibri" w:cs="Calibri"/>
        </w:rPr>
        <w:t xml:space="preserve"> uncertainty interval</w:t>
      </w:r>
      <w:r w:rsidR="00BB708E">
        <w:rPr>
          <w:rFonts w:ascii="Calibri" w:eastAsia="Calibri" w:hAnsi="Calibri" w:cs="Calibri"/>
        </w:rPr>
        <w:t>s</w:t>
      </w:r>
      <w:r w:rsidR="00FE35D3">
        <w:rPr>
          <w:rFonts w:ascii="Calibri" w:eastAsia="Calibri" w:hAnsi="Calibri" w:cs="Calibri"/>
        </w:rPr>
        <w:t>.</w:t>
      </w:r>
    </w:p>
    <w:p w14:paraId="2F411114" w14:textId="77777777" w:rsidR="00BB708E" w:rsidRDefault="00BB708E" w:rsidP="009C1501">
      <w:pPr>
        <w:spacing w:line="257" w:lineRule="auto"/>
        <w:rPr>
          <w:rFonts w:ascii="Calibri" w:eastAsia="Calibri" w:hAnsi="Calibri" w:cs="Calibri"/>
        </w:rPr>
      </w:pPr>
      <w:r>
        <w:rPr>
          <w:rFonts w:ascii="Calibri" w:eastAsia="Calibri" w:hAnsi="Calibri" w:cs="Calibri"/>
        </w:rPr>
        <w:t>We will calculate uncertainty intervals for the PFS HRs in the table above using Monte Carlo simulation methodology, propagating parameter uncertainty through each of the calculations shown in the steps above. We assume</w:t>
      </w:r>
      <w:r w:rsidR="001C469C">
        <w:rPr>
          <w:rFonts w:ascii="Calibri" w:eastAsia="Calibri" w:hAnsi="Calibri" w:cs="Calibri"/>
        </w:rPr>
        <w:t>d</w:t>
      </w:r>
      <w:r>
        <w:rPr>
          <w:rFonts w:ascii="Calibri" w:eastAsia="Calibri" w:hAnsi="Calibri" w:cs="Calibri"/>
        </w:rPr>
        <w:t xml:space="preserve"> a log-normal distribution of uncertainty within the reported confidence intervals for the hazard ratio of cytogenetic risk on survival ou</w:t>
      </w:r>
      <w:r w:rsidR="00FE35D3">
        <w:rPr>
          <w:rFonts w:ascii="Calibri" w:eastAsia="Calibri" w:hAnsi="Calibri" w:cs="Calibri"/>
        </w:rPr>
        <w:t>tcomes</w:t>
      </w:r>
      <w:r w:rsidR="005543B6">
        <w:rPr>
          <w:rFonts w:ascii="Calibri" w:eastAsia="Calibri" w:hAnsi="Calibri" w:cs="Calibri"/>
        </w:rPr>
        <w:t>. We assume</w:t>
      </w:r>
      <w:r w:rsidR="001C469C">
        <w:rPr>
          <w:rFonts w:ascii="Calibri" w:eastAsia="Calibri" w:hAnsi="Calibri" w:cs="Calibri"/>
        </w:rPr>
        <w:t>d</w:t>
      </w:r>
      <w:r w:rsidR="005543B6">
        <w:rPr>
          <w:rFonts w:ascii="Calibri" w:eastAsia="Calibri" w:hAnsi="Calibri" w:cs="Calibri"/>
        </w:rPr>
        <w:t xml:space="preserve"> a </w:t>
      </w:r>
      <w:r w:rsidR="001C469C">
        <w:rPr>
          <w:rFonts w:ascii="Calibri" w:eastAsia="Calibri" w:hAnsi="Calibri" w:cs="Calibri"/>
        </w:rPr>
        <w:t>normal</w:t>
      </w:r>
      <w:r w:rsidR="005543B6">
        <w:rPr>
          <w:rFonts w:ascii="Calibri" w:eastAsia="Calibri" w:hAnsi="Calibri" w:cs="Calibri"/>
        </w:rPr>
        <w:t xml:space="preserve"> distribution of uncertainty within the reported confidence intervals for </w:t>
      </w:r>
      <w:r w:rsidR="009B1EB8">
        <w:rPr>
          <w:rFonts w:ascii="Calibri" w:eastAsia="Calibri" w:hAnsi="Calibri" w:cs="Calibri"/>
        </w:rPr>
        <w:t xml:space="preserve">median survival times from </w:t>
      </w:r>
      <w:proofErr w:type="spellStart"/>
      <w:r w:rsidR="009B1EB8">
        <w:rPr>
          <w:rFonts w:ascii="Calibri" w:eastAsia="Calibri" w:hAnsi="Calibri" w:cs="Calibri"/>
        </w:rPr>
        <w:t>Braunlin</w:t>
      </w:r>
      <w:proofErr w:type="spellEnd"/>
      <w:r w:rsidR="009B1EB8">
        <w:rPr>
          <w:rFonts w:ascii="Calibri" w:eastAsia="Calibri" w:hAnsi="Calibri" w:cs="Calibri"/>
        </w:rPr>
        <w:t xml:space="preserve"> et al. </w:t>
      </w:r>
      <w:r w:rsidR="009B1EB8">
        <w:rPr>
          <w:rFonts w:ascii="Calibri" w:eastAsia="Calibri" w:hAnsi="Calibri" w:cs="Calibri"/>
        </w:rPr>
        <w:lastRenderedPageBreak/>
        <w:t>(2020)</w:t>
      </w:r>
      <w:r w:rsidR="005543B6">
        <w:rPr>
          <w:rFonts w:ascii="Calibri" w:eastAsia="Calibri" w:hAnsi="Calibri" w:cs="Calibri"/>
        </w:rPr>
        <w:t>. We</w:t>
      </w:r>
      <w:r w:rsidR="00FE35D3">
        <w:rPr>
          <w:rFonts w:ascii="Calibri" w:eastAsia="Calibri" w:hAnsi="Calibri" w:cs="Calibri"/>
        </w:rPr>
        <w:t xml:space="preserve"> perform</w:t>
      </w:r>
      <w:r w:rsidR="005543B6">
        <w:rPr>
          <w:rFonts w:ascii="Calibri" w:eastAsia="Calibri" w:hAnsi="Calibri" w:cs="Calibri"/>
        </w:rPr>
        <w:t>ed</w:t>
      </w:r>
      <w:r w:rsidR="00FE35D3">
        <w:rPr>
          <w:rFonts w:ascii="Calibri" w:eastAsia="Calibri" w:hAnsi="Calibri" w:cs="Calibri"/>
        </w:rPr>
        <w:t xml:space="preserve"> 1,000 draws and use</w:t>
      </w:r>
      <w:r w:rsidR="005543B6">
        <w:rPr>
          <w:rFonts w:ascii="Calibri" w:eastAsia="Calibri" w:hAnsi="Calibri" w:cs="Calibri"/>
        </w:rPr>
        <w:t>d</w:t>
      </w:r>
      <w:r w:rsidR="00FE35D3">
        <w:rPr>
          <w:rFonts w:ascii="Calibri" w:eastAsia="Calibri" w:hAnsi="Calibri" w:cs="Calibri"/>
        </w:rPr>
        <w:t xml:space="preserve"> the 2.5</w:t>
      </w:r>
      <w:r w:rsidR="00FE35D3" w:rsidRPr="00FE35D3">
        <w:rPr>
          <w:rFonts w:ascii="Calibri" w:eastAsia="Calibri" w:hAnsi="Calibri" w:cs="Calibri"/>
          <w:vertAlign w:val="superscript"/>
        </w:rPr>
        <w:t>th</w:t>
      </w:r>
      <w:r w:rsidR="00FE35D3">
        <w:rPr>
          <w:rFonts w:ascii="Calibri" w:eastAsia="Calibri" w:hAnsi="Calibri" w:cs="Calibri"/>
        </w:rPr>
        <w:t xml:space="preserve"> and 97.5</w:t>
      </w:r>
      <w:r w:rsidR="00FE35D3" w:rsidRPr="00FE35D3">
        <w:rPr>
          <w:rFonts w:ascii="Calibri" w:eastAsia="Calibri" w:hAnsi="Calibri" w:cs="Calibri"/>
          <w:vertAlign w:val="superscript"/>
        </w:rPr>
        <w:t>th</w:t>
      </w:r>
      <w:r w:rsidR="00FE35D3">
        <w:rPr>
          <w:rFonts w:ascii="Calibri" w:eastAsia="Calibri" w:hAnsi="Calibri" w:cs="Calibri"/>
        </w:rPr>
        <w:t xml:space="preserve"> percentiles of the resulting distribution as lower and upper bounds.</w:t>
      </w:r>
    </w:p>
    <w:p w14:paraId="6E38F638" w14:textId="77777777" w:rsidR="00CF0C78" w:rsidRDefault="00060E7C" w:rsidP="009C1501">
      <w:pPr>
        <w:spacing w:line="257" w:lineRule="auto"/>
        <w:rPr>
          <w:rFonts w:ascii="Calibri" w:eastAsia="Calibri" w:hAnsi="Calibri" w:cs="Calibri"/>
        </w:rPr>
      </w:pPr>
      <w:r w:rsidRPr="003E799A">
        <w:rPr>
          <w:rFonts w:ascii="Calibri" w:eastAsia="Calibri" w:hAnsi="Calibri" w:cs="Calibri"/>
          <w:b/>
        </w:rPr>
        <w:t>Step 8</w:t>
      </w:r>
      <w:r>
        <w:rPr>
          <w:rFonts w:ascii="Calibri" w:eastAsia="Calibri" w:hAnsi="Calibri" w:cs="Calibri"/>
        </w:rPr>
        <w:t xml:space="preserve">: Repeat for </w:t>
      </w:r>
      <w:r w:rsidR="009B1EB8">
        <w:rPr>
          <w:rFonts w:ascii="Calibri" w:eastAsia="Calibri" w:hAnsi="Calibri" w:cs="Calibri"/>
        </w:rPr>
        <w:t>treatment duration</w:t>
      </w:r>
      <w:r w:rsidR="00FE35D3">
        <w:rPr>
          <w:rFonts w:ascii="Calibri" w:eastAsia="Calibri" w:hAnsi="Calibri" w:cs="Calibri"/>
        </w:rPr>
        <w:t xml:space="preserve"> (details not shown).</w:t>
      </w:r>
    </w:p>
    <w:p w14:paraId="1A4AA6E6" w14:textId="77777777" w:rsidR="00BB708E" w:rsidRDefault="00BB708E" w:rsidP="009C1501">
      <w:pPr>
        <w:spacing w:line="257" w:lineRule="auto"/>
        <w:rPr>
          <w:rFonts w:ascii="Calibri" w:eastAsia="Calibri" w:hAnsi="Calibri" w:cs="Calibri"/>
          <w:b/>
        </w:rPr>
      </w:pPr>
      <w:r>
        <w:rPr>
          <w:rFonts w:ascii="Calibri" w:eastAsia="Calibri" w:hAnsi="Calibri" w:cs="Calibri"/>
          <w:b/>
        </w:rPr>
        <w:t>Final Values</w:t>
      </w:r>
    </w:p>
    <w:p w14:paraId="3CF19667" w14:textId="77777777" w:rsidR="005B2E31" w:rsidRPr="005B2E31" w:rsidRDefault="005B2E31" w:rsidP="009C1501">
      <w:pPr>
        <w:spacing w:line="257" w:lineRule="auto"/>
        <w:rPr>
          <w:rFonts w:ascii="Calibri" w:eastAsia="Calibri" w:hAnsi="Calibri" w:cs="Calibri"/>
          <w:sz w:val="16"/>
        </w:rPr>
      </w:pPr>
      <w:r w:rsidRPr="005B2E31">
        <w:rPr>
          <w:rFonts w:ascii="Calibri" w:eastAsia="Calibri" w:hAnsi="Calibri" w:cs="Calibri"/>
          <w:sz w:val="16"/>
        </w:rPr>
        <w:t xml:space="preserve">Table </w:t>
      </w:r>
      <w:r>
        <w:rPr>
          <w:rFonts w:ascii="Calibri" w:eastAsia="Calibri" w:hAnsi="Calibri" w:cs="Calibri"/>
          <w:sz w:val="16"/>
        </w:rPr>
        <w:t>7</w:t>
      </w:r>
      <w:r w:rsidRPr="005B2E31">
        <w:rPr>
          <w:rFonts w:ascii="Calibri" w:eastAsia="Calibri" w:hAnsi="Calibri" w:cs="Calibri"/>
          <w:sz w:val="16"/>
        </w:rPr>
        <w:t>. Estimated progression free</w:t>
      </w:r>
      <w:r>
        <w:rPr>
          <w:rFonts w:ascii="Calibri" w:eastAsia="Calibri" w:hAnsi="Calibri" w:cs="Calibri"/>
          <w:sz w:val="16"/>
        </w:rPr>
        <w:t xml:space="preserve"> and overall</w:t>
      </w:r>
      <w:r w:rsidRPr="005B2E31">
        <w:rPr>
          <w:rFonts w:ascii="Calibri" w:eastAsia="Calibri" w:hAnsi="Calibri" w:cs="Calibri"/>
          <w:sz w:val="16"/>
        </w:rPr>
        <w:t xml:space="preserve"> survival hazard ratios </w:t>
      </w:r>
      <w:r>
        <w:rPr>
          <w:rFonts w:ascii="Calibri" w:eastAsia="Calibri" w:hAnsi="Calibri" w:cs="Calibri"/>
          <w:sz w:val="16"/>
        </w:rPr>
        <w:t xml:space="preserve">at the first line of treatment </w:t>
      </w:r>
      <w:r w:rsidRPr="005B2E31">
        <w:rPr>
          <w:rFonts w:ascii="Calibri" w:eastAsia="Calibri" w:hAnsi="Calibri" w:cs="Calibri"/>
          <w:sz w:val="16"/>
        </w:rPr>
        <w:t>for each modeled treatment category relative to all categories combined, with uncertainty.</w:t>
      </w:r>
    </w:p>
    <w:tbl>
      <w:tblPr>
        <w:tblStyle w:val="TableGrid"/>
        <w:tblW w:w="0" w:type="auto"/>
        <w:tblLook w:val="04A0" w:firstRow="1" w:lastRow="0" w:firstColumn="1" w:lastColumn="0" w:noHBand="0" w:noVBand="1"/>
      </w:tblPr>
      <w:tblGrid>
        <w:gridCol w:w="3116"/>
        <w:gridCol w:w="3117"/>
        <w:gridCol w:w="3117"/>
      </w:tblGrid>
      <w:tr w:rsidR="00CF0C78" w14:paraId="14741EE1" w14:textId="77777777" w:rsidTr="001C469C">
        <w:tc>
          <w:tcPr>
            <w:tcW w:w="3116" w:type="dxa"/>
          </w:tcPr>
          <w:p w14:paraId="1B23C6E3" w14:textId="77777777" w:rsidR="00CF0C78" w:rsidRPr="00CF0C78" w:rsidRDefault="00CF0C78" w:rsidP="001C469C">
            <w:pPr>
              <w:spacing w:line="257" w:lineRule="auto"/>
              <w:rPr>
                <w:rFonts w:ascii="Calibri" w:eastAsia="Calibri" w:hAnsi="Calibri" w:cs="Calibri"/>
                <w:b/>
              </w:rPr>
            </w:pPr>
            <w:r w:rsidRPr="00CF0C78">
              <w:rPr>
                <w:rFonts w:ascii="Calibri" w:eastAsia="Calibri" w:hAnsi="Calibri" w:cs="Calibri"/>
                <w:b/>
              </w:rPr>
              <w:t>Treatment Category</w:t>
            </w:r>
          </w:p>
        </w:tc>
        <w:tc>
          <w:tcPr>
            <w:tcW w:w="3117" w:type="dxa"/>
          </w:tcPr>
          <w:p w14:paraId="4691A14C" w14:textId="77777777" w:rsidR="00CF0C78" w:rsidRPr="00CF0C78" w:rsidRDefault="009B1EB8" w:rsidP="005B2E31">
            <w:pPr>
              <w:spacing w:line="257" w:lineRule="auto"/>
              <w:rPr>
                <w:rFonts w:ascii="Calibri" w:eastAsia="Calibri" w:hAnsi="Calibri" w:cs="Calibri"/>
                <w:b/>
              </w:rPr>
            </w:pPr>
            <w:r>
              <w:rPr>
                <w:rFonts w:ascii="Calibri" w:eastAsia="Calibri" w:hAnsi="Calibri" w:cs="Calibri"/>
                <w:b/>
              </w:rPr>
              <w:t>Treatment Duration</w:t>
            </w:r>
            <w:r w:rsidR="00CF0C78" w:rsidRPr="00CF0C78">
              <w:rPr>
                <w:rFonts w:ascii="Calibri" w:eastAsia="Calibri" w:hAnsi="Calibri" w:cs="Calibri"/>
                <w:b/>
              </w:rPr>
              <w:t xml:space="preserve"> HR (95% </w:t>
            </w:r>
            <w:r w:rsidR="005B2E31">
              <w:rPr>
                <w:rFonts w:ascii="Calibri" w:eastAsia="Calibri" w:hAnsi="Calibri" w:cs="Calibri"/>
                <w:b/>
              </w:rPr>
              <w:t>U</w:t>
            </w:r>
            <w:r w:rsidR="00CF0C78" w:rsidRPr="00CF0C78">
              <w:rPr>
                <w:rFonts w:ascii="Calibri" w:eastAsia="Calibri" w:hAnsi="Calibri" w:cs="Calibri"/>
                <w:b/>
              </w:rPr>
              <w:t>I)</w:t>
            </w:r>
            <w:r>
              <w:rPr>
                <w:rFonts w:ascii="Calibri" w:eastAsia="Calibri" w:hAnsi="Calibri" w:cs="Calibri"/>
                <w:b/>
              </w:rPr>
              <w:t>*</w:t>
            </w:r>
          </w:p>
        </w:tc>
        <w:tc>
          <w:tcPr>
            <w:tcW w:w="3117" w:type="dxa"/>
          </w:tcPr>
          <w:p w14:paraId="5BE5A83D" w14:textId="77777777" w:rsidR="00CF0C78" w:rsidRPr="00CF0C78" w:rsidRDefault="00CF0C78" w:rsidP="005B2E31">
            <w:pPr>
              <w:spacing w:line="257" w:lineRule="auto"/>
              <w:rPr>
                <w:rFonts w:ascii="Calibri" w:eastAsia="Calibri" w:hAnsi="Calibri" w:cs="Calibri"/>
                <w:b/>
              </w:rPr>
            </w:pPr>
            <w:r w:rsidRPr="00CF0C78">
              <w:rPr>
                <w:rFonts w:ascii="Calibri" w:eastAsia="Calibri" w:hAnsi="Calibri" w:cs="Calibri"/>
                <w:b/>
              </w:rPr>
              <w:t xml:space="preserve">Overall survival HR (95% </w:t>
            </w:r>
            <w:r w:rsidR="005B2E31">
              <w:rPr>
                <w:rFonts w:ascii="Calibri" w:eastAsia="Calibri" w:hAnsi="Calibri" w:cs="Calibri"/>
                <w:b/>
              </w:rPr>
              <w:t>U</w:t>
            </w:r>
            <w:r w:rsidRPr="00CF0C78">
              <w:rPr>
                <w:rFonts w:ascii="Calibri" w:eastAsia="Calibri" w:hAnsi="Calibri" w:cs="Calibri"/>
                <w:b/>
              </w:rPr>
              <w:t>I)</w:t>
            </w:r>
          </w:p>
        </w:tc>
      </w:tr>
      <w:tr w:rsidR="00CF0C78" w14:paraId="5A0E8334" w14:textId="77777777" w:rsidTr="001C469C">
        <w:tc>
          <w:tcPr>
            <w:tcW w:w="3116" w:type="dxa"/>
          </w:tcPr>
          <w:p w14:paraId="45D154BC" w14:textId="77777777" w:rsidR="00CF0C78" w:rsidRDefault="00CF0C78" w:rsidP="001C469C">
            <w:pPr>
              <w:spacing w:line="257" w:lineRule="auto"/>
              <w:rPr>
                <w:rFonts w:ascii="Calibri" w:eastAsia="Calibri" w:hAnsi="Calibri" w:cs="Calibri"/>
              </w:rPr>
            </w:pPr>
            <w:r>
              <w:rPr>
                <w:rFonts w:ascii="Calibri" w:eastAsia="Calibri" w:hAnsi="Calibri" w:cs="Calibri"/>
              </w:rPr>
              <w:t>All categories combined</w:t>
            </w:r>
          </w:p>
        </w:tc>
        <w:tc>
          <w:tcPr>
            <w:tcW w:w="3117" w:type="dxa"/>
          </w:tcPr>
          <w:p w14:paraId="0AAC9694" w14:textId="77777777" w:rsidR="00CF0C78" w:rsidRDefault="00CF0C78" w:rsidP="001C469C">
            <w:pPr>
              <w:spacing w:line="257" w:lineRule="auto"/>
              <w:rPr>
                <w:rFonts w:ascii="Calibri" w:eastAsia="Calibri" w:hAnsi="Calibri" w:cs="Calibri"/>
              </w:rPr>
            </w:pPr>
            <w:r>
              <w:rPr>
                <w:rFonts w:ascii="Calibri" w:eastAsia="Calibri" w:hAnsi="Calibri" w:cs="Calibri"/>
              </w:rPr>
              <w:t>1 (reference)</w:t>
            </w:r>
          </w:p>
        </w:tc>
        <w:tc>
          <w:tcPr>
            <w:tcW w:w="3117" w:type="dxa"/>
          </w:tcPr>
          <w:p w14:paraId="1A195CEC" w14:textId="77777777" w:rsidR="00CF0C78" w:rsidRDefault="00CF0C78" w:rsidP="001C469C">
            <w:pPr>
              <w:spacing w:line="257" w:lineRule="auto"/>
              <w:rPr>
                <w:rFonts w:ascii="Calibri" w:eastAsia="Calibri" w:hAnsi="Calibri" w:cs="Calibri"/>
              </w:rPr>
            </w:pPr>
            <w:r>
              <w:rPr>
                <w:rFonts w:ascii="Calibri" w:eastAsia="Calibri" w:hAnsi="Calibri" w:cs="Calibri"/>
              </w:rPr>
              <w:t>1 (reference)</w:t>
            </w:r>
          </w:p>
        </w:tc>
      </w:tr>
      <w:tr w:rsidR="00CF0C78" w14:paraId="5E8F6F2C" w14:textId="77777777" w:rsidTr="001C469C">
        <w:tc>
          <w:tcPr>
            <w:tcW w:w="3116" w:type="dxa"/>
          </w:tcPr>
          <w:p w14:paraId="79CC47F1" w14:textId="77777777" w:rsidR="00CF0C78" w:rsidRDefault="00CF0C78" w:rsidP="001C469C">
            <w:pPr>
              <w:spacing w:line="257" w:lineRule="auto"/>
              <w:rPr>
                <w:rFonts w:ascii="Calibri" w:eastAsia="Calibri" w:hAnsi="Calibri" w:cs="Calibri"/>
              </w:rPr>
            </w:pPr>
            <w:r>
              <w:rPr>
                <w:rFonts w:ascii="Calibri" w:eastAsia="Calibri" w:hAnsi="Calibri" w:cs="Calibri"/>
              </w:rPr>
              <w:t>Daratumumab-containing treatment category</w:t>
            </w:r>
          </w:p>
        </w:tc>
        <w:tc>
          <w:tcPr>
            <w:tcW w:w="3117" w:type="dxa"/>
          </w:tcPr>
          <w:p w14:paraId="2CF0D187" w14:textId="16B723C4" w:rsidR="00CF0C78" w:rsidRPr="0073085E" w:rsidRDefault="005543B6" w:rsidP="0073085E">
            <w:pPr>
              <w:spacing w:line="257" w:lineRule="auto"/>
              <w:rPr>
                <w:rFonts w:ascii="Calibri" w:eastAsia="Calibri" w:hAnsi="Calibri" w:cs="Calibri"/>
              </w:rPr>
            </w:pPr>
            <w:r w:rsidRPr="0073085E">
              <w:rPr>
                <w:rFonts w:ascii="Calibri" w:eastAsia="Calibri" w:hAnsi="Calibri" w:cs="Calibri"/>
              </w:rPr>
              <w:t>0.</w:t>
            </w:r>
            <w:r w:rsidR="0073085E" w:rsidRPr="0073085E">
              <w:rPr>
                <w:rFonts w:ascii="Calibri" w:eastAsia="Calibri" w:hAnsi="Calibri" w:cs="Calibri"/>
              </w:rPr>
              <w:t>429</w:t>
            </w:r>
            <w:r w:rsidR="00CF0C78" w:rsidRPr="0073085E">
              <w:rPr>
                <w:rFonts w:ascii="Calibri" w:eastAsia="Calibri" w:hAnsi="Calibri" w:cs="Calibri"/>
              </w:rPr>
              <w:t xml:space="preserve"> (</w:t>
            </w:r>
            <w:r w:rsidRPr="0073085E">
              <w:rPr>
                <w:rFonts w:ascii="Calibri" w:eastAsia="Calibri" w:hAnsi="Calibri" w:cs="Calibri"/>
              </w:rPr>
              <w:t>0.</w:t>
            </w:r>
            <w:r w:rsidR="0073085E" w:rsidRPr="0073085E">
              <w:rPr>
                <w:rFonts w:ascii="Calibri" w:eastAsia="Calibri" w:hAnsi="Calibri" w:cs="Calibri"/>
              </w:rPr>
              <w:t>368</w:t>
            </w:r>
            <w:r w:rsidRPr="0073085E">
              <w:rPr>
                <w:rFonts w:ascii="Calibri" w:eastAsia="Calibri" w:hAnsi="Calibri" w:cs="Calibri"/>
              </w:rPr>
              <w:t>, 0.</w:t>
            </w:r>
            <w:r w:rsidR="0073085E" w:rsidRPr="0073085E">
              <w:rPr>
                <w:rFonts w:ascii="Calibri" w:eastAsia="Calibri" w:hAnsi="Calibri" w:cs="Calibri"/>
              </w:rPr>
              <w:t>495</w:t>
            </w:r>
            <w:r w:rsidR="00CF0C78" w:rsidRPr="0073085E">
              <w:rPr>
                <w:rFonts w:ascii="Calibri" w:eastAsia="Calibri" w:hAnsi="Calibri" w:cs="Calibri"/>
              </w:rPr>
              <w:t>)</w:t>
            </w:r>
          </w:p>
        </w:tc>
        <w:tc>
          <w:tcPr>
            <w:tcW w:w="3117" w:type="dxa"/>
          </w:tcPr>
          <w:p w14:paraId="2DA2EDF4" w14:textId="37B0141B" w:rsidR="00CF0C78" w:rsidRDefault="00A3681F" w:rsidP="0073085E">
            <w:pPr>
              <w:spacing w:line="257" w:lineRule="auto"/>
              <w:rPr>
                <w:rFonts w:ascii="Calibri" w:eastAsia="Calibri" w:hAnsi="Calibri" w:cs="Calibri"/>
              </w:rPr>
            </w:pPr>
            <w:r>
              <w:rPr>
                <w:rFonts w:ascii="Calibri" w:eastAsia="Calibri" w:hAnsi="Calibri" w:cs="Calibri"/>
              </w:rPr>
              <w:t>0.</w:t>
            </w:r>
            <w:r w:rsidR="0073085E">
              <w:rPr>
                <w:rFonts w:ascii="Calibri" w:eastAsia="Calibri" w:hAnsi="Calibri" w:cs="Calibri"/>
              </w:rPr>
              <w:t>760</w:t>
            </w:r>
            <w:r>
              <w:rPr>
                <w:rFonts w:ascii="Calibri" w:eastAsia="Calibri" w:hAnsi="Calibri" w:cs="Calibri"/>
              </w:rPr>
              <w:t xml:space="preserve"> (0.64</w:t>
            </w:r>
            <w:r w:rsidR="0073085E">
              <w:rPr>
                <w:rFonts w:ascii="Calibri" w:eastAsia="Calibri" w:hAnsi="Calibri" w:cs="Calibri"/>
              </w:rPr>
              <w:t>5</w:t>
            </w:r>
            <w:r>
              <w:rPr>
                <w:rFonts w:ascii="Calibri" w:eastAsia="Calibri" w:hAnsi="Calibri" w:cs="Calibri"/>
              </w:rPr>
              <w:t xml:space="preserve">, </w:t>
            </w:r>
            <w:r w:rsidR="0073085E">
              <w:rPr>
                <w:rFonts w:ascii="Calibri" w:eastAsia="Calibri" w:hAnsi="Calibri" w:cs="Calibri"/>
              </w:rPr>
              <w:t>0.895</w:t>
            </w:r>
            <w:r>
              <w:rPr>
                <w:rFonts w:ascii="Calibri" w:eastAsia="Calibri" w:hAnsi="Calibri" w:cs="Calibri"/>
              </w:rPr>
              <w:t>)</w:t>
            </w:r>
          </w:p>
        </w:tc>
      </w:tr>
      <w:tr w:rsidR="00CF0C78" w14:paraId="4201261E" w14:textId="77777777" w:rsidTr="001C469C">
        <w:tc>
          <w:tcPr>
            <w:tcW w:w="3116" w:type="dxa"/>
          </w:tcPr>
          <w:p w14:paraId="3FA8DA67" w14:textId="77777777" w:rsidR="00CF0C78" w:rsidRDefault="00CF0C78" w:rsidP="001C469C">
            <w:pPr>
              <w:spacing w:line="257" w:lineRule="auto"/>
              <w:rPr>
                <w:rFonts w:ascii="Calibri" w:eastAsia="Calibri" w:hAnsi="Calibri" w:cs="Calibri"/>
              </w:rPr>
            </w:pPr>
            <w:r>
              <w:rPr>
                <w:rFonts w:ascii="Calibri" w:eastAsia="Calibri" w:hAnsi="Calibri" w:cs="Calibri"/>
              </w:rPr>
              <w:t>Isatuxamib-containing treatment category</w:t>
            </w:r>
          </w:p>
        </w:tc>
        <w:tc>
          <w:tcPr>
            <w:tcW w:w="3117" w:type="dxa"/>
          </w:tcPr>
          <w:p w14:paraId="4BCF7F14" w14:textId="006A4522" w:rsidR="00CF0C78" w:rsidRPr="0073085E" w:rsidRDefault="0073085E" w:rsidP="00CA22D1">
            <w:pPr>
              <w:spacing w:line="257" w:lineRule="auto"/>
              <w:rPr>
                <w:rFonts w:ascii="Calibri" w:eastAsia="Calibri" w:hAnsi="Calibri" w:cs="Calibri"/>
              </w:rPr>
            </w:pPr>
            <w:r w:rsidRPr="0073085E">
              <w:rPr>
                <w:rFonts w:ascii="Calibri" w:eastAsia="Calibri" w:hAnsi="Calibri" w:cs="Calibri"/>
              </w:rPr>
              <w:t>0.429 (0.368, 0.495)</w:t>
            </w:r>
          </w:p>
        </w:tc>
        <w:tc>
          <w:tcPr>
            <w:tcW w:w="3117" w:type="dxa"/>
          </w:tcPr>
          <w:p w14:paraId="724AFE0D" w14:textId="058D95FC" w:rsidR="00CF0C78" w:rsidRDefault="0073085E" w:rsidP="001C469C">
            <w:pPr>
              <w:spacing w:line="257" w:lineRule="auto"/>
              <w:rPr>
                <w:rFonts w:ascii="Calibri" w:eastAsia="Calibri" w:hAnsi="Calibri" w:cs="Calibri"/>
              </w:rPr>
            </w:pPr>
            <w:r>
              <w:rPr>
                <w:rFonts w:ascii="Calibri" w:eastAsia="Calibri" w:hAnsi="Calibri" w:cs="Calibri"/>
              </w:rPr>
              <w:t>0.760 (0.645, 0.895)</w:t>
            </w:r>
          </w:p>
        </w:tc>
      </w:tr>
      <w:tr w:rsidR="00CF0C78" w14:paraId="4DA7F991" w14:textId="77777777" w:rsidTr="001C469C">
        <w:tc>
          <w:tcPr>
            <w:tcW w:w="3116" w:type="dxa"/>
          </w:tcPr>
          <w:p w14:paraId="41202E3B" w14:textId="77777777" w:rsidR="00CF0C78" w:rsidRDefault="00CF0C78" w:rsidP="001C469C">
            <w:pPr>
              <w:spacing w:line="257" w:lineRule="auto"/>
              <w:rPr>
                <w:rFonts w:ascii="Calibri" w:eastAsia="Calibri" w:hAnsi="Calibri" w:cs="Calibri"/>
              </w:rPr>
            </w:pPr>
            <w:r>
              <w:rPr>
                <w:rFonts w:ascii="Calibri" w:eastAsia="Calibri" w:hAnsi="Calibri" w:cs="Calibri"/>
              </w:rPr>
              <w:t>Residual treatment category</w:t>
            </w:r>
          </w:p>
        </w:tc>
        <w:tc>
          <w:tcPr>
            <w:tcW w:w="3117" w:type="dxa"/>
          </w:tcPr>
          <w:p w14:paraId="0A9A6567" w14:textId="69A2279F" w:rsidR="00CF0C78" w:rsidRDefault="00CF0C78" w:rsidP="0073085E">
            <w:pPr>
              <w:spacing w:line="257" w:lineRule="auto"/>
              <w:rPr>
                <w:rFonts w:ascii="Calibri" w:eastAsia="Calibri" w:hAnsi="Calibri" w:cs="Calibri"/>
              </w:rPr>
            </w:pPr>
            <w:r>
              <w:rPr>
                <w:rFonts w:ascii="Calibri" w:eastAsia="Calibri" w:hAnsi="Calibri" w:cs="Calibri"/>
              </w:rPr>
              <w:t>1.00</w:t>
            </w:r>
            <w:r w:rsidR="0073085E">
              <w:rPr>
                <w:rFonts w:ascii="Calibri" w:eastAsia="Calibri" w:hAnsi="Calibri" w:cs="Calibri"/>
              </w:rPr>
              <w:t>58</w:t>
            </w:r>
            <w:r w:rsidR="005543B6">
              <w:rPr>
                <w:rFonts w:ascii="Calibri" w:eastAsia="Calibri" w:hAnsi="Calibri" w:cs="Calibri"/>
              </w:rPr>
              <w:t>1</w:t>
            </w:r>
            <w:r>
              <w:rPr>
                <w:rFonts w:ascii="Calibri" w:eastAsia="Calibri" w:hAnsi="Calibri" w:cs="Calibri"/>
              </w:rPr>
              <w:t xml:space="preserve"> (</w:t>
            </w:r>
            <w:r w:rsidR="005543B6">
              <w:rPr>
                <w:rFonts w:ascii="Calibri" w:eastAsia="Calibri" w:hAnsi="Calibri" w:cs="Calibri"/>
              </w:rPr>
              <w:t>1.00</w:t>
            </w:r>
            <w:r w:rsidR="0073085E">
              <w:rPr>
                <w:rFonts w:ascii="Calibri" w:eastAsia="Calibri" w:hAnsi="Calibri" w:cs="Calibri"/>
              </w:rPr>
              <w:t>51</w:t>
            </w:r>
            <w:r w:rsidR="005543B6">
              <w:rPr>
                <w:rFonts w:ascii="Calibri" w:eastAsia="Calibri" w:hAnsi="Calibri" w:cs="Calibri"/>
              </w:rPr>
              <w:t>, 1.00</w:t>
            </w:r>
            <w:r w:rsidR="0073085E">
              <w:rPr>
                <w:rFonts w:ascii="Calibri" w:eastAsia="Calibri" w:hAnsi="Calibri" w:cs="Calibri"/>
              </w:rPr>
              <w:t>64</w:t>
            </w:r>
            <w:r>
              <w:rPr>
                <w:rFonts w:ascii="Calibri" w:eastAsia="Calibri" w:hAnsi="Calibri" w:cs="Calibri"/>
              </w:rPr>
              <w:t>)</w:t>
            </w:r>
          </w:p>
        </w:tc>
        <w:tc>
          <w:tcPr>
            <w:tcW w:w="3117" w:type="dxa"/>
          </w:tcPr>
          <w:p w14:paraId="6030DD55" w14:textId="7B753B6D" w:rsidR="00CF0C78" w:rsidRDefault="00A3681F" w:rsidP="0073085E">
            <w:pPr>
              <w:spacing w:line="257" w:lineRule="auto"/>
              <w:rPr>
                <w:rFonts w:ascii="Calibri" w:eastAsia="Calibri" w:hAnsi="Calibri" w:cs="Calibri"/>
              </w:rPr>
            </w:pPr>
            <w:r>
              <w:rPr>
                <w:rFonts w:ascii="Calibri" w:eastAsia="Calibri" w:hAnsi="Calibri" w:cs="Calibri"/>
              </w:rPr>
              <w:t>1.00</w:t>
            </w:r>
            <w:r w:rsidR="0073085E">
              <w:rPr>
                <w:rFonts w:ascii="Calibri" w:eastAsia="Calibri" w:hAnsi="Calibri" w:cs="Calibri"/>
              </w:rPr>
              <w:t>24</w:t>
            </w:r>
            <w:r>
              <w:rPr>
                <w:rFonts w:ascii="Calibri" w:eastAsia="Calibri" w:hAnsi="Calibri" w:cs="Calibri"/>
              </w:rPr>
              <w:t xml:space="preserve"> (</w:t>
            </w:r>
            <w:r w:rsidR="0073085E">
              <w:rPr>
                <w:rFonts w:ascii="Calibri" w:eastAsia="Calibri" w:hAnsi="Calibri" w:cs="Calibri"/>
              </w:rPr>
              <w:t>1.0011</w:t>
            </w:r>
            <w:r>
              <w:rPr>
                <w:rFonts w:ascii="Calibri" w:eastAsia="Calibri" w:hAnsi="Calibri" w:cs="Calibri"/>
              </w:rPr>
              <w:t>, 1.00</w:t>
            </w:r>
            <w:r w:rsidR="0073085E">
              <w:rPr>
                <w:rFonts w:ascii="Calibri" w:eastAsia="Calibri" w:hAnsi="Calibri" w:cs="Calibri"/>
              </w:rPr>
              <w:t>36</w:t>
            </w:r>
            <w:r>
              <w:rPr>
                <w:rFonts w:ascii="Calibri" w:eastAsia="Calibri" w:hAnsi="Calibri" w:cs="Calibri"/>
              </w:rPr>
              <w:t>)</w:t>
            </w:r>
          </w:p>
        </w:tc>
      </w:tr>
    </w:tbl>
    <w:p w14:paraId="401E1AE6" w14:textId="77777777" w:rsidR="00FE5A29" w:rsidRPr="009B1EB8" w:rsidRDefault="009B1EB8" w:rsidP="009B1EB8">
      <w:pPr>
        <w:spacing w:line="257" w:lineRule="auto"/>
        <w:rPr>
          <w:rFonts w:ascii="Calibri" w:eastAsia="Calibri" w:hAnsi="Calibri" w:cs="Calibri"/>
        </w:rPr>
      </w:pPr>
      <w:r>
        <w:rPr>
          <w:rFonts w:ascii="Calibri" w:eastAsia="Calibri" w:hAnsi="Calibri" w:cs="Calibri"/>
        </w:rPr>
        <w:t>*To be used as a proxy for progression free survival</w:t>
      </w:r>
    </w:p>
    <w:p w14:paraId="5DFAC09F" w14:textId="77777777" w:rsidR="009C1501" w:rsidRDefault="00A3681F" w:rsidP="00C745B4">
      <w:pPr>
        <w:spacing w:line="257" w:lineRule="auto"/>
        <w:rPr>
          <w:rFonts w:ascii="Calibri" w:eastAsia="Calibri" w:hAnsi="Calibri" w:cs="Calibri"/>
        </w:rPr>
      </w:pPr>
      <w:r>
        <w:rPr>
          <w:rFonts w:ascii="Calibri" w:eastAsia="Calibri" w:hAnsi="Calibri" w:cs="Calibri"/>
        </w:rPr>
        <w:t xml:space="preserve">While we might expect to see a larger effect of daratumumab/isatuxamib-containing treatments on progression free survival than overall survival, the use of treatment duration as a proxy for progression free survival from the </w:t>
      </w:r>
      <w:proofErr w:type="spellStart"/>
      <w:r>
        <w:rPr>
          <w:rFonts w:ascii="Calibri" w:eastAsia="Calibri" w:hAnsi="Calibri" w:cs="Calibri"/>
        </w:rPr>
        <w:t>Braunlin</w:t>
      </w:r>
      <w:proofErr w:type="spellEnd"/>
      <w:r>
        <w:rPr>
          <w:rFonts w:ascii="Calibri" w:eastAsia="Calibri" w:hAnsi="Calibri" w:cs="Calibri"/>
        </w:rPr>
        <w:t xml:space="preserve"> et al. (2020) paper may have underestimated progression free survival rates among the Flatiron Health population (as briefly discussed by </w:t>
      </w:r>
      <w:proofErr w:type="spellStart"/>
      <w:r>
        <w:rPr>
          <w:rFonts w:ascii="Calibri" w:eastAsia="Calibri" w:hAnsi="Calibri" w:cs="Calibri"/>
        </w:rPr>
        <w:t>Braunlin</w:t>
      </w:r>
      <w:proofErr w:type="spellEnd"/>
      <w:r>
        <w:rPr>
          <w:rFonts w:ascii="Calibri" w:eastAsia="Calibri" w:hAnsi="Calibri" w:cs="Calibri"/>
        </w:rPr>
        <w:t xml:space="preserve"> et al.), may have exacerbated this difference. This potential overestimate of the impact of daratumumab/isatuxamib-containing treatments on progression free survival is a limitation of our analysis.</w:t>
      </w:r>
      <w:r w:rsidR="00A02F81">
        <w:rPr>
          <w:rFonts w:ascii="Calibri" w:eastAsia="Calibri" w:hAnsi="Calibri" w:cs="Calibri"/>
        </w:rPr>
        <w:t xml:space="preserve"> We will assume a lognormal distribution of uncertainty within each uncertainty interval for use in Monte Carlo sampling of values in our simulation.</w:t>
      </w:r>
    </w:p>
    <w:p w14:paraId="77BC7025" w14:textId="77777777" w:rsidR="005510E8" w:rsidRDefault="005510E8" w:rsidP="00C745B4">
      <w:pPr>
        <w:spacing w:line="257" w:lineRule="auto"/>
        <w:rPr>
          <w:rFonts w:ascii="Calibri" w:eastAsia="Calibri" w:hAnsi="Calibri" w:cs="Calibri"/>
          <w:u w:val="single"/>
        </w:rPr>
      </w:pPr>
      <w:r>
        <w:rPr>
          <w:rFonts w:ascii="Calibri" w:eastAsia="Calibri" w:hAnsi="Calibri" w:cs="Calibri"/>
          <w:u w:val="single"/>
        </w:rPr>
        <w:t>Relapsed and Refractory Treatment Effects</w:t>
      </w:r>
    </w:p>
    <w:p w14:paraId="13273A39" w14:textId="77777777" w:rsidR="00F35937" w:rsidRDefault="009057BD" w:rsidP="009057BD">
      <w:pPr>
        <w:spacing w:line="257" w:lineRule="auto"/>
        <w:rPr>
          <w:rFonts w:ascii="Calibri" w:eastAsia="Calibri" w:hAnsi="Calibri" w:cs="Calibri"/>
        </w:rPr>
      </w:pPr>
      <w:r>
        <w:rPr>
          <w:rFonts w:ascii="Calibri" w:eastAsia="Calibri" w:hAnsi="Calibri" w:cs="Calibri"/>
        </w:rPr>
        <w:t>The data sources used to inform the treatment category-specific survival rates in the relapsed and refractory setting in our model include Flatiron health data (</w:t>
      </w:r>
      <w:proofErr w:type="spellStart"/>
      <w:r>
        <w:rPr>
          <w:rFonts w:ascii="Calibri" w:eastAsia="Calibri" w:hAnsi="Calibri" w:cs="Calibri"/>
        </w:rPr>
        <w:t>Braunlin</w:t>
      </w:r>
      <w:proofErr w:type="spellEnd"/>
      <w:r>
        <w:rPr>
          <w:rFonts w:ascii="Calibri" w:eastAsia="Calibri" w:hAnsi="Calibri" w:cs="Calibri"/>
        </w:rPr>
        <w:t xml:space="preserve"> et al., 2020), the ICARIA trial (Attal et al., 2019), the IKEMA trial (Moreau et al., 2021), and the </w:t>
      </w:r>
      <w:r>
        <w:t xml:space="preserve">POLLUX trial </w:t>
      </w:r>
      <w:r w:rsidRPr="3B723640">
        <w:rPr>
          <w:rFonts w:ascii="Calibri" w:eastAsia="Calibri" w:hAnsi="Calibri" w:cs="Calibri"/>
        </w:rPr>
        <w:t>(</w:t>
      </w:r>
      <w:proofErr w:type="spellStart"/>
      <w:r w:rsidRPr="3B723640">
        <w:rPr>
          <w:rFonts w:ascii="Calibri" w:eastAsia="Calibri" w:hAnsi="Calibri" w:cs="Calibri"/>
        </w:rPr>
        <w:t>Bahlis</w:t>
      </w:r>
      <w:proofErr w:type="spellEnd"/>
      <w:r w:rsidRPr="3B723640">
        <w:rPr>
          <w:rFonts w:ascii="Calibri" w:eastAsia="Calibri" w:hAnsi="Calibri" w:cs="Calibri"/>
        </w:rPr>
        <w:t xml:space="preserve"> et al., 2020)</w:t>
      </w:r>
      <w:r>
        <w:rPr>
          <w:rFonts w:ascii="Calibri" w:eastAsia="Calibri" w:hAnsi="Calibri" w:cs="Calibri"/>
        </w:rPr>
        <w:t xml:space="preserve">. </w:t>
      </w:r>
      <w:r w:rsidR="00F35937">
        <w:rPr>
          <w:rFonts w:ascii="Calibri" w:eastAsia="Calibri" w:hAnsi="Calibri" w:cs="Calibri"/>
        </w:rPr>
        <w:t>The survival data for these trials is presented in the table below.</w:t>
      </w:r>
    </w:p>
    <w:tbl>
      <w:tblPr>
        <w:tblStyle w:val="TableGrid"/>
        <w:tblW w:w="0" w:type="auto"/>
        <w:tblLook w:val="04A0" w:firstRow="1" w:lastRow="0" w:firstColumn="1" w:lastColumn="0" w:noHBand="0" w:noVBand="1"/>
      </w:tblPr>
      <w:tblGrid>
        <w:gridCol w:w="2337"/>
        <w:gridCol w:w="2337"/>
        <w:gridCol w:w="2338"/>
        <w:gridCol w:w="2338"/>
      </w:tblGrid>
      <w:tr w:rsidR="00F35937" w14:paraId="780A6189" w14:textId="77777777" w:rsidTr="00F35937">
        <w:tc>
          <w:tcPr>
            <w:tcW w:w="2337" w:type="dxa"/>
          </w:tcPr>
          <w:p w14:paraId="62F15D12" w14:textId="77777777" w:rsidR="00F35937" w:rsidRPr="003D699F" w:rsidRDefault="00F35937" w:rsidP="009057BD">
            <w:pPr>
              <w:spacing w:line="257" w:lineRule="auto"/>
              <w:rPr>
                <w:rFonts w:ascii="Calibri" w:eastAsia="Calibri" w:hAnsi="Calibri" w:cs="Calibri"/>
                <w:b/>
              </w:rPr>
            </w:pPr>
            <w:r w:rsidRPr="003D699F">
              <w:rPr>
                <w:rFonts w:ascii="Calibri" w:eastAsia="Calibri" w:hAnsi="Calibri" w:cs="Calibri"/>
                <w:b/>
              </w:rPr>
              <w:t>Parameter</w:t>
            </w:r>
          </w:p>
        </w:tc>
        <w:tc>
          <w:tcPr>
            <w:tcW w:w="2337" w:type="dxa"/>
          </w:tcPr>
          <w:p w14:paraId="608C5680" w14:textId="77777777" w:rsidR="00F35937" w:rsidRPr="003D699F" w:rsidRDefault="00F35937" w:rsidP="009057BD">
            <w:pPr>
              <w:spacing w:line="257" w:lineRule="auto"/>
              <w:rPr>
                <w:rFonts w:ascii="Calibri" w:eastAsia="Calibri" w:hAnsi="Calibri" w:cs="Calibri"/>
                <w:b/>
              </w:rPr>
            </w:pPr>
            <w:r w:rsidRPr="003D699F">
              <w:rPr>
                <w:rFonts w:ascii="Calibri" w:eastAsia="Calibri" w:hAnsi="Calibri" w:cs="Calibri"/>
                <w:b/>
              </w:rPr>
              <w:t>ICARIA Isa-</w:t>
            </w:r>
            <w:proofErr w:type="spellStart"/>
            <w:r w:rsidRPr="003D699F">
              <w:rPr>
                <w:rFonts w:ascii="Calibri" w:eastAsia="Calibri" w:hAnsi="Calibri" w:cs="Calibri"/>
                <w:b/>
              </w:rPr>
              <w:t>Pd</w:t>
            </w:r>
            <w:proofErr w:type="spellEnd"/>
            <w:r w:rsidRPr="003D699F">
              <w:rPr>
                <w:rFonts w:ascii="Calibri" w:eastAsia="Calibri" w:hAnsi="Calibri" w:cs="Calibri"/>
                <w:b/>
              </w:rPr>
              <w:t xml:space="preserve"> arm</w:t>
            </w:r>
          </w:p>
        </w:tc>
        <w:tc>
          <w:tcPr>
            <w:tcW w:w="2338" w:type="dxa"/>
          </w:tcPr>
          <w:p w14:paraId="02DF59F9" w14:textId="77777777" w:rsidR="00F35937" w:rsidRPr="003D699F" w:rsidRDefault="00F35937" w:rsidP="009057BD">
            <w:pPr>
              <w:spacing w:line="257" w:lineRule="auto"/>
              <w:rPr>
                <w:rFonts w:ascii="Calibri" w:eastAsia="Calibri" w:hAnsi="Calibri" w:cs="Calibri"/>
                <w:b/>
              </w:rPr>
            </w:pPr>
            <w:r w:rsidRPr="003D699F">
              <w:rPr>
                <w:rFonts w:ascii="Calibri" w:eastAsia="Calibri" w:hAnsi="Calibri" w:cs="Calibri"/>
                <w:b/>
              </w:rPr>
              <w:t>IKEMA Isa-</w:t>
            </w:r>
            <w:proofErr w:type="spellStart"/>
            <w:r w:rsidRPr="003D699F">
              <w:rPr>
                <w:rFonts w:ascii="Calibri" w:eastAsia="Calibri" w:hAnsi="Calibri" w:cs="Calibri"/>
                <w:b/>
              </w:rPr>
              <w:t>Kd</w:t>
            </w:r>
            <w:proofErr w:type="spellEnd"/>
            <w:r w:rsidRPr="003D699F">
              <w:rPr>
                <w:rFonts w:ascii="Calibri" w:eastAsia="Calibri" w:hAnsi="Calibri" w:cs="Calibri"/>
                <w:b/>
              </w:rPr>
              <w:t xml:space="preserve"> arm</w:t>
            </w:r>
          </w:p>
        </w:tc>
        <w:tc>
          <w:tcPr>
            <w:tcW w:w="2338" w:type="dxa"/>
          </w:tcPr>
          <w:p w14:paraId="4D8B6765" w14:textId="77777777" w:rsidR="00F35937" w:rsidRPr="003D699F" w:rsidRDefault="00F35937" w:rsidP="009057BD">
            <w:pPr>
              <w:spacing w:line="257" w:lineRule="auto"/>
              <w:rPr>
                <w:rFonts w:ascii="Calibri" w:eastAsia="Calibri" w:hAnsi="Calibri" w:cs="Calibri"/>
                <w:b/>
              </w:rPr>
            </w:pPr>
            <w:r w:rsidRPr="003D699F">
              <w:rPr>
                <w:rFonts w:ascii="Calibri" w:eastAsia="Calibri" w:hAnsi="Calibri" w:cs="Calibri"/>
                <w:b/>
              </w:rPr>
              <w:t xml:space="preserve">POLLUX </w:t>
            </w:r>
            <w:proofErr w:type="spellStart"/>
            <w:r w:rsidRPr="003D699F">
              <w:rPr>
                <w:rFonts w:ascii="Calibri" w:eastAsia="Calibri" w:hAnsi="Calibri" w:cs="Calibri"/>
                <w:b/>
              </w:rPr>
              <w:t>dara</w:t>
            </w:r>
            <w:proofErr w:type="spellEnd"/>
            <w:r w:rsidRPr="003D699F">
              <w:rPr>
                <w:rFonts w:ascii="Calibri" w:eastAsia="Calibri" w:hAnsi="Calibri" w:cs="Calibri"/>
                <w:b/>
              </w:rPr>
              <w:t>-Rd arm</w:t>
            </w:r>
          </w:p>
        </w:tc>
      </w:tr>
      <w:tr w:rsidR="00F35937" w14:paraId="5FAF5BE1" w14:textId="77777777" w:rsidTr="00F35937">
        <w:tc>
          <w:tcPr>
            <w:tcW w:w="2337" w:type="dxa"/>
          </w:tcPr>
          <w:p w14:paraId="414CBF6D" w14:textId="77777777" w:rsidR="00F35937" w:rsidRDefault="00F35937" w:rsidP="009057BD">
            <w:pPr>
              <w:spacing w:line="257" w:lineRule="auto"/>
              <w:rPr>
                <w:rFonts w:ascii="Calibri" w:eastAsia="Calibri" w:hAnsi="Calibri" w:cs="Calibri"/>
              </w:rPr>
            </w:pPr>
            <w:r>
              <w:rPr>
                <w:rFonts w:ascii="Calibri" w:eastAsia="Calibri" w:hAnsi="Calibri" w:cs="Calibri"/>
              </w:rPr>
              <w:t>Median overall survival</w:t>
            </w:r>
          </w:p>
        </w:tc>
        <w:tc>
          <w:tcPr>
            <w:tcW w:w="2337" w:type="dxa"/>
          </w:tcPr>
          <w:p w14:paraId="38589FC6" w14:textId="77777777" w:rsidR="00F35937" w:rsidRDefault="008D3D91" w:rsidP="009057BD">
            <w:pPr>
              <w:spacing w:line="257" w:lineRule="auto"/>
              <w:rPr>
                <w:rFonts w:ascii="Calibri" w:eastAsia="Calibri" w:hAnsi="Calibri" w:cs="Calibri"/>
              </w:rPr>
            </w:pPr>
            <w:r>
              <w:rPr>
                <w:rFonts w:ascii="Calibri" w:eastAsia="Calibri" w:hAnsi="Calibri" w:cs="Calibri"/>
              </w:rPr>
              <w:t>Not reached (72% survived to 12 months)</w:t>
            </w:r>
          </w:p>
        </w:tc>
        <w:tc>
          <w:tcPr>
            <w:tcW w:w="2338" w:type="dxa"/>
          </w:tcPr>
          <w:p w14:paraId="3AF64D57" w14:textId="77777777" w:rsidR="00F35937" w:rsidRDefault="008D3D91" w:rsidP="009057BD">
            <w:pPr>
              <w:spacing w:line="257" w:lineRule="auto"/>
              <w:rPr>
                <w:rFonts w:ascii="Calibri" w:eastAsia="Calibri" w:hAnsi="Calibri" w:cs="Calibri"/>
              </w:rPr>
            </w:pPr>
            <w:r>
              <w:rPr>
                <w:rFonts w:ascii="Calibri" w:eastAsia="Calibri" w:hAnsi="Calibri" w:cs="Calibri"/>
              </w:rPr>
              <w:t>Not reported</w:t>
            </w:r>
          </w:p>
        </w:tc>
        <w:tc>
          <w:tcPr>
            <w:tcW w:w="2338" w:type="dxa"/>
          </w:tcPr>
          <w:p w14:paraId="1601D75A" w14:textId="77777777" w:rsidR="00F35937" w:rsidRDefault="008D3D91" w:rsidP="009057BD">
            <w:pPr>
              <w:spacing w:line="257" w:lineRule="auto"/>
              <w:rPr>
                <w:rFonts w:ascii="Calibri" w:eastAsia="Calibri" w:hAnsi="Calibri" w:cs="Calibri"/>
              </w:rPr>
            </w:pPr>
            <w:r>
              <w:rPr>
                <w:rFonts w:ascii="Calibri" w:eastAsia="Calibri" w:hAnsi="Calibri" w:cs="Calibri"/>
              </w:rPr>
              <w:t>Not reached (65% survived to 42 months)</w:t>
            </w:r>
          </w:p>
        </w:tc>
      </w:tr>
      <w:tr w:rsidR="00F35937" w14:paraId="02D524E1" w14:textId="77777777" w:rsidTr="00F35937">
        <w:tc>
          <w:tcPr>
            <w:tcW w:w="2337" w:type="dxa"/>
          </w:tcPr>
          <w:p w14:paraId="6564ABD1" w14:textId="77777777" w:rsidR="00F35937" w:rsidRDefault="00F35937" w:rsidP="009057BD">
            <w:pPr>
              <w:spacing w:line="257" w:lineRule="auto"/>
              <w:rPr>
                <w:rFonts w:ascii="Calibri" w:eastAsia="Calibri" w:hAnsi="Calibri" w:cs="Calibri"/>
              </w:rPr>
            </w:pPr>
            <w:r>
              <w:rPr>
                <w:rFonts w:ascii="Calibri" w:eastAsia="Calibri" w:hAnsi="Calibri" w:cs="Calibri"/>
              </w:rPr>
              <w:t>Median progression free survival</w:t>
            </w:r>
          </w:p>
        </w:tc>
        <w:tc>
          <w:tcPr>
            <w:tcW w:w="2337" w:type="dxa"/>
          </w:tcPr>
          <w:p w14:paraId="62204C09" w14:textId="77777777" w:rsidR="00F35937" w:rsidRDefault="00DC677D" w:rsidP="009057BD">
            <w:pPr>
              <w:spacing w:line="257" w:lineRule="auto"/>
              <w:rPr>
                <w:rFonts w:ascii="Calibri" w:eastAsia="Calibri" w:hAnsi="Calibri" w:cs="Calibri"/>
              </w:rPr>
            </w:pPr>
            <w:r>
              <w:rPr>
                <w:rFonts w:ascii="Calibri" w:eastAsia="Calibri" w:hAnsi="Calibri" w:cs="Calibri"/>
              </w:rPr>
              <w:t>11.5 (95% CI: 8.9 – 13.9)</w:t>
            </w:r>
          </w:p>
        </w:tc>
        <w:tc>
          <w:tcPr>
            <w:tcW w:w="2338" w:type="dxa"/>
          </w:tcPr>
          <w:p w14:paraId="0C11F0AE" w14:textId="77777777" w:rsidR="00F35937" w:rsidRDefault="00DC677D" w:rsidP="008D3D91">
            <w:pPr>
              <w:spacing w:line="257" w:lineRule="auto"/>
              <w:rPr>
                <w:rFonts w:ascii="Calibri" w:eastAsia="Calibri" w:hAnsi="Calibri" w:cs="Calibri"/>
              </w:rPr>
            </w:pPr>
            <w:r>
              <w:rPr>
                <w:rFonts w:ascii="Calibri" w:eastAsia="Calibri" w:hAnsi="Calibri" w:cs="Calibri"/>
              </w:rPr>
              <w:t xml:space="preserve">Not reached (68.9% (95% CI: 60.7 – 75.8) survived </w:t>
            </w:r>
            <w:r w:rsidR="008D3D91">
              <w:rPr>
                <w:rFonts w:ascii="Calibri" w:eastAsia="Calibri" w:hAnsi="Calibri" w:cs="Calibri"/>
              </w:rPr>
              <w:t>without progression to</w:t>
            </w:r>
            <w:r>
              <w:rPr>
                <w:rFonts w:ascii="Calibri" w:eastAsia="Calibri" w:hAnsi="Calibri" w:cs="Calibri"/>
              </w:rPr>
              <w:t xml:space="preserve"> 24 months)</w:t>
            </w:r>
          </w:p>
        </w:tc>
        <w:tc>
          <w:tcPr>
            <w:tcW w:w="2338" w:type="dxa"/>
          </w:tcPr>
          <w:p w14:paraId="274AFCE8" w14:textId="77777777" w:rsidR="00F35937" w:rsidRDefault="008D3D91" w:rsidP="003D699F">
            <w:pPr>
              <w:spacing w:line="257" w:lineRule="auto"/>
              <w:rPr>
                <w:rFonts w:ascii="Calibri" w:eastAsia="Calibri" w:hAnsi="Calibri" w:cs="Calibri"/>
              </w:rPr>
            </w:pPr>
            <w:r>
              <w:rPr>
                <w:rFonts w:ascii="Calibri" w:eastAsia="Calibri" w:hAnsi="Calibri" w:cs="Calibri"/>
              </w:rPr>
              <w:t xml:space="preserve">44.5 (upper bound confidence interval not </w:t>
            </w:r>
            <w:r w:rsidR="003D699F">
              <w:rPr>
                <w:rFonts w:ascii="Calibri" w:eastAsia="Calibri" w:hAnsi="Calibri" w:cs="Calibri"/>
              </w:rPr>
              <w:t>estimate-able</w:t>
            </w:r>
            <w:r>
              <w:rPr>
                <w:rFonts w:ascii="Calibri" w:eastAsia="Calibri" w:hAnsi="Calibri" w:cs="Calibri"/>
              </w:rPr>
              <w:t>)</w:t>
            </w:r>
          </w:p>
        </w:tc>
      </w:tr>
      <w:tr w:rsidR="00F35937" w14:paraId="7A2F68AF" w14:textId="77777777" w:rsidTr="00F35937">
        <w:tc>
          <w:tcPr>
            <w:tcW w:w="2337" w:type="dxa"/>
          </w:tcPr>
          <w:p w14:paraId="45F481FD" w14:textId="77777777" w:rsidR="00F35937" w:rsidRDefault="00F35937" w:rsidP="009057BD">
            <w:pPr>
              <w:spacing w:line="257" w:lineRule="auto"/>
              <w:rPr>
                <w:rFonts w:ascii="Calibri" w:eastAsia="Calibri" w:hAnsi="Calibri" w:cs="Calibri"/>
              </w:rPr>
            </w:pPr>
            <w:r>
              <w:rPr>
                <w:rFonts w:ascii="Calibri" w:eastAsia="Calibri" w:hAnsi="Calibri" w:cs="Calibri"/>
              </w:rPr>
              <w:t>Median treatment durations</w:t>
            </w:r>
          </w:p>
        </w:tc>
        <w:tc>
          <w:tcPr>
            <w:tcW w:w="2337" w:type="dxa"/>
          </w:tcPr>
          <w:p w14:paraId="502B8DDE" w14:textId="77777777" w:rsidR="00F35937" w:rsidRDefault="00DC677D" w:rsidP="009057BD">
            <w:pPr>
              <w:spacing w:line="257" w:lineRule="auto"/>
              <w:rPr>
                <w:rFonts w:ascii="Calibri" w:eastAsia="Calibri" w:hAnsi="Calibri" w:cs="Calibri"/>
              </w:rPr>
            </w:pPr>
            <w:r>
              <w:rPr>
                <w:rFonts w:ascii="Calibri" w:eastAsia="Calibri" w:hAnsi="Calibri" w:cs="Calibri"/>
              </w:rPr>
              <w:t>9.43 (95% CI: 4.4 – 12.0)*</w:t>
            </w:r>
          </w:p>
        </w:tc>
        <w:tc>
          <w:tcPr>
            <w:tcW w:w="2338" w:type="dxa"/>
          </w:tcPr>
          <w:p w14:paraId="31EE6F04" w14:textId="77777777" w:rsidR="00F35937" w:rsidRDefault="00DC677D" w:rsidP="009057BD">
            <w:pPr>
              <w:spacing w:line="257" w:lineRule="auto"/>
              <w:rPr>
                <w:rFonts w:ascii="Calibri" w:eastAsia="Calibri" w:hAnsi="Calibri" w:cs="Calibri"/>
              </w:rPr>
            </w:pPr>
            <w:r>
              <w:rPr>
                <w:rFonts w:ascii="Calibri" w:eastAsia="Calibri" w:hAnsi="Calibri" w:cs="Calibri"/>
              </w:rPr>
              <w:t>18.4 (95% CI: 9.2 – 20.5)*</w:t>
            </w:r>
          </w:p>
        </w:tc>
        <w:tc>
          <w:tcPr>
            <w:tcW w:w="2338" w:type="dxa"/>
          </w:tcPr>
          <w:p w14:paraId="2325BF7A" w14:textId="77777777" w:rsidR="00F35937" w:rsidRDefault="008D3D91" w:rsidP="009057BD">
            <w:pPr>
              <w:spacing w:line="257" w:lineRule="auto"/>
              <w:rPr>
                <w:rFonts w:ascii="Calibri" w:eastAsia="Calibri" w:hAnsi="Calibri" w:cs="Calibri"/>
              </w:rPr>
            </w:pPr>
            <w:r>
              <w:rPr>
                <w:rFonts w:ascii="Calibri" w:eastAsia="Calibri" w:hAnsi="Calibri" w:cs="Calibri"/>
              </w:rPr>
              <w:t>34.3 (range: 0 – 05.8)</w:t>
            </w:r>
          </w:p>
        </w:tc>
      </w:tr>
      <w:tr w:rsidR="008D3D91" w14:paraId="5ACFA7EB" w14:textId="77777777" w:rsidTr="00F35937">
        <w:tc>
          <w:tcPr>
            <w:tcW w:w="2337" w:type="dxa"/>
          </w:tcPr>
          <w:p w14:paraId="07CFF8B7" w14:textId="77777777" w:rsidR="008D3D91" w:rsidRDefault="008D3D91" w:rsidP="009057BD">
            <w:pPr>
              <w:spacing w:line="257" w:lineRule="auto"/>
              <w:rPr>
                <w:rFonts w:ascii="Calibri" w:eastAsia="Calibri" w:hAnsi="Calibri" w:cs="Calibri"/>
              </w:rPr>
            </w:pPr>
            <w:r>
              <w:rPr>
                <w:rFonts w:ascii="Calibri" w:eastAsia="Calibri" w:hAnsi="Calibri" w:cs="Calibri"/>
              </w:rPr>
              <w:t>Median time to next treatment</w:t>
            </w:r>
          </w:p>
        </w:tc>
        <w:tc>
          <w:tcPr>
            <w:tcW w:w="2337" w:type="dxa"/>
          </w:tcPr>
          <w:p w14:paraId="508530C3" w14:textId="77777777" w:rsidR="008D3D91" w:rsidRDefault="008D3D91" w:rsidP="009057BD">
            <w:pPr>
              <w:spacing w:line="257" w:lineRule="auto"/>
              <w:rPr>
                <w:rFonts w:ascii="Calibri" w:eastAsia="Calibri" w:hAnsi="Calibri" w:cs="Calibri"/>
              </w:rPr>
            </w:pPr>
            <w:r>
              <w:rPr>
                <w:rFonts w:ascii="Calibri" w:eastAsia="Calibri" w:hAnsi="Calibri" w:cs="Calibri"/>
              </w:rPr>
              <w:t xml:space="preserve">Not reached (40% received subsequent </w:t>
            </w:r>
            <w:r>
              <w:rPr>
                <w:rFonts w:ascii="Calibri" w:eastAsia="Calibri" w:hAnsi="Calibri" w:cs="Calibri"/>
              </w:rPr>
              <w:lastRenderedPageBreak/>
              <w:t>treatment at median follow up of 11.7 months)**</w:t>
            </w:r>
          </w:p>
        </w:tc>
        <w:tc>
          <w:tcPr>
            <w:tcW w:w="2338" w:type="dxa"/>
          </w:tcPr>
          <w:p w14:paraId="20AC9018" w14:textId="77777777" w:rsidR="008D3D91" w:rsidRDefault="008D3D91" w:rsidP="008D3D91">
            <w:pPr>
              <w:spacing w:line="257" w:lineRule="auto"/>
              <w:rPr>
                <w:rFonts w:ascii="Calibri" w:eastAsia="Calibri" w:hAnsi="Calibri" w:cs="Calibri"/>
              </w:rPr>
            </w:pPr>
            <w:r>
              <w:rPr>
                <w:rFonts w:ascii="Calibri" w:eastAsia="Calibri" w:hAnsi="Calibri" w:cs="Calibri"/>
              </w:rPr>
              <w:lastRenderedPageBreak/>
              <w:t>Not reported</w:t>
            </w:r>
          </w:p>
        </w:tc>
        <w:tc>
          <w:tcPr>
            <w:tcW w:w="2338" w:type="dxa"/>
          </w:tcPr>
          <w:p w14:paraId="1720A7BC" w14:textId="77777777" w:rsidR="008D3D91" w:rsidRDefault="008D3D91" w:rsidP="009057BD">
            <w:pPr>
              <w:spacing w:line="257" w:lineRule="auto"/>
              <w:rPr>
                <w:rFonts w:ascii="Calibri" w:eastAsia="Calibri" w:hAnsi="Calibri" w:cs="Calibri"/>
              </w:rPr>
            </w:pPr>
            <w:r>
              <w:rPr>
                <w:rFonts w:ascii="Calibri" w:eastAsia="Calibri" w:hAnsi="Calibri" w:cs="Calibri"/>
              </w:rPr>
              <w:t>50.6</w:t>
            </w:r>
          </w:p>
        </w:tc>
      </w:tr>
    </w:tbl>
    <w:p w14:paraId="54F597CD" w14:textId="0BB8CF37" w:rsidR="008D3D91" w:rsidRPr="00DC677D" w:rsidRDefault="00DC677D" w:rsidP="00DC677D">
      <w:pPr>
        <w:spacing w:line="257" w:lineRule="auto"/>
        <w:rPr>
          <w:rFonts w:ascii="Calibri" w:eastAsia="Calibri" w:hAnsi="Calibri" w:cs="Calibri"/>
        </w:rPr>
      </w:pPr>
      <w:r>
        <w:rPr>
          <w:rFonts w:ascii="Calibri" w:eastAsia="Calibri" w:hAnsi="Calibri" w:cs="Calibri"/>
        </w:rPr>
        <w:lastRenderedPageBreak/>
        <w:t>*Converted from weeks to months by dividing by 4.345 weeks per month.</w:t>
      </w:r>
      <w:r w:rsidR="000A5057">
        <w:rPr>
          <w:rFonts w:ascii="Calibri" w:eastAsia="Calibri" w:hAnsi="Calibri" w:cs="Calibri"/>
        </w:rPr>
        <w:t xml:space="preserve"> </w:t>
      </w:r>
      <w:r w:rsidR="008D3D91">
        <w:rPr>
          <w:rFonts w:ascii="Calibri" w:eastAsia="Calibri" w:hAnsi="Calibri" w:cs="Calibri"/>
        </w:rPr>
        <w:t>**Visually estimated from figure</w:t>
      </w:r>
    </w:p>
    <w:p w14:paraId="22C746A1" w14:textId="77777777" w:rsidR="009057BD" w:rsidRDefault="009057BD" w:rsidP="009057BD">
      <w:pPr>
        <w:spacing w:line="257" w:lineRule="auto"/>
        <w:rPr>
          <w:rFonts w:ascii="Calibri" w:eastAsia="Calibri" w:hAnsi="Calibri" w:cs="Calibri"/>
        </w:rPr>
      </w:pPr>
      <w:r>
        <w:rPr>
          <w:rFonts w:ascii="Calibri" w:eastAsia="Calibri" w:hAnsi="Calibri" w:cs="Calibri"/>
        </w:rPr>
        <w:t xml:space="preserve">Notably, </w:t>
      </w:r>
      <w:proofErr w:type="spellStart"/>
      <w:r>
        <w:rPr>
          <w:rFonts w:ascii="Calibri" w:eastAsia="Calibri" w:hAnsi="Calibri" w:cs="Calibri"/>
        </w:rPr>
        <w:t>Braunlin</w:t>
      </w:r>
      <w:proofErr w:type="spellEnd"/>
      <w:r>
        <w:rPr>
          <w:rFonts w:ascii="Calibri" w:eastAsia="Calibri" w:hAnsi="Calibri" w:cs="Calibri"/>
        </w:rPr>
        <w:t xml:space="preserve"> et al. (2020) reports treatment line-specific survival data, but does not report treatment line-specific demographic data beyond baseline demographic data. Therefore, we do not have direct data to inform the covariate exposure distribution of Flatiron health data in the relapsed and refractory setting, which prevents us from directly standardizing the trial-specific data to the Flatiron population in the same manner as for the first line of treatment.</w:t>
      </w:r>
    </w:p>
    <w:p w14:paraId="51ED54D8" w14:textId="77777777" w:rsidR="009057BD" w:rsidRDefault="009057BD" w:rsidP="009057BD">
      <w:pPr>
        <w:spacing w:line="257" w:lineRule="auto"/>
        <w:rPr>
          <w:rFonts w:ascii="Calibri" w:eastAsia="Calibri" w:hAnsi="Calibri" w:cs="Calibri"/>
        </w:rPr>
      </w:pPr>
      <w:r>
        <w:rPr>
          <w:rFonts w:ascii="Calibri" w:eastAsia="Calibri" w:hAnsi="Calibri" w:cs="Calibri"/>
        </w:rPr>
        <w:t>Rather, for the relapsed and refractory setting, the number of previous lines of treatment is an especially influential variable that influences survival rates. Therefore, rather than standardizing on cytogenetic risk as we did for the first line of treatment data sources, we will standardize each data source for the relapsed and refractory setting to the number of previous lines of treatment using similar methodology. The follow</w:t>
      </w:r>
      <w:r w:rsidR="00505F7F">
        <w:rPr>
          <w:rFonts w:ascii="Calibri" w:eastAsia="Calibri" w:hAnsi="Calibri" w:cs="Calibri"/>
        </w:rPr>
        <w:t xml:space="preserve">ing table displays the distribution of number of previous lines of treatment across each </w:t>
      </w:r>
      <w:r w:rsidR="00FE5A29">
        <w:rPr>
          <w:rFonts w:ascii="Calibri" w:eastAsia="Calibri" w:hAnsi="Calibri" w:cs="Calibri"/>
        </w:rPr>
        <w:t>trial; Flatiron health data included line-specific survival rates, so it is not included here</w:t>
      </w:r>
      <w:r w:rsidR="00505F7F">
        <w:rPr>
          <w:rFonts w:ascii="Calibri" w:eastAsia="Calibri" w:hAnsi="Calibri" w:cs="Calibri"/>
        </w:rPr>
        <w:t>.</w:t>
      </w:r>
    </w:p>
    <w:p w14:paraId="18DCD1D1" w14:textId="77777777" w:rsidR="009F2B15" w:rsidRDefault="009F2B15" w:rsidP="009057BD">
      <w:pPr>
        <w:spacing w:line="257" w:lineRule="auto"/>
        <w:rPr>
          <w:rFonts w:ascii="Calibri" w:eastAsia="Calibri" w:hAnsi="Calibri" w:cs="Calibri"/>
        </w:rPr>
      </w:pPr>
      <w:r>
        <w:rPr>
          <w:rFonts w:ascii="Calibri" w:eastAsia="Calibri" w:hAnsi="Calibri" w:cs="Calibri"/>
        </w:rPr>
        <w:t xml:space="preserve">Table X. </w:t>
      </w:r>
    </w:p>
    <w:tbl>
      <w:tblPr>
        <w:tblStyle w:val="TableGrid"/>
        <w:tblW w:w="0" w:type="auto"/>
        <w:tblLook w:val="04A0" w:firstRow="1" w:lastRow="0" w:firstColumn="1" w:lastColumn="0" w:noHBand="0" w:noVBand="1"/>
      </w:tblPr>
      <w:tblGrid>
        <w:gridCol w:w="2245"/>
        <w:gridCol w:w="2160"/>
        <w:gridCol w:w="2160"/>
        <w:gridCol w:w="2520"/>
      </w:tblGrid>
      <w:tr w:rsidR="000D16F3" w14:paraId="335A3029" w14:textId="77777777" w:rsidTr="000D16F3">
        <w:tc>
          <w:tcPr>
            <w:tcW w:w="2245" w:type="dxa"/>
          </w:tcPr>
          <w:p w14:paraId="6A69EF41" w14:textId="77777777" w:rsidR="000D16F3" w:rsidRPr="00FE5A29" w:rsidRDefault="000D16F3" w:rsidP="00F35937">
            <w:pPr>
              <w:spacing w:line="257" w:lineRule="auto"/>
              <w:rPr>
                <w:rFonts w:ascii="Calibri" w:eastAsia="Calibri" w:hAnsi="Calibri" w:cs="Calibri"/>
                <w:b/>
              </w:rPr>
            </w:pPr>
            <w:r w:rsidRPr="00FE5A29">
              <w:rPr>
                <w:rFonts w:ascii="Calibri" w:eastAsia="Calibri" w:hAnsi="Calibri" w:cs="Calibri"/>
                <w:b/>
              </w:rPr>
              <w:t>Parameter</w:t>
            </w:r>
          </w:p>
        </w:tc>
        <w:tc>
          <w:tcPr>
            <w:tcW w:w="2160" w:type="dxa"/>
          </w:tcPr>
          <w:p w14:paraId="7D0C7085" w14:textId="77777777" w:rsidR="000D16F3" w:rsidRPr="00FE5A29" w:rsidRDefault="000D16F3" w:rsidP="00F35937">
            <w:pPr>
              <w:spacing w:line="257" w:lineRule="auto"/>
              <w:rPr>
                <w:rFonts w:ascii="Calibri" w:eastAsia="Calibri" w:hAnsi="Calibri" w:cs="Calibri"/>
                <w:b/>
              </w:rPr>
            </w:pPr>
            <w:r w:rsidRPr="00FE5A29">
              <w:rPr>
                <w:rFonts w:ascii="Calibri" w:eastAsia="Calibri" w:hAnsi="Calibri" w:cs="Calibri"/>
                <w:b/>
              </w:rPr>
              <w:t>ICARIA Isa-</w:t>
            </w:r>
            <w:proofErr w:type="spellStart"/>
            <w:r w:rsidRPr="00FE5A29">
              <w:rPr>
                <w:rFonts w:ascii="Calibri" w:eastAsia="Calibri" w:hAnsi="Calibri" w:cs="Calibri"/>
                <w:b/>
              </w:rPr>
              <w:t>Pd</w:t>
            </w:r>
            <w:proofErr w:type="spellEnd"/>
            <w:r w:rsidRPr="00FE5A29">
              <w:rPr>
                <w:rFonts w:ascii="Calibri" w:eastAsia="Calibri" w:hAnsi="Calibri" w:cs="Calibri"/>
                <w:b/>
              </w:rPr>
              <w:t xml:space="preserve"> arm</w:t>
            </w:r>
          </w:p>
        </w:tc>
        <w:tc>
          <w:tcPr>
            <w:tcW w:w="2160" w:type="dxa"/>
          </w:tcPr>
          <w:p w14:paraId="61458B56" w14:textId="77777777" w:rsidR="000D16F3" w:rsidRPr="00FE5A29" w:rsidRDefault="000D16F3" w:rsidP="00F35937">
            <w:pPr>
              <w:spacing w:line="257" w:lineRule="auto"/>
              <w:rPr>
                <w:rFonts w:ascii="Calibri" w:eastAsia="Calibri" w:hAnsi="Calibri" w:cs="Calibri"/>
                <w:b/>
              </w:rPr>
            </w:pPr>
            <w:r w:rsidRPr="00FE5A29">
              <w:rPr>
                <w:rFonts w:ascii="Calibri" w:eastAsia="Calibri" w:hAnsi="Calibri" w:cs="Calibri"/>
                <w:b/>
              </w:rPr>
              <w:t>IKEMA Isa-</w:t>
            </w:r>
            <w:proofErr w:type="spellStart"/>
            <w:r w:rsidRPr="00FE5A29">
              <w:rPr>
                <w:rFonts w:ascii="Calibri" w:eastAsia="Calibri" w:hAnsi="Calibri" w:cs="Calibri"/>
                <w:b/>
              </w:rPr>
              <w:t>Kd</w:t>
            </w:r>
            <w:proofErr w:type="spellEnd"/>
            <w:r w:rsidRPr="00FE5A29">
              <w:rPr>
                <w:rFonts w:ascii="Calibri" w:eastAsia="Calibri" w:hAnsi="Calibri" w:cs="Calibri"/>
                <w:b/>
              </w:rPr>
              <w:t xml:space="preserve"> arm</w:t>
            </w:r>
          </w:p>
        </w:tc>
        <w:tc>
          <w:tcPr>
            <w:tcW w:w="2520" w:type="dxa"/>
          </w:tcPr>
          <w:p w14:paraId="43FF472C" w14:textId="77777777" w:rsidR="000D16F3" w:rsidRPr="00FE5A29" w:rsidRDefault="000D16F3" w:rsidP="00F35937">
            <w:pPr>
              <w:spacing w:line="257" w:lineRule="auto"/>
              <w:rPr>
                <w:rFonts w:ascii="Calibri" w:eastAsia="Calibri" w:hAnsi="Calibri" w:cs="Calibri"/>
                <w:b/>
              </w:rPr>
            </w:pPr>
            <w:r w:rsidRPr="00FE5A29">
              <w:rPr>
                <w:rFonts w:ascii="Calibri" w:eastAsia="Calibri" w:hAnsi="Calibri" w:cs="Calibri"/>
                <w:b/>
              </w:rPr>
              <w:t>POLLUX Dara-Rd arm</w:t>
            </w:r>
          </w:p>
        </w:tc>
      </w:tr>
      <w:tr w:rsidR="000D16F3" w14:paraId="4B7BED07" w14:textId="77777777" w:rsidTr="000D16F3">
        <w:tc>
          <w:tcPr>
            <w:tcW w:w="2245" w:type="dxa"/>
          </w:tcPr>
          <w:p w14:paraId="25F6722F" w14:textId="77777777" w:rsidR="000D16F3" w:rsidRDefault="000D16F3" w:rsidP="000D16F3">
            <w:pPr>
              <w:spacing w:line="257" w:lineRule="auto"/>
              <w:rPr>
                <w:rFonts w:ascii="Calibri" w:eastAsia="Calibri" w:hAnsi="Calibri" w:cs="Calibri"/>
              </w:rPr>
            </w:pPr>
            <w:r>
              <w:rPr>
                <w:rFonts w:ascii="Calibri" w:eastAsia="Calibri" w:hAnsi="Calibri" w:cs="Calibri"/>
              </w:rPr>
              <w:t xml:space="preserve">Number of prior lines of therapy: median </w:t>
            </w:r>
          </w:p>
        </w:tc>
        <w:tc>
          <w:tcPr>
            <w:tcW w:w="2160" w:type="dxa"/>
          </w:tcPr>
          <w:p w14:paraId="7A872E04" w14:textId="77777777" w:rsidR="000D16F3" w:rsidRDefault="000D16F3" w:rsidP="009F2B15">
            <w:pPr>
              <w:spacing w:line="257" w:lineRule="auto"/>
              <w:rPr>
                <w:rFonts w:ascii="Calibri" w:eastAsia="Calibri" w:hAnsi="Calibri" w:cs="Calibri"/>
              </w:rPr>
            </w:pPr>
            <w:r>
              <w:rPr>
                <w:rFonts w:ascii="Calibri" w:eastAsia="Calibri" w:hAnsi="Calibri" w:cs="Calibri"/>
              </w:rPr>
              <w:t>3 (IQR: 2-4)</w:t>
            </w:r>
          </w:p>
        </w:tc>
        <w:tc>
          <w:tcPr>
            <w:tcW w:w="2160" w:type="dxa"/>
          </w:tcPr>
          <w:p w14:paraId="2EFD5175" w14:textId="77777777" w:rsidR="000D16F3" w:rsidRDefault="000D16F3" w:rsidP="009F2B15">
            <w:pPr>
              <w:spacing w:line="257" w:lineRule="auto"/>
              <w:rPr>
                <w:rFonts w:ascii="Calibri" w:eastAsia="Calibri" w:hAnsi="Calibri" w:cs="Calibri"/>
              </w:rPr>
            </w:pPr>
            <w:r>
              <w:rPr>
                <w:rFonts w:ascii="Calibri" w:eastAsia="Calibri" w:hAnsi="Calibri" w:cs="Calibri"/>
              </w:rPr>
              <w:t>2 (IQR: 1-2)</w:t>
            </w:r>
          </w:p>
        </w:tc>
        <w:tc>
          <w:tcPr>
            <w:tcW w:w="2520" w:type="dxa"/>
          </w:tcPr>
          <w:p w14:paraId="472AAEAD" w14:textId="77777777" w:rsidR="000D16F3" w:rsidRDefault="000D16F3" w:rsidP="009F2B15">
            <w:pPr>
              <w:spacing w:line="257" w:lineRule="auto"/>
              <w:rPr>
                <w:rFonts w:ascii="Calibri" w:eastAsia="Calibri" w:hAnsi="Calibri" w:cs="Calibri"/>
              </w:rPr>
            </w:pPr>
            <w:r>
              <w:rPr>
                <w:rFonts w:ascii="Calibri" w:eastAsia="Calibri" w:hAnsi="Calibri" w:cs="Calibri"/>
              </w:rPr>
              <w:t>1 (Range: 1-11)</w:t>
            </w:r>
          </w:p>
        </w:tc>
      </w:tr>
      <w:tr w:rsidR="000D16F3" w14:paraId="20D98480" w14:textId="77777777" w:rsidTr="000D16F3">
        <w:tc>
          <w:tcPr>
            <w:tcW w:w="2245" w:type="dxa"/>
          </w:tcPr>
          <w:p w14:paraId="6C40F8A3" w14:textId="77777777" w:rsidR="000D16F3" w:rsidRDefault="000D16F3" w:rsidP="009F2B15">
            <w:pPr>
              <w:spacing w:line="257" w:lineRule="auto"/>
              <w:rPr>
                <w:rFonts w:ascii="Calibri" w:eastAsia="Calibri" w:hAnsi="Calibri" w:cs="Calibri"/>
              </w:rPr>
            </w:pPr>
            <w:r>
              <w:rPr>
                <w:rFonts w:ascii="Calibri" w:eastAsia="Calibri" w:hAnsi="Calibri" w:cs="Calibri"/>
              </w:rPr>
              <w:t xml:space="preserve">    One </w:t>
            </w:r>
          </w:p>
        </w:tc>
        <w:tc>
          <w:tcPr>
            <w:tcW w:w="2160" w:type="dxa"/>
          </w:tcPr>
          <w:p w14:paraId="138F6FEA" w14:textId="77777777" w:rsidR="000D16F3" w:rsidRDefault="000D16F3" w:rsidP="009F2B15">
            <w:pPr>
              <w:spacing w:line="257" w:lineRule="auto"/>
              <w:rPr>
                <w:rFonts w:ascii="Calibri" w:eastAsia="Calibri" w:hAnsi="Calibri" w:cs="Calibri"/>
              </w:rPr>
            </w:pPr>
            <w:r>
              <w:rPr>
                <w:rFonts w:ascii="Calibri" w:eastAsia="Calibri" w:hAnsi="Calibri" w:cs="Calibri"/>
              </w:rPr>
              <w:t>0%</w:t>
            </w:r>
            <w:r w:rsidR="00FE5A29">
              <w:rPr>
                <w:rFonts w:ascii="Calibri" w:eastAsia="Calibri" w:hAnsi="Calibri" w:cs="Calibri"/>
              </w:rPr>
              <w:t>*</w:t>
            </w:r>
          </w:p>
        </w:tc>
        <w:tc>
          <w:tcPr>
            <w:tcW w:w="2160" w:type="dxa"/>
          </w:tcPr>
          <w:p w14:paraId="00C530AA" w14:textId="77777777" w:rsidR="000D16F3" w:rsidRDefault="000D16F3" w:rsidP="009F2B15">
            <w:pPr>
              <w:spacing w:line="257" w:lineRule="auto"/>
              <w:rPr>
                <w:rFonts w:ascii="Calibri" w:eastAsia="Calibri" w:hAnsi="Calibri" w:cs="Calibri"/>
              </w:rPr>
            </w:pPr>
            <w:r>
              <w:rPr>
                <w:rFonts w:ascii="Calibri" w:eastAsia="Calibri" w:hAnsi="Calibri" w:cs="Calibri"/>
              </w:rPr>
              <w:t>44%</w:t>
            </w:r>
          </w:p>
        </w:tc>
        <w:tc>
          <w:tcPr>
            <w:tcW w:w="2520" w:type="dxa"/>
          </w:tcPr>
          <w:p w14:paraId="27E89644" w14:textId="77777777" w:rsidR="000D16F3" w:rsidRDefault="000D16F3" w:rsidP="009F2B15">
            <w:pPr>
              <w:spacing w:line="257" w:lineRule="auto"/>
              <w:rPr>
                <w:rFonts w:ascii="Calibri" w:eastAsia="Calibri" w:hAnsi="Calibri" w:cs="Calibri"/>
              </w:rPr>
            </w:pPr>
            <w:r>
              <w:rPr>
                <w:rFonts w:ascii="Calibri" w:eastAsia="Calibri" w:hAnsi="Calibri" w:cs="Calibri"/>
              </w:rPr>
              <w:t>52.1%</w:t>
            </w:r>
          </w:p>
        </w:tc>
      </w:tr>
      <w:tr w:rsidR="000D16F3" w14:paraId="0B81ACD5" w14:textId="77777777" w:rsidTr="000D16F3">
        <w:tc>
          <w:tcPr>
            <w:tcW w:w="2245" w:type="dxa"/>
          </w:tcPr>
          <w:p w14:paraId="53BCE0A7" w14:textId="77777777" w:rsidR="000D16F3" w:rsidRDefault="000D16F3" w:rsidP="009F2B15">
            <w:pPr>
              <w:spacing w:line="257" w:lineRule="auto"/>
              <w:rPr>
                <w:rFonts w:ascii="Calibri" w:eastAsia="Calibri" w:hAnsi="Calibri" w:cs="Calibri"/>
              </w:rPr>
            </w:pPr>
            <w:r>
              <w:rPr>
                <w:rFonts w:ascii="Calibri" w:eastAsia="Calibri" w:hAnsi="Calibri" w:cs="Calibri"/>
              </w:rPr>
              <w:t xml:space="preserve">    Two</w:t>
            </w:r>
          </w:p>
        </w:tc>
        <w:tc>
          <w:tcPr>
            <w:tcW w:w="2160" w:type="dxa"/>
          </w:tcPr>
          <w:p w14:paraId="10034711" w14:textId="77777777" w:rsidR="000D16F3" w:rsidRDefault="000D16F3" w:rsidP="009F2B15">
            <w:pPr>
              <w:spacing w:line="257" w:lineRule="auto"/>
              <w:rPr>
                <w:rFonts w:ascii="Calibri" w:eastAsia="Calibri" w:hAnsi="Calibri" w:cs="Calibri"/>
              </w:rPr>
            </w:pPr>
            <w:r>
              <w:rPr>
                <w:rFonts w:ascii="Calibri" w:eastAsia="Calibri" w:hAnsi="Calibri" w:cs="Calibri"/>
              </w:rPr>
              <w:t>33%*</w:t>
            </w:r>
            <w:r w:rsidR="00FE5A29">
              <w:rPr>
                <w:rFonts w:ascii="Calibri" w:eastAsia="Calibri" w:hAnsi="Calibri" w:cs="Calibri"/>
              </w:rPr>
              <w:t>*</w:t>
            </w:r>
          </w:p>
        </w:tc>
        <w:tc>
          <w:tcPr>
            <w:tcW w:w="2160" w:type="dxa"/>
          </w:tcPr>
          <w:p w14:paraId="68CA119E" w14:textId="77777777" w:rsidR="000D16F3" w:rsidRDefault="000D16F3" w:rsidP="009F2B15">
            <w:pPr>
              <w:spacing w:line="257" w:lineRule="auto"/>
              <w:rPr>
                <w:rFonts w:ascii="Calibri" w:eastAsia="Calibri" w:hAnsi="Calibri" w:cs="Calibri"/>
              </w:rPr>
            </w:pPr>
            <w:r>
              <w:rPr>
                <w:rFonts w:ascii="Calibri" w:eastAsia="Calibri" w:hAnsi="Calibri" w:cs="Calibri"/>
              </w:rPr>
              <w:t>36%</w:t>
            </w:r>
          </w:p>
        </w:tc>
        <w:tc>
          <w:tcPr>
            <w:tcW w:w="2520" w:type="dxa"/>
          </w:tcPr>
          <w:p w14:paraId="2B12CE50" w14:textId="77777777" w:rsidR="000D16F3" w:rsidRDefault="000D16F3" w:rsidP="009F2B15">
            <w:pPr>
              <w:spacing w:line="257" w:lineRule="auto"/>
              <w:rPr>
                <w:rFonts w:ascii="Calibri" w:eastAsia="Calibri" w:hAnsi="Calibri" w:cs="Calibri"/>
              </w:rPr>
            </w:pPr>
            <w:r>
              <w:rPr>
                <w:rFonts w:ascii="Calibri" w:eastAsia="Calibri" w:hAnsi="Calibri" w:cs="Calibri"/>
              </w:rPr>
              <w:t>29.7%</w:t>
            </w:r>
          </w:p>
        </w:tc>
      </w:tr>
      <w:tr w:rsidR="000D16F3" w14:paraId="22FE67F5" w14:textId="77777777" w:rsidTr="000D16F3">
        <w:tc>
          <w:tcPr>
            <w:tcW w:w="2245" w:type="dxa"/>
          </w:tcPr>
          <w:p w14:paraId="08D00BB9" w14:textId="77777777" w:rsidR="000D16F3" w:rsidRDefault="000D16F3" w:rsidP="009F2B15">
            <w:pPr>
              <w:spacing w:line="257" w:lineRule="auto"/>
              <w:rPr>
                <w:rFonts w:ascii="Calibri" w:eastAsia="Calibri" w:hAnsi="Calibri" w:cs="Calibri"/>
              </w:rPr>
            </w:pPr>
            <w:r>
              <w:rPr>
                <w:rFonts w:ascii="Calibri" w:eastAsia="Calibri" w:hAnsi="Calibri" w:cs="Calibri"/>
              </w:rPr>
              <w:t xml:space="preserve">    Three</w:t>
            </w:r>
          </w:p>
        </w:tc>
        <w:tc>
          <w:tcPr>
            <w:tcW w:w="2160" w:type="dxa"/>
          </w:tcPr>
          <w:p w14:paraId="305E6F5B" w14:textId="77777777" w:rsidR="000D16F3" w:rsidRDefault="000D16F3" w:rsidP="009F2B15">
            <w:pPr>
              <w:spacing w:line="257" w:lineRule="auto"/>
              <w:rPr>
                <w:rFonts w:ascii="Calibri" w:eastAsia="Calibri" w:hAnsi="Calibri" w:cs="Calibri"/>
              </w:rPr>
            </w:pPr>
            <w:r>
              <w:rPr>
                <w:rFonts w:ascii="Calibri" w:eastAsia="Calibri" w:hAnsi="Calibri" w:cs="Calibri"/>
              </w:rPr>
              <w:t>33%*</w:t>
            </w:r>
            <w:r w:rsidR="00FE5A29">
              <w:rPr>
                <w:rFonts w:ascii="Calibri" w:eastAsia="Calibri" w:hAnsi="Calibri" w:cs="Calibri"/>
              </w:rPr>
              <w:t>*</w:t>
            </w:r>
          </w:p>
        </w:tc>
        <w:tc>
          <w:tcPr>
            <w:tcW w:w="2160" w:type="dxa"/>
          </w:tcPr>
          <w:p w14:paraId="31E2C3E9" w14:textId="77777777" w:rsidR="000D16F3" w:rsidRDefault="000D16F3" w:rsidP="009F2B15">
            <w:pPr>
              <w:spacing w:line="257" w:lineRule="auto"/>
              <w:rPr>
                <w:rFonts w:ascii="Calibri" w:eastAsia="Calibri" w:hAnsi="Calibri" w:cs="Calibri"/>
              </w:rPr>
            </w:pPr>
            <w:r>
              <w:rPr>
                <w:rFonts w:ascii="Calibri" w:eastAsia="Calibri" w:hAnsi="Calibri" w:cs="Calibri"/>
              </w:rPr>
              <w:t>18%</w:t>
            </w:r>
          </w:p>
        </w:tc>
        <w:tc>
          <w:tcPr>
            <w:tcW w:w="2520" w:type="dxa"/>
          </w:tcPr>
          <w:p w14:paraId="638290EB" w14:textId="77777777" w:rsidR="000D16F3" w:rsidRDefault="000D16F3" w:rsidP="009F2B15">
            <w:pPr>
              <w:spacing w:line="257" w:lineRule="auto"/>
              <w:rPr>
                <w:rFonts w:ascii="Calibri" w:eastAsia="Calibri" w:hAnsi="Calibri" w:cs="Calibri"/>
              </w:rPr>
            </w:pPr>
            <w:r>
              <w:rPr>
                <w:rFonts w:ascii="Calibri" w:eastAsia="Calibri" w:hAnsi="Calibri" w:cs="Calibri"/>
              </w:rPr>
              <w:t>13.3%</w:t>
            </w:r>
          </w:p>
        </w:tc>
      </w:tr>
      <w:tr w:rsidR="000D16F3" w14:paraId="4EECE151" w14:textId="77777777" w:rsidTr="000D16F3">
        <w:tc>
          <w:tcPr>
            <w:tcW w:w="2245" w:type="dxa"/>
          </w:tcPr>
          <w:p w14:paraId="14E6DAA7" w14:textId="77777777" w:rsidR="000D16F3" w:rsidRDefault="000D16F3" w:rsidP="007C09F3">
            <w:pPr>
              <w:spacing w:line="257" w:lineRule="auto"/>
              <w:rPr>
                <w:rFonts w:ascii="Calibri" w:eastAsia="Calibri" w:hAnsi="Calibri" w:cs="Calibri"/>
              </w:rPr>
            </w:pPr>
            <w:r>
              <w:rPr>
                <w:rFonts w:ascii="Calibri" w:eastAsia="Calibri" w:hAnsi="Calibri" w:cs="Calibri"/>
              </w:rPr>
              <w:t xml:space="preserve">    Four+</w:t>
            </w:r>
          </w:p>
        </w:tc>
        <w:tc>
          <w:tcPr>
            <w:tcW w:w="2160" w:type="dxa"/>
          </w:tcPr>
          <w:p w14:paraId="775EF86E" w14:textId="77777777" w:rsidR="000D16F3" w:rsidRDefault="000D16F3" w:rsidP="005D462B">
            <w:pPr>
              <w:spacing w:line="257" w:lineRule="auto"/>
              <w:rPr>
                <w:rFonts w:ascii="Calibri" w:eastAsia="Calibri" w:hAnsi="Calibri" w:cs="Calibri"/>
              </w:rPr>
            </w:pPr>
            <w:r>
              <w:rPr>
                <w:rFonts w:ascii="Calibri" w:eastAsia="Calibri" w:hAnsi="Calibri" w:cs="Calibri"/>
              </w:rPr>
              <w:t>34%</w:t>
            </w:r>
          </w:p>
        </w:tc>
        <w:tc>
          <w:tcPr>
            <w:tcW w:w="2160" w:type="dxa"/>
          </w:tcPr>
          <w:p w14:paraId="116D83E8" w14:textId="77777777" w:rsidR="000D16F3" w:rsidRDefault="000D16F3" w:rsidP="009F2B15">
            <w:pPr>
              <w:spacing w:line="257" w:lineRule="auto"/>
              <w:rPr>
                <w:rFonts w:ascii="Calibri" w:eastAsia="Calibri" w:hAnsi="Calibri" w:cs="Calibri"/>
              </w:rPr>
            </w:pPr>
            <w:r>
              <w:rPr>
                <w:rFonts w:ascii="Calibri" w:eastAsia="Calibri" w:hAnsi="Calibri" w:cs="Calibri"/>
              </w:rPr>
              <w:t>2%</w:t>
            </w:r>
          </w:p>
        </w:tc>
        <w:tc>
          <w:tcPr>
            <w:tcW w:w="2520" w:type="dxa"/>
          </w:tcPr>
          <w:p w14:paraId="316A1D25" w14:textId="77777777" w:rsidR="000D16F3" w:rsidRDefault="000D16F3" w:rsidP="009F2B15">
            <w:pPr>
              <w:spacing w:line="257" w:lineRule="auto"/>
              <w:rPr>
                <w:rFonts w:ascii="Calibri" w:eastAsia="Calibri" w:hAnsi="Calibri" w:cs="Calibri"/>
              </w:rPr>
            </w:pPr>
            <w:r>
              <w:rPr>
                <w:rFonts w:ascii="Calibri" w:eastAsia="Calibri" w:hAnsi="Calibri" w:cs="Calibri"/>
              </w:rPr>
              <w:t>4.9%</w:t>
            </w:r>
          </w:p>
        </w:tc>
      </w:tr>
    </w:tbl>
    <w:p w14:paraId="708CC833" w14:textId="77777777" w:rsidR="00FE5A29" w:rsidRDefault="000D16F3" w:rsidP="009057BD">
      <w:pPr>
        <w:spacing w:line="257" w:lineRule="auto"/>
        <w:rPr>
          <w:rFonts w:ascii="Calibri" w:eastAsia="Calibri" w:hAnsi="Calibri" w:cs="Calibri"/>
        </w:rPr>
      </w:pPr>
      <w:r>
        <w:rPr>
          <w:rFonts w:ascii="Calibri" w:eastAsia="Calibri" w:hAnsi="Calibri" w:cs="Calibri"/>
        </w:rPr>
        <w:t>*</w:t>
      </w:r>
      <w:r w:rsidR="00FE5A29">
        <w:rPr>
          <w:rFonts w:ascii="Calibri" w:eastAsia="Calibri" w:hAnsi="Calibri" w:cs="Calibri"/>
        </w:rPr>
        <w:t>An inclusion criterion for the ICARIA trial was at least two prior lines of treatment.</w:t>
      </w:r>
    </w:p>
    <w:p w14:paraId="63E93C52" w14:textId="77777777" w:rsidR="000D16F3" w:rsidRDefault="00FE5A29" w:rsidP="009057BD">
      <w:pPr>
        <w:spacing w:line="257" w:lineRule="auto"/>
        <w:rPr>
          <w:rFonts w:ascii="Calibri" w:eastAsia="Calibri" w:hAnsi="Calibri" w:cs="Calibri"/>
        </w:rPr>
      </w:pPr>
      <w:r>
        <w:rPr>
          <w:rFonts w:ascii="Calibri" w:eastAsia="Calibri" w:hAnsi="Calibri" w:cs="Calibri"/>
        </w:rPr>
        <w:t>**</w:t>
      </w:r>
      <w:r w:rsidR="000D16F3">
        <w:rPr>
          <w:rFonts w:ascii="Calibri" w:eastAsia="Calibri" w:hAnsi="Calibri" w:cs="Calibri"/>
        </w:rPr>
        <w:t>The ICARIA trial reported the number of study subjects with two to three prior lines of treatment as a single category; in the absence of more detailed data, we assumed equal distribution between two and three prior lines of treatment.</w:t>
      </w:r>
    </w:p>
    <w:p w14:paraId="05BBEFEF" w14:textId="6E1185A6" w:rsidR="00F963A5" w:rsidRDefault="00FE5A29" w:rsidP="00FE5A29">
      <w:pPr>
        <w:spacing w:line="257" w:lineRule="auto"/>
        <w:rPr>
          <w:rFonts w:ascii="Calibri" w:eastAsia="Calibri" w:hAnsi="Calibri" w:cs="Calibri"/>
        </w:rPr>
      </w:pPr>
      <w:r>
        <w:rPr>
          <w:rFonts w:ascii="Calibri" w:eastAsia="Calibri" w:hAnsi="Calibri" w:cs="Calibri"/>
        </w:rPr>
        <w:t>In order to compare to survival data for single line of treatment from the Flatiron Health data, we chose to standardize each trial to represent 100% two prior lines of treatment, as this was the category with the greatest combined density across all three trials.</w:t>
      </w:r>
      <w:r w:rsidR="00F963A5">
        <w:rPr>
          <w:rFonts w:ascii="Calibri" w:eastAsia="Calibri" w:hAnsi="Calibri" w:cs="Calibri"/>
        </w:rPr>
        <w:t xml:space="preserve"> </w:t>
      </w:r>
      <w:r>
        <w:rPr>
          <w:rFonts w:ascii="Calibri" w:eastAsia="Calibri" w:hAnsi="Calibri" w:cs="Calibri"/>
        </w:rPr>
        <w:t>To achieve this standardization,</w:t>
      </w:r>
      <w:r w:rsidR="00F963A5">
        <w:rPr>
          <w:rFonts w:ascii="Calibri" w:eastAsia="Calibri" w:hAnsi="Calibri" w:cs="Calibri"/>
        </w:rPr>
        <w:t xml:space="preserve"> we used line of treatment-specific </w:t>
      </w:r>
      <w:r w:rsidR="007C09F3">
        <w:rPr>
          <w:rFonts w:ascii="Calibri" w:eastAsia="Calibri" w:hAnsi="Calibri" w:cs="Calibri"/>
        </w:rPr>
        <w:t>survival data from Flatiron health to derive hazard ratios by line of treatment for progression free and overall survival</w:t>
      </w:r>
      <w:r w:rsidR="00CA2D76">
        <w:rPr>
          <w:rFonts w:ascii="Calibri" w:eastAsia="Calibri" w:hAnsi="Calibri" w:cs="Calibri"/>
        </w:rPr>
        <w:t xml:space="preserve"> </w:t>
      </w:r>
      <w:r w:rsidR="00CA2D76" w:rsidRPr="008133B9">
        <w:rPr>
          <w:rFonts w:ascii="Calibri" w:eastAsia="Calibri" w:hAnsi="Calibri" w:cs="Calibri"/>
        </w:rPr>
        <w:t>(notably, we performed sensitivity analysis by standardizing to each line of treatment and results were robust)</w:t>
      </w:r>
      <w:r w:rsidR="007C09F3" w:rsidRPr="008133B9">
        <w:rPr>
          <w:rFonts w:ascii="Calibri" w:eastAsia="Calibri" w:hAnsi="Calibri" w:cs="Calibri"/>
        </w:rPr>
        <w:t>.</w:t>
      </w:r>
    </w:p>
    <w:p w14:paraId="15F044A5" w14:textId="77777777" w:rsidR="005D462B" w:rsidRPr="005D462B" w:rsidRDefault="005D462B" w:rsidP="009057BD">
      <w:pPr>
        <w:spacing w:line="257" w:lineRule="auto"/>
        <w:rPr>
          <w:rFonts w:ascii="Calibri" w:eastAsia="Calibri" w:hAnsi="Calibri" w:cs="Calibri"/>
          <w:i/>
        </w:rPr>
      </w:pPr>
      <w:r w:rsidRPr="005D462B">
        <w:rPr>
          <w:rFonts w:ascii="Calibri" w:eastAsia="Calibri" w:hAnsi="Calibri" w:cs="Calibri"/>
          <w:i/>
        </w:rPr>
        <w:t>Duration of treatment</w:t>
      </w:r>
    </w:p>
    <w:tbl>
      <w:tblPr>
        <w:tblStyle w:val="TableGrid"/>
        <w:tblW w:w="0" w:type="auto"/>
        <w:tblLook w:val="04A0" w:firstRow="1" w:lastRow="0" w:firstColumn="1" w:lastColumn="0" w:noHBand="0" w:noVBand="1"/>
      </w:tblPr>
      <w:tblGrid>
        <w:gridCol w:w="2014"/>
        <w:gridCol w:w="1773"/>
        <w:gridCol w:w="2015"/>
        <w:gridCol w:w="1774"/>
        <w:gridCol w:w="1774"/>
      </w:tblGrid>
      <w:tr w:rsidR="007C09F3" w14:paraId="170C384F" w14:textId="77777777" w:rsidTr="007C09F3">
        <w:tc>
          <w:tcPr>
            <w:tcW w:w="2014" w:type="dxa"/>
          </w:tcPr>
          <w:p w14:paraId="3D8636D9" w14:textId="77777777" w:rsidR="007C09F3" w:rsidRDefault="007C09F3" w:rsidP="009057BD">
            <w:pPr>
              <w:spacing w:line="257" w:lineRule="auto"/>
              <w:rPr>
                <w:rFonts w:ascii="Calibri" w:eastAsia="Calibri" w:hAnsi="Calibri" w:cs="Calibri"/>
              </w:rPr>
            </w:pPr>
            <w:r>
              <w:rPr>
                <w:rFonts w:ascii="Calibri" w:eastAsia="Calibri" w:hAnsi="Calibri" w:cs="Calibri"/>
              </w:rPr>
              <w:t>Number of previous lines of treatment</w:t>
            </w:r>
          </w:p>
        </w:tc>
        <w:tc>
          <w:tcPr>
            <w:tcW w:w="1773" w:type="dxa"/>
          </w:tcPr>
          <w:p w14:paraId="60F2F28E" w14:textId="77777777" w:rsidR="007C09F3" w:rsidRDefault="007C09F3" w:rsidP="007C09F3">
            <w:pPr>
              <w:spacing w:line="257" w:lineRule="auto"/>
              <w:rPr>
                <w:rFonts w:ascii="Calibri" w:eastAsia="Calibri" w:hAnsi="Calibri" w:cs="Calibri"/>
              </w:rPr>
            </w:pPr>
            <w:r>
              <w:rPr>
                <w:rFonts w:ascii="Calibri" w:eastAsia="Calibri" w:hAnsi="Calibri" w:cs="Calibri"/>
              </w:rPr>
              <w:t>Events/Total</w:t>
            </w:r>
          </w:p>
        </w:tc>
        <w:tc>
          <w:tcPr>
            <w:tcW w:w="2015" w:type="dxa"/>
          </w:tcPr>
          <w:p w14:paraId="6350159D" w14:textId="77777777" w:rsidR="007C09F3" w:rsidRDefault="007C09F3" w:rsidP="007C09F3">
            <w:pPr>
              <w:spacing w:line="257" w:lineRule="auto"/>
              <w:rPr>
                <w:rFonts w:ascii="Calibri" w:eastAsia="Calibri" w:hAnsi="Calibri" w:cs="Calibri"/>
              </w:rPr>
            </w:pPr>
            <w:r>
              <w:rPr>
                <w:rFonts w:ascii="Calibri" w:eastAsia="Calibri" w:hAnsi="Calibri" w:cs="Calibri"/>
              </w:rPr>
              <w:t>Median duration of treatment in months (95% CI)</w:t>
            </w:r>
          </w:p>
        </w:tc>
        <w:tc>
          <w:tcPr>
            <w:tcW w:w="1774" w:type="dxa"/>
          </w:tcPr>
          <w:p w14:paraId="125A14AF" w14:textId="77777777" w:rsidR="007C09F3" w:rsidRDefault="007C09F3" w:rsidP="009057BD">
            <w:pPr>
              <w:spacing w:line="257" w:lineRule="auto"/>
              <w:rPr>
                <w:rFonts w:ascii="Calibri" w:eastAsia="Calibri" w:hAnsi="Calibri" w:cs="Calibri"/>
              </w:rPr>
            </w:pPr>
            <w:r>
              <w:rPr>
                <w:rFonts w:ascii="Calibri" w:eastAsia="Calibri" w:hAnsi="Calibri" w:cs="Calibri"/>
              </w:rPr>
              <w:t>Hazard rate calculated from median survival</w:t>
            </w:r>
          </w:p>
        </w:tc>
        <w:tc>
          <w:tcPr>
            <w:tcW w:w="1774" w:type="dxa"/>
          </w:tcPr>
          <w:p w14:paraId="24D83F97" w14:textId="4E39FD3D" w:rsidR="007C09F3" w:rsidRDefault="007C09F3" w:rsidP="00810208">
            <w:pPr>
              <w:spacing w:line="257" w:lineRule="auto"/>
              <w:rPr>
                <w:rFonts w:ascii="Calibri" w:eastAsia="Calibri" w:hAnsi="Calibri" w:cs="Calibri"/>
              </w:rPr>
            </w:pPr>
            <w:r>
              <w:rPr>
                <w:rFonts w:ascii="Calibri" w:eastAsia="Calibri" w:hAnsi="Calibri" w:cs="Calibri"/>
              </w:rPr>
              <w:t xml:space="preserve">Hazard ratio relative to </w:t>
            </w:r>
            <w:r w:rsidR="00810208">
              <w:rPr>
                <w:rFonts w:ascii="Calibri" w:eastAsia="Calibri" w:hAnsi="Calibri" w:cs="Calibri"/>
              </w:rPr>
              <w:t>two</w:t>
            </w:r>
            <w:r>
              <w:rPr>
                <w:rFonts w:ascii="Calibri" w:eastAsia="Calibri" w:hAnsi="Calibri" w:cs="Calibri"/>
              </w:rPr>
              <w:t xml:space="preserve"> previous lines of treatment</w:t>
            </w:r>
          </w:p>
        </w:tc>
      </w:tr>
      <w:tr w:rsidR="007C09F3" w14:paraId="0276AB73" w14:textId="77777777" w:rsidTr="007C09F3">
        <w:tc>
          <w:tcPr>
            <w:tcW w:w="2014" w:type="dxa"/>
          </w:tcPr>
          <w:p w14:paraId="4AD8E7DF" w14:textId="77777777" w:rsidR="007C09F3" w:rsidRDefault="007C09F3" w:rsidP="009057BD">
            <w:pPr>
              <w:spacing w:line="257" w:lineRule="auto"/>
              <w:rPr>
                <w:rFonts w:ascii="Calibri" w:eastAsia="Calibri" w:hAnsi="Calibri" w:cs="Calibri"/>
              </w:rPr>
            </w:pPr>
            <w:r>
              <w:rPr>
                <w:rFonts w:ascii="Calibri" w:eastAsia="Calibri" w:hAnsi="Calibri" w:cs="Calibri"/>
              </w:rPr>
              <w:lastRenderedPageBreak/>
              <w:t>1</w:t>
            </w:r>
          </w:p>
        </w:tc>
        <w:tc>
          <w:tcPr>
            <w:tcW w:w="1773" w:type="dxa"/>
          </w:tcPr>
          <w:p w14:paraId="7E442030" w14:textId="77777777" w:rsidR="007C09F3" w:rsidRDefault="007C09F3" w:rsidP="009057BD">
            <w:pPr>
              <w:spacing w:line="257" w:lineRule="auto"/>
              <w:rPr>
                <w:rFonts w:ascii="Calibri" w:eastAsia="Calibri" w:hAnsi="Calibri" w:cs="Calibri"/>
              </w:rPr>
            </w:pPr>
            <w:r>
              <w:rPr>
                <w:rFonts w:ascii="Calibri" w:eastAsia="Calibri" w:hAnsi="Calibri" w:cs="Calibri"/>
              </w:rPr>
              <w:t>4,885/5,124</w:t>
            </w:r>
          </w:p>
        </w:tc>
        <w:tc>
          <w:tcPr>
            <w:tcW w:w="2015" w:type="dxa"/>
          </w:tcPr>
          <w:p w14:paraId="1693CAE6" w14:textId="77777777" w:rsidR="007C09F3" w:rsidRDefault="007C09F3" w:rsidP="009057BD">
            <w:pPr>
              <w:spacing w:line="257" w:lineRule="auto"/>
              <w:rPr>
                <w:rFonts w:ascii="Calibri" w:eastAsia="Calibri" w:hAnsi="Calibri" w:cs="Calibri"/>
              </w:rPr>
            </w:pPr>
            <w:r>
              <w:rPr>
                <w:rFonts w:ascii="Calibri" w:eastAsia="Calibri" w:hAnsi="Calibri" w:cs="Calibri"/>
              </w:rPr>
              <w:t>8.0 (8.0 – 9.0)</w:t>
            </w:r>
          </w:p>
        </w:tc>
        <w:tc>
          <w:tcPr>
            <w:tcW w:w="1774" w:type="dxa"/>
          </w:tcPr>
          <w:p w14:paraId="3EDB9DF7" w14:textId="77777777" w:rsidR="007C09F3" w:rsidRDefault="007C09F3" w:rsidP="009057BD">
            <w:pPr>
              <w:spacing w:line="257" w:lineRule="auto"/>
              <w:rPr>
                <w:rFonts w:ascii="Calibri" w:eastAsia="Calibri" w:hAnsi="Calibri" w:cs="Calibri"/>
              </w:rPr>
            </w:pPr>
            <w:r>
              <w:rPr>
                <w:rFonts w:ascii="Calibri" w:eastAsia="Calibri" w:hAnsi="Calibri" w:cs="Calibri"/>
              </w:rPr>
              <w:t>0.0866</w:t>
            </w:r>
          </w:p>
        </w:tc>
        <w:tc>
          <w:tcPr>
            <w:tcW w:w="1774" w:type="dxa"/>
          </w:tcPr>
          <w:p w14:paraId="0A47E05B" w14:textId="142B43D4" w:rsidR="007C09F3" w:rsidRDefault="00810208" w:rsidP="009057BD">
            <w:pPr>
              <w:spacing w:line="257" w:lineRule="auto"/>
              <w:rPr>
                <w:rFonts w:ascii="Calibri" w:eastAsia="Calibri" w:hAnsi="Calibri" w:cs="Calibri"/>
              </w:rPr>
            </w:pPr>
            <w:r>
              <w:rPr>
                <w:rFonts w:ascii="Calibri" w:eastAsia="Calibri" w:hAnsi="Calibri" w:cs="Calibri"/>
              </w:rPr>
              <w:t>0.875</w:t>
            </w:r>
            <w:r w:rsidR="00D66B2F">
              <w:rPr>
                <w:rFonts w:ascii="Calibri" w:eastAsia="Calibri" w:hAnsi="Calibri" w:cs="Calibri"/>
              </w:rPr>
              <w:t xml:space="preserve"> (0.767 – 1.019)</w:t>
            </w:r>
          </w:p>
        </w:tc>
      </w:tr>
      <w:tr w:rsidR="007C09F3" w14:paraId="2B6C4305" w14:textId="77777777" w:rsidTr="007C09F3">
        <w:tc>
          <w:tcPr>
            <w:tcW w:w="2014" w:type="dxa"/>
          </w:tcPr>
          <w:p w14:paraId="1D9C0A96" w14:textId="77777777" w:rsidR="007C09F3" w:rsidRDefault="007C09F3" w:rsidP="009057BD">
            <w:pPr>
              <w:spacing w:line="257" w:lineRule="auto"/>
              <w:rPr>
                <w:rFonts w:ascii="Calibri" w:eastAsia="Calibri" w:hAnsi="Calibri" w:cs="Calibri"/>
              </w:rPr>
            </w:pPr>
            <w:r>
              <w:rPr>
                <w:rFonts w:ascii="Calibri" w:eastAsia="Calibri" w:hAnsi="Calibri" w:cs="Calibri"/>
              </w:rPr>
              <w:t>2</w:t>
            </w:r>
          </w:p>
        </w:tc>
        <w:tc>
          <w:tcPr>
            <w:tcW w:w="1773" w:type="dxa"/>
          </w:tcPr>
          <w:p w14:paraId="064ECBA1" w14:textId="77777777" w:rsidR="007C09F3" w:rsidRDefault="007C09F3" w:rsidP="009057BD">
            <w:pPr>
              <w:spacing w:line="257" w:lineRule="auto"/>
              <w:rPr>
                <w:rFonts w:ascii="Calibri" w:eastAsia="Calibri" w:hAnsi="Calibri" w:cs="Calibri"/>
              </w:rPr>
            </w:pPr>
            <w:r>
              <w:rPr>
                <w:rFonts w:ascii="Calibri" w:eastAsia="Calibri" w:hAnsi="Calibri" w:cs="Calibri"/>
              </w:rPr>
              <w:t>2,680/2,815</w:t>
            </w:r>
          </w:p>
        </w:tc>
        <w:tc>
          <w:tcPr>
            <w:tcW w:w="2015" w:type="dxa"/>
          </w:tcPr>
          <w:p w14:paraId="17E68D46" w14:textId="77777777" w:rsidR="007C09F3" w:rsidRDefault="007C09F3" w:rsidP="009057BD">
            <w:pPr>
              <w:spacing w:line="257" w:lineRule="auto"/>
              <w:rPr>
                <w:rFonts w:ascii="Calibri" w:eastAsia="Calibri" w:hAnsi="Calibri" w:cs="Calibri"/>
              </w:rPr>
            </w:pPr>
            <w:r>
              <w:rPr>
                <w:rFonts w:ascii="Calibri" w:eastAsia="Calibri" w:hAnsi="Calibri" w:cs="Calibri"/>
              </w:rPr>
              <w:t>7.0 (6.0 – 7.0)</w:t>
            </w:r>
          </w:p>
        </w:tc>
        <w:tc>
          <w:tcPr>
            <w:tcW w:w="1774" w:type="dxa"/>
          </w:tcPr>
          <w:p w14:paraId="02C6693C" w14:textId="77777777" w:rsidR="007C09F3" w:rsidRDefault="007C09F3" w:rsidP="009057BD">
            <w:pPr>
              <w:spacing w:line="257" w:lineRule="auto"/>
              <w:rPr>
                <w:rFonts w:ascii="Calibri" w:eastAsia="Calibri" w:hAnsi="Calibri" w:cs="Calibri"/>
              </w:rPr>
            </w:pPr>
            <w:r>
              <w:rPr>
                <w:rFonts w:ascii="Calibri" w:eastAsia="Calibri" w:hAnsi="Calibri" w:cs="Calibri"/>
              </w:rPr>
              <w:t>0.0990</w:t>
            </w:r>
          </w:p>
        </w:tc>
        <w:tc>
          <w:tcPr>
            <w:tcW w:w="1774" w:type="dxa"/>
          </w:tcPr>
          <w:p w14:paraId="10BFDC1F" w14:textId="1C7C8A3F" w:rsidR="007C09F3" w:rsidRDefault="00810208" w:rsidP="009057BD">
            <w:pPr>
              <w:spacing w:line="257" w:lineRule="auto"/>
              <w:rPr>
                <w:rFonts w:ascii="Calibri" w:eastAsia="Calibri" w:hAnsi="Calibri" w:cs="Calibri"/>
              </w:rPr>
            </w:pPr>
            <w:r>
              <w:rPr>
                <w:rFonts w:ascii="Calibri" w:eastAsia="Calibri" w:hAnsi="Calibri" w:cs="Calibri"/>
              </w:rPr>
              <w:t>1 (reference)</w:t>
            </w:r>
          </w:p>
        </w:tc>
      </w:tr>
      <w:tr w:rsidR="007C09F3" w14:paraId="68C80185" w14:textId="77777777" w:rsidTr="007C09F3">
        <w:tc>
          <w:tcPr>
            <w:tcW w:w="2014" w:type="dxa"/>
          </w:tcPr>
          <w:p w14:paraId="7353D24F" w14:textId="77777777" w:rsidR="007C09F3" w:rsidRDefault="007C09F3" w:rsidP="009057BD">
            <w:pPr>
              <w:spacing w:line="257" w:lineRule="auto"/>
              <w:rPr>
                <w:rFonts w:ascii="Calibri" w:eastAsia="Calibri" w:hAnsi="Calibri" w:cs="Calibri"/>
              </w:rPr>
            </w:pPr>
            <w:r>
              <w:rPr>
                <w:rFonts w:ascii="Calibri" w:eastAsia="Calibri" w:hAnsi="Calibri" w:cs="Calibri"/>
              </w:rPr>
              <w:t>3</w:t>
            </w:r>
          </w:p>
        </w:tc>
        <w:tc>
          <w:tcPr>
            <w:tcW w:w="1773" w:type="dxa"/>
          </w:tcPr>
          <w:p w14:paraId="71B80314" w14:textId="77777777" w:rsidR="007C09F3" w:rsidRDefault="007C09F3" w:rsidP="009057BD">
            <w:pPr>
              <w:spacing w:line="257" w:lineRule="auto"/>
              <w:rPr>
                <w:rFonts w:ascii="Calibri" w:eastAsia="Calibri" w:hAnsi="Calibri" w:cs="Calibri"/>
              </w:rPr>
            </w:pPr>
            <w:r>
              <w:rPr>
                <w:rFonts w:ascii="Calibri" w:eastAsia="Calibri" w:hAnsi="Calibri" w:cs="Calibri"/>
              </w:rPr>
              <w:t>1,508/1,588</w:t>
            </w:r>
          </w:p>
        </w:tc>
        <w:tc>
          <w:tcPr>
            <w:tcW w:w="2015" w:type="dxa"/>
          </w:tcPr>
          <w:p w14:paraId="3B5B0323" w14:textId="77777777" w:rsidR="007C09F3" w:rsidRDefault="007C09F3" w:rsidP="009057BD">
            <w:pPr>
              <w:spacing w:line="257" w:lineRule="auto"/>
              <w:rPr>
                <w:rFonts w:ascii="Calibri" w:eastAsia="Calibri" w:hAnsi="Calibri" w:cs="Calibri"/>
              </w:rPr>
            </w:pPr>
            <w:r>
              <w:rPr>
                <w:rFonts w:ascii="Calibri" w:eastAsia="Calibri" w:hAnsi="Calibri" w:cs="Calibri"/>
              </w:rPr>
              <w:t>6.0 (NE – NE)</w:t>
            </w:r>
          </w:p>
        </w:tc>
        <w:tc>
          <w:tcPr>
            <w:tcW w:w="1774" w:type="dxa"/>
          </w:tcPr>
          <w:p w14:paraId="2D942CB5" w14:textId="77777777" w:rsidR="007C09F3" w:rsidRPr="00810208" w:rsidRDefault="007C09F3" w:rsidP="009057BD">
            <w:pPr>
              <w:spacing w:line="257" w:lineRule="auto"/>
              <w:rPr>
                <w:rFonts w:ascii="Calibri" w:eastAsia="Calibri" w:hAnsi="Calibri" w:cs="Calibri"/>
              </w:rPr>
            </w:pPr>
            <w:r w:rsidRPr="00810208">
              <w:rPr>
                <w:rFonts w:ascii="Calibri" w:eastAsia="Calibri" w:hAnsi="Calibri" w:cs="Calibri"/>
              </w:rPr>
              <w:t>0.1155</w:t>
            </w:r>
          </w:p>
        </w:tc>
        <w:tc>
          <w:tcPr>
            <w:tcW w:w="1774" w:type="dxa"/>
          </w:tcPr>
          <w:p w14:paraId="2883F12D" w14:textId="6DEBD94F" w:rsidR="007C09F3" w:rsidRPr="00810208" w:rsidRDefault="005D462B" w:rsidP="00810208">
            <w:pPr>
              <w:spacing w:line="257" w:lineRule="auto"/>
              <w:rPr>
                <w:rFonts w:ascii="Calibri" w:eastAsia="Calibri" w:hAnsi="Calibri" w:cs="Calibri"/>
              </w:rPr>
            </w:pPr>
            <w:r w:rsidRPr="00810208">
              <w:rPr>
                <w:rFonts w:ascii="Calibri" w:eastAsia="Calibri" w:hAnsi="Calibri" w:cs="Calibri"/>
              </w:rPr>
              <w:t>1</w:t>
            </w:r>
            <w:r w:rsidR="00810208" w:rsidRPr="00810208">
              <w:rPr>
                <w:rFonts w:ascii="Calibri" w:eastAsia="Calibri" w:hAnsi="Calibri" w:cs="Calibri"/>
              </w:rPr>
              <w:t>.167</w:t>
            </w:r>
            <w:r w:rsidR="00D66B2F">
              <w:rPr>
                <w:rFonts w:ascii="Calibri" w:eastAsia="Calibri" w:hAnsi="Calibri" w:cs="Calibri"/>
              </w:rPr>
              <w:t xml:space="preserve"> (1.036 – 1.309)</w:t>
            </w:r>
          </w:p>
        </w:tc>
      </w:tr>
      <w:tr w:rsidR="007C09F3" w14:paraId="40627CBC" w14:textId="77777777" w:rsidTr="007C09F3">
        <w:tc>
          <w:tcPr>
            <w:tcW w:w="2014" w:type="dxa"/>
          </w:tcPr>
          <w:p w14:paraId="5BEF31AB" w14:textId="77777777" w:rsidR="007C09F3" w:rsidRDefault="007C09F3" w:rsidP="009057BD">
            <w:pPr>
              <w:spacing w:line="257" w:lineRule="auto"/>
              <w:rPr>
                <w:rFonts w:ascii="Calibri" w:eastAsia="Calibri" w:hAnsi="Calibri" w:cs="Calibri"/>
              </w:rPr>
            </w:pPr>
            <w:r>
              <w:rPr>
                <w:rFonts w:ascii="Calibri" w:eastAsia="Calibri" w:hAnsi="Calibri" w:cs="Calibri"/>
              </w:rPr>
              <w:t>4+</w:t>
            </w:r>
          </w:p>
        </w:tc>
        <w:tc>
          <w:tcPr>
            <w:tcW w:w="1773" w:type="dxa"/>
          </w:tcPr>
          <w:p w14:paraId="02514B9C" w14:textId="77777777" w:rsidR="007C09F3" w:rsidRDefault="007C09F3" w:rsidP="009057BD">
            <w:pPr>
              <w:spacing w:line="257" w:lineRule="auto"/>
              <w:rPr>
                <w:rFonts w:ascii="Calibri" w:eastAsia="Calibri" w:hAnsi="Calibri" w:cs="Calibri"/>
              </w:rPr>
            </w:pPr>
            <w:r>
              <w:rPr>
                <w:rFonts w:ascii="Calibri" w:eastAsia="Calibri" w:hAnsi="Calibri" w:cs="Calibri"/>
              </w:rPr>
              <w:t>765/850</w:t>
            </w:r>
          </w:p>
        </w:tc>
        <w:tc>
          <w:tcPr>
            <w:tcW w:w="2015" w:type="dxa"/>
          </w:tcPr>
          <w:p w14:paraId="03CE5506" w14:textId="77777777" w:rsidR="007C09F3" w:rsidRDefault="007C09F3" w:rsidP="009057BD">
            <w:pPr>
              <w:spacing w:line="257" w:lineRule="auto"/>
              <w:rPr>
                <w:rFonts w:ascii="Calibri" w:eastAsia="Calibri" w:hAnsi="Calibri" w:cs="Calibri"/>
              </w:rPr>
            </w:pPr>
            <w:r>
              <w:rPr>
                <w:rFonts w:ascii="Calibri" w:eastAsia="Calibri" w:hAnsi="Calibri" w:cs="Calibri"/>
              </w:rPr>
              <w:t>12.0 (11.0 – 15.0)</w:t>
            </w:r>
          </w:p>
        </w:tc>
        <w:tc>
          <w:tcPr>
            <w:tcW w:w="1774" w:type="dxa"/>
          </w:tcPr>
          <w:p w14:paraId="1DA08740" w14:textId="77777777" w:rsidR="007C09F3" w:rsidRDefault="007C09F3" w:rsidP="009057BD">
            <w:pPr>
              <w:spacing w:line="257" w:lineRule="auto"/>
              <w:rPr>
                <w:rFonts w:ascii="Calibri" w:eastAsia="Calibri" w:hAnsi="Calibri" w:cs="Calibri"/>
              </w:rPr>
            </w:pPr>
            <w:r>
              <w:rPr>
                <w:rFonts w:ascii="Calibri" w:eastAsia="Calibri" w:hAnsi="Calibri" w:cs="Calibri"/>
              </w:rPr>
              <w:t>0.0578</w:t>
            </w:r>
          </w:p>
        </w:tc>
        <w:tc>
          <w:tcPr>
            <w:tcW w:w="1774" w:type="dxa"/>
          </w:tcPr>
          <w:p w14:paraId="327151F9" w14:textId="0A661203" w:rsidR="007C09F3" w:rsidRDefault="005D462B" w:rsidP="009057BD">
            <w:pPr>
              <w:spacing w:line="257" w:lineRule="auto"/>
              <w:rPr>
                <w:rFonts w:ascii="Calibri" w:eastAsia="Calibri" w:hAnsi="Calibri" w:cs="Calibri"/>
              </w:rPr>
            </w:pPr>
            <w:r>
              <w:rPr>
                <w:rFonts w:ascii="Calibri" w:eastAsia="Calibri" w:hAnsi="Calibri" w:cs="Calibri"/>
              </w:rPr>
              <w:t>0.5</w:t>
            </w:r>
            <w:r w:rsidR="00810208">
              <w:rPr>
                <w:rFonts w:ascii="Calibri" w:eastAsia="Calibri" w:hAnsi="Calibri" w:cs="Calibri"/>
              </w:rPr>
              <w:t>83</w:t>
            </w:r>
            <w:r w:rsidR="00D66B2F">
              <w:rPr>
                <w:rFonts w:ascii="Calibri" w:eastAsia="Calibri" w:hAnsi="Calibri" w:cs="Calibri"/>
              </w:rPr>
              <w:t xml:space="preserve"> (0.454 – 0.786)</w:t>
            </w:r>
          </w:p>
        </w:tc>
      </w:tr>
    </w:tbl>
    <w:p w14:paraId="1D580E21" w14:textId="77777777" w:rsidR="007C09F3" w:rsidRDefault="007C09F3" w:rsidP="009057BD">
      <w:pPr>
        <w:spacing w:line="257" w:lineRule="auto"/>
        <w:rPr>
          <w:rFonts w:ascii="Calibri" w:eastAsia="Calibri" w:hAnsi="Calibri" w:cs="Calibri"/>
        </w:rPr>
      </w:pPr>
    </w:p>
    <w:p w14:paraId="5622D144" w14:textId="77777777" w:rsidR="005D462B" w:rsidRPr="005D462B" w:rsidRDefault="005D462B" w:rsidP="005D462B">
      <w:pPr>
        <w:spacing w:line="257" w:lineRule="auto"/>
        <w:rPr>
          <w:rFonts w:ascii="Calibri" w:eastAsia="Calibri" w:hAnsi="Calibri" w:cs="Calibri"/>
          <w:i/>
        </w:rPr>
      </w:pPr>
      <w:r>
        <w:rPr>
          <w:rFonts w:ascii="Calibri" w:eastAsia="Calibri" w:hAnsi="Calibri" w:cs="Calibri"/>
          <w:i/>
        </w:rPr>
        <w:t>Overall Survival</w:t>
      </w:r>
    </w:p>
    <w:tbl>
      <w:tblPr>
        <w:tblStyle w:val="TableGrid"/>
        <w:tblW w:w="0" w:type="auto"/>
        <w:tblLook w:val="04A0" w:firstRow="1" w:lastRow="0" w:firstColumn="1" w:lastColumn="0" w:noHBand="0" w:noVBand="1"/>
      </w:tblPr>
      <w:tblGrid>
        <w:gridCol w:w="2014"/>
        <w:gridCol w:w="1773"/>
        <w:gridCol w:w="2015"/>
        <w:gridCol w:w="1774"/>
        <w:gridCol w:w="1774"/>
      </w:tblGrid>
      <w:tr w:rsidR="005D462B" w14:paraId="6EF7338D" w14:textId="77777777" w:rsidTr="00F35937">
        <w:tc>
          <w:tcPr>
            <w:tcW w:w="2014" w:type="dxa"/>
          </w:tcPr>
          <w:p w14:paraId="10C31046" w14:textId="77777777" w:rsidR="005D462B" w:rsidRDefault="005D462B" w:rsidP="00F35937">
            <w:pPr>
              <w:spacing w:line="257" w:lineRule="auto"/>
              <w:rPr>
                <w:rFonts w:ascii="Calibri" w:eastAsia="Calibri" w:hAnsi="Calibri" w:cs="Calibri"/>
              </w:rPr>
            </w:pPr>
            <w:r>
              <w:rPr>
                <w:rFonts w:ascii="Calibri" w:eastAsia="Calibri" w:hAnsi="Calibri" w:cs="Calibri"/>
              </w:rPr>
              <w:t>Number of previous lines of treatment</w:t>
            </w:r>
          </w:p>
        </w:tc>
        <w:tc>
          <w:tcPr>
            <w:tcW w:w="1773" w:type="dxa"/>
          </w:tcPr>
          <w:p w14:paraId="2653F67E" w14:textId="77777777" w:rsidR="005D462B" w:rsidRDefault="005D462B" w:rsidP="00F35937">
            <w:pPr>
              <w:spacing w:line="257" w:lineRule="auto"/>
              <w:rPr>
                <w:rFonts w:ascii="Calibri" w:eastAsia="Calibri" w:hAnsi="Calibri" w:cs="Calibri"/>
              </w:rPr>
            </w:pPr>
            <w:r>
              <w:rPr>
                <w:rFonts w:ascii="Calibri" w:eastAsia="Calibri" w:hAnsi="Calibri" w:cs="Calibri"/>
              </w:rPr>
              <w:t>Events/Total</w:t>
            </w:r>
          </w:p>
        </w:tc>
        <w:tc>
          <w:tcPr>
            <w:tcW w:w="2015" w:type="dxa"/>
          </w:tcPr>
          <w:p w14:paraId="7E2407ED" w14:textId="3EAFB527" w:rsidR="005D462B" w:rsidRDefault="005D462B" w:rsidP="00810208">
            <w:pPr>
              <w:spacing w:line="257" w:lineRule="auto"/>
              <w:rPr>
                <w:rFonts w:ascii="Calibri" w:eastAsia="Calibri" w:hAnsi="Calibri" w:cs="Calibri"/>
              </w:rPr>
            </w:pPr>
            <w:r>
              <w:rPr>
                <w:rFonts w:ascii="Calibri" w:eastAsia="Calibri" w:hAnsi="Calibri" w:cs="Calibri"/>
              </w:rPr>
              <w:t xml:space="preserve">Median </w:t>
            </w:r>
            <w:r w:rsidR="00810208">
              <w:rPr>
                <w:rFonts w:ascii="Calibri" w:eastAsia="Calibri" w:hAnsi="Calibri" w:cs="Calibri"/>
              </w:rPr>
              <w:t>overall survival</w:t>
            </w:r>
            <w:r>
              <w:rPr>
                <w:rFonts w:ascii="Calibri" w:eastAsia="Calibri" w:hAnsi="Calibri" w:cs="Calibri"/>
              </w:rPr>
              <w:t xml:space="preserve"> in months (95% CI)</w:t>
            </w:r>
          </w:p>
        </w:tc>
        <w:tc>
          <w:tcPr>
            <w:tcW w:w="1774" w:type="dxa"/>
          </w:tcPr>
          <w:p w14:paraId="47510C3A" w14:textId="77777777" w:rsidR="005D462B" w:rsidRDefault="005D462B" w:rsidP="00F35937">
            <w:pPr>
              <w:spacing w:line="257" w:lineRule="auto"/>
              <w:rPr>
                <w:rFonts w:ascii="Calibri" w:eastAsia="Calibri" w:hAnsi="Calibri" w:cs="Calibri"/>
              </w:rPr>
            </w:pPr>
            <w:r>
              <w:rPr>
                <w:rFonts w:ascii="Calibri" w:eastAsia="Calibri" w:hAnsi="Calibri" w:cs="Calibri"/>
              </w:rPr>
              <w:t>Hazard rate calculated from median survival</w:t>
            </w:r>
          </w:p>
        </w:tc>
        <w:tc>
          <w:tcPr>
            <w:tcW w:w="1774" w:type="dxa"/>
          </w:tcPr>
          <w:p w14:paraId="0B4EF41A" w14:textId="0BB8479E" w:rsidR="005D462B" w:rsidRDefault="005D462B" w:rsidP="00810208">
            <w:pPr>
              <w:spacing w:line="257" w:lineRule="auto"/>
              <w:rPr>
                <w:rFonts w:ascii="Calibri" w:eastAsia="Calibri" w:hAnsi="Calibri" w:cs="Calibri"/>
              </w:rPr>
            </w:pPr>
            <w:r>
              <w:rPr>
                <w:rFonts w:ascii="Calibri" w:eastAsia="Calibri" w:hAnsi="Calibri" w:cs="Calibri"/>
              </w:rPr>
              <w:t xml:space="preserve">Hazard ratio relative to </w:t>
            </w:r>
            <w:r w:rsidR="00810208">
              <w:rPr>
                <w:rFonts w:ascii="Calibri" w:eastAsia="Calibri" w:hAnsi="Calibri" w:cs="Calibri"/>
              </w:rPr>
              <w:t>two</w:t>
            </w:r>
            <w:r>
              <w:rPr>
                <w:rFonts w:ascii="Calibri" w:eastAsia="Calibri" w:hAnsi="Calibri" w:cs="Calibri"/>
              </w:rPr>
              <w:t xml:space="preserve"> previous lines of treatment</w:t>
            </w:r>
          </w:p>
        </w:tc>
      </w:tr>
      <w:tr w:rsidR="005D462B" w14:paraId="0792BF5C" w14:textId="77777777" w:rsidTr="00F35937">
        <w:tc>
          <w:tcPr>
            <w:tcW w:w="2014" w:type="dxa"/>
          </w:tcPr>
          <w:p w14:paraId="1C81AB93" w14:textId="77777777" w:rsidR="005D462B" w:rsidRDefault="005D462B" w:rsidP="00F35937">
            <w:pPr>
              <w:spacing w:line="257" w:lineRule="auto"/>
              <w:rPr>
                <w:rFonts w:ascii="Calibri" w:eastAsia="Calibri" w:hAnsi="Calibri" w:cs="Calibri"/>
              </w:rPr>
            </w:pPr>
            <w:r>
              <w:rPr>
                <w:rFonts w:ascii="Calibri" w:eastAsia="Calibri" w:hAnsi="Calibri" w:cs="Calibri"/>
              </w:rPr>
              <w:t>1</w:t>
            </w:r>
          </w:p>
        </w:tc>
        <w:tc>
          <w:tcPr>
            <w:tcW w:w="1773" w:type="dxa"/>
          </w:tcPr>
          <w:p w14:paraId="359FE9EA" w14:textId="77777777" w:rsidR="005D462B" w:rsidRDefault="005D462B" w:rsidP="005D462B">
            <w:pPr>
              <w:spacing w:line="257" w:lineRule="auto"/>
              <w:rPr>
                <w:rFonts w:ascii="Calibri" w:eastAsia="Calibri" w:hAnsi="Calibri" w:cs="Calibri"/>
              </w:rPr>
            </w:pPr>
            <w:r>
              <w:rPr>
                <w:rFonts w:ascii="Calibri" w:eastAsia="Calibri" w:hAnsi="Calibri" w:cs="Calibri"/>
              </w:rPr>
              <w:t>1,987/5,124</w:t>
            </w:r>
          </w:p>
        </w:tc>
        <w:tc>
          <w:tcPr>
            <w:tcW w:w="2015" w:type="dxa"/>
          </w:tcPr>
          <w:p w14:paraId="52DD82BC" w14:textId="77777777" w:rsidR="005D462B" w:rsidRDefault="000D16F3" w:rsidP="000D16F3">
            <w:pPr>
              <w:spacing w:line="257" w:lineRule="auto"/>
              <w:rPr>
                <w:rFonts w:ascii="Calibri" w:eastAsia="Calibri" w:hAnsi="Calibri" w:cs="Calibri"/>
              </w:rPr>
            </w:pPr>
            <w:r>
              <w:rPr>
                <w:rFonts w:ascii="Calibri" w:eastAsia="Calibri" w:hAnsi="Calibri" w:cs="Calibri"/>
              </w:rPr>
              <w:t>4</w:t>
            </w:r>
            <w:r w:rsidR="005D462B">
              <w:rPr>
                <w:rFonts w:ascii="Calibri" w:eastAsia="Calibri" w:hAnsi="Calibri" w:cs="Calibri"/>
              </w:rPr>
              <w:t>8.0 (</w:t>
            </w:r>
            <w:r>
              <w:rPr>
                <w:rFonts w:ascii="Calibri" w:eastAsia="Calibri" w:hAnsi="Calibri" w:cs="Calibri"/>
              </w:rPr>
              <w:t>45</w:t>
            </w:r>
            <w:r w:rsidR="005D462B">
              <w:rPr>
                <w:rFonts w:ascii="Calibri" w:eastAsia="Calibri" w:hAnsi="Calibri" w:cs="Calibri"/>
              </w:rPr>
              <w:t xml:space="preserve">.0 – </w:t>
            </w:r>
            <w:r>
              <w:rPr>
                <w:rFonts w:ascii="Calibri" w:eastAsia="Calibri" w:hAnsi="Calibri" w:cs="Calibri"/>
              </w:rPr>
              <w:t>50</w:t>
            </w:r>
            <w:r w:rsidR="005D462B">
              <w:rPr>
                <w:rFonts w:ascii="Calibri" w:eastAsia="Calibri" w:hAnsi="Calibri" w:cs="Calibri"/>
              </w:rPr>
              <w:t>.0)</w:t>
            </w:r>
          </w:p>
        </w:tc>
        <w:tc>
          <w:tcPr>
            <w:tcW w:w="1774" w:type="dxa"/>
          </w:tcPr>
          <w:p w14:paraId="16ED4024" w14:textId="77777777" w:rsidR="005D462B" w:rsidRDefault="005D462B" w:rsidP="00F35937">
            <w:pPr>
              <w:spacing w:line="257" w:lineRule="auto"/>
              <w:rPr>
                <w:rFonts w:ascii="Calibri" w:eastAsia="Calibri" w:hAnsi="Calibri" w:cs="Calibri"/>
              </w:rPr>
            </w:pPr>
            <w:r>
              <w:rPr>
                <w:rFonts w:ascii="Calibri" w:eastAsia="Calibri" w:hAnsi="Calibri" w:cs="Calibri"/>
              </w:rPr>
              <w:t>0.0866</w:t>
            </w:r>
          </w:p>
        </w:tc>
        <w:tc>
          <w:tcPr>
            <w:tcW w:w="1774" w:type="dxa"/>
          </w:tcPr>
          <w:p w14:paraId="26C25063" w14:textId="76F9BEF0" w:rsidR="005D462B" w:rsidRDefault="000D16F3" w:rsidP="00810208">
            <w:pPr>
              <w:spacing w:line="257" w:lineRule="auto"/>
              <w:rPr>
                <w:rFonts w:ascii="Calibri" w:eastAsia="Calibri" w:hAnsi="Calibri" w:cs="Calibri"/>
              </w:rPr>
            </w:pPr>
            <w:r>
              <w:rPr>
                <w:rFonts w:ascii="Calibri" w:eastAsia="Calibri" w:hAnsi="Calibri" w:cs="Calibri"/>
              </w:rPr>
              <w:t>0.</w:t>
            </w:r>
            <w:r w:rsidR="00810208">
              <w:rPr>
                <w:rFonts w:ascii="Calibri" w:eastAsia="Calibri" w:hAnsi="Calibri" w:cs="Calibri"/>
              </w:rPr>
              <w:t>750</w:t>
            </w:r>
            <w:r w:rsidR="00D66B2F">
              <w:rPr>
                <w:rFonts w:ascii="Calibri" w:eastAsia="Calibri" w:hAnsi="Calibri" w:cs="Calibri"/>
              </w:rPr>
              <w:t xml:space="preserve"> (0.681 – 0.812)</w:t>
            </w:r>
          </w:p>
        </w:tc>
      </w:tr>
      <w:tr w:rsidR="005D462B" w14:paraId="1088A270" w14:textId="77777777" w:rsidTr="00F35937">
        <w:tc>
          <w:tcPr>
            <w:tcW w:w="2014" w:type="dxa"/>
          </w:tcPr>
          <w:p w14:paraId="23C3D449" w14:textId="77777777" w:rsidR="005D462B" w:rsidRDefault="005D462B" w:rsidP="00F35937">
            <w:pPr>
              <w:spacing w:line="257" w:lineRule="auto"/>
              <w:rPr>
                <w:rFonts w:ascii="Calibri" w:eastAsia="Calibri" w:hAnsi="Calibri" w:cs="Calibri"/>
              </w:rPr>
            </w:pPr>
            <w:r>
              <w:rPr>
                <w:rFonts w:ascii="Calibri" w:eastAsia="Calibri" w:hAnsi="Calibri" w:cs="Calibri"/>
              </w:rPr>
              <w:t>2</w:t>
            </w:r>
          </w:p>
        </w:tc>
        <w:tc>
          <w:tcPr>
            <w:tcW w:w="1773" w:type="dxa"/>
          </w:tcPr>
          <w:p w14:paraId="2AB3C046" w14:textId="77777777" w:rsidR="005D462B" w:rsidRDefault="005D462B" w:rsidP="005D462B">
            <w:pPr>
              <w:spacing w:line="257" w:lineRule="auto"/>
              <w:rPr>
                <w:rFonts w:ascii="Calibri" w:eastAsia="Calibri" w:hAnsi="Calibri" w:cs="Calibri"/>
              </w:rPr>
            </w:pPr>
            <w:r>
              <w:rPr>
                <w:rFonts w:ascii="Calibri" w:eastAsia="Calibri" w:hAnsi="Calibri" w:cs="Calibri"/>
              </w:rPr>
              <w:t>1,213/2,815</w:t>
            </w:r>
          </w:p>
        </w:tc>
        <w:tc>
          <w:tcPr>
            <w:tcW w:w="2015" w:type="dxa"/>
          </w:tcPr>
          <w:p w14:paraId="4CE40968" w14:textId="77777777" w:rsidR="005D462B" w:rsidRDefault="000D16F3" w:rsidP="000D16F3">
            <w:pPr>
              <w:spacing w:line="257" w:lineRule="auto"/>
              <w:rPr>
                <w:rFonts w:ascii="Calibri" w:eastAsia="Calibri" w:hAnsi="Calibri" w:cs="Calibri"/>
              </w:rPr>
            </w:pPr>
            <w:r>
              <w:rPr>
                <w:rFonts w:ascii="Calibri" w:eastAsia="Calibri" w:hAnsi="Calibri" w:cs="Calibri"/>
              </w:rPr>
              <w:t>36</w:t>
            </w:r>
            <w:r w:rsidR="005D462B">
              <w:rPr>
                <w:rFonts w:ascii="Calibri" w:eastAsia="Calibri" w:hAnsi="Calibri" w:cs="Calibri"/>
              </w:rPr>
              <w:t>.0 (</w:t>
            </w:r>
            <w:r>
              <w:rPr>
                <w:rFonts w:ascii="Calibri" w:eastAsia="Calibri" w:hAnsi="Calibri" w:cs="Calibri"/>
              </w:rPr>
              <w:t>33</w:t>
            </w:r>
            <w:r w:rsidR="005D462B">
              <w:rPr>
                <w:rFonts w:ascii="Calibri" w:eastAsia="Calibri" w:hAnsi="Calibri" w:cs="Calibri"/>
              </w:rPr>
              <w:t xml:space="preserve">.0 – </w:t>
            </w:r>
            <w:r>
              <w:rPr>
                <w:rFonts w:ascii="Calibri" w:eastAsia="Calibri" w:hAnsi="Calibri" w:cs="Calibri"/>
              </w:rPr>
              <w:t>39</w:t>
            </w:r>
            <w:r w:rsidR="005D462B">
              <w:rPr>
                <w:rFonts w:ascii="Calibri" w:eastAsia="Calibri" w:hAnsi="Calibri" w:cs="Calibri"/>
              </w:rPr>
              <w:t>.0)</w:t>
            </w:r>
          </w:p>
        </w:tc>
        <w:tc>
          <w:tcPr>
            <w:tcW w:w="1774" w:type="dxa"/>
          </w:tcPr>
          <w:p w14:paraId="6349BBA9" w14:textId="77777777" w:rsidR="005D462B" w:rsidRDefault="005D462B" w:rsidP="00F35937">
            <w:pPr>
              <w:spacing w:line="257" w:lineRule="auto"/>
              <w:rPr>
                <w:rFonts w:ascii="Calibri" w:eastAsia="Calibri" w:hAnsi="Calibri" w:cs="Calibri"/>
              </w:rPr>
            </w:pPr>
            <w:r>
              <w:rPr>
                <w:rFonts w:ascii="Calibri" w:eastAsia="Calibri" w:hAnsi="Calibri" w:cs="Calibri"/>
              </w:rPr>
              <w:t>0.0990</w:t>
            </w:r>
          </w:p>
        </w:tc>
        <w:tc>
          <w:tcPr>
            <w:tcW w:w="1774" w:type="dxa"/>
          </w:tcPr>
          <w:p w14:paraId="1EB13D47" w14:textId="6BEC617A" w:rsidR="005D462B" w:rsidRDefault="00810208" w:rsidP="000D16F3">
            <w:pPr>
              <w:spacing w:line="257" w:lineRule="auto"/>
              <w:rPr>
                <w:rFonts w:ascii="Calibri" w:eastAsia="Calibri" w:hAnsi="Calibri" w:cs="Calibri"/>
              </w:rPr>
            </w:pPr>
            <w:r>
              <w:rPr>
                <w:rFonts w:ascii="Calibri" w:eastAsia="Calibri" w:hAnsi="Calibri" w:cs="Calibri"/>
              </w:rPr>
              <w:t>1 (reference)</w:t>
            </w:r>
          </w:p>
        </w:tc>
      </w:tr>
      <w:tr w:rsidR="005D462B" w14:paraId="0E2EE592" w14:textId="77777777" w:rsidTr="00F35937">
        <w:tc>
          <w:tcPr>
            <w:tcW w:w="2014" w:type="dxa"/>
          </w:tcPr>
          <w:p w14:paraId="64CC6DC4" w14:textId="77777777" w:rsidR="005D462B" w:rsidRDefault="005D462B" w:rsidP="00F35937">
            <w:pPr>
              <w:spacing w:line="257" w:lineRule="auto"/>
              <w:rPr>
                <w:rFonts w:ascii="Calibri" w:eastAsia="Calibri" w:hAnsi="Calibri" w:cs="Calibri"/>
              </w:rPr>
            </w:pPr>
            <w:r>
              <w:rPr>
                <w:rFonts w:ascii="Calibri" w:eastAsia="Calibri" w:hAnsi="Calibri" w:cs="Calibri"/>
              </w:rPr>
              <w:t>3</w:t>
            </w:r>
          </w:p>
        </w:tc>
        <w:tc>
          <w:tcPr>
            <w:tcW w:w="1773" w:type="dxa"/>
          </w:tcPr>
          <w:p w14:paraId="119BD232" w14:textId="77777777" w:rsidR="005D462B" w:rsidRDefault="000D16F3" w:rsidP="00F35937">
            <w:pPr>
              <w:spacing w:line="257" w:lineRule="auto"/>
              <w:rPr>
                <w:rFonts w:ascii="Calibri" w:eastAsia="Calibri" w:hAnsi="Calibri" w:cs="Calibri"/>
              </w:rPr>
            </w:pPr>
            <w:r>
              <w:rPr>
                <w:rFonts w:ascii="Calibri" w:eastAsia="Calibri" w:hAnsi="Calibri" w:cs="Calibri"/>
              </w:rPr>
              <w:t>731/1,558</w:t>
            </w:r>
          </w:p>
        </w:tc>
        <w:tc>
          <w:tcPr>
            <w:tcW w:w="2015" w:type="dxa"/>
          </w:tcPr>
          <w:p w14:paraId="21DB8169" w14:textId="77777777" w:rsidR="005D462B" w:rsidRDefault="000D16F3" w:rsidP="000D16F3">
            <w:pPr>
              <w:spacing w:line="257" w:lineRule="auto"/>
              <w:rPr>
                <w:rFonts w:ascii="Calibri" w:eastAsia="Calibri" w:hAnsi="Calibri" w:cs="Calibri"/>
              </w:rPr>
            </w:pPr>
            <w:r>
              <w:rPr>
                <w:rFonts w:ascii="Calibri" w:eastAsia="Calibri" w:hAnsi="Calibri" w:cs="Calibri"/>
              </w:rPr>
              <w:t>29</w:t>
            </w:r>
            <w:r w:rsidR="005D462B">
              <w:rPr>
                <w:rFonts w:ascii="Calibri" w:eastAsia="Calibri" w:hAnsi="Calibri" w:cs="Calibri"/>
              </w:rPr>
              <w:t>.0 (</w:t>
            </w:r>
            <w:r>
              <w:rPr>
                <w:rFonts w:ascii="Calibri" w:eastAsia="Calibri" w:hAnsi="Calibri" w:cs="Calibri"/>
              </w:rPr>
              <w:t>26.0</w:t>
            </w:r>
            <w:r w:rsidR="005D462B">
              <w:rPr>
                <w:rFonts w:ascii="Calibri" w:eastAsia="Calibri" w:hAnsi="Calibri" w:cs="Calibri"/>
              </w:rPr>
              <w:t xml:space="preserve"> – </w:t>
            </w:r>
            <w:r>
              <w:rPr>
                <w:rFonts w:ascii="Calibri" w:eastAsia="Calibri" w:hAnsi="Calibri" w:cs="Calibri"/>
              </w:rPr>
              <w:t>32.0</w:t>
            </w:r>
            <w:r w:rsidR="005D462B">
              <w:rPr>
                <w:rFonts w:ascii="Calibri" w:eastAsia="Calibri" w:hAnsi="Calibri" w:cs="Calibri"/>
              </w:rPr>
              <w:t>)</w:t>
            </w:r>
          </w:p>
        </w:tc>
        <w:tc>
          <w:tcPr>
            <w:tcW w:w="1774" w:type="dxa"/>
          </w:tcPr>
          <w:p w14:paraId="7D006A4A" w14:textId="77777777" w:rsidR="005D462B" w:rsidRDefault="005D462B" w:rsidP="00F35937">
            <w:pPr>
              <w:spacing w:line="257" w:lineRule="auto"/>
              <w:rPr>
                <w:rFonts w:ascii="Calibri" w:eastAsia="Calibri" w:hAnsi="Calibri" w:cs="Calibri"/>
              </w:rPr>
            </w:pPr>
            <w:r>
              <w:rPr>
                <w:rFonts w:ascii="Calibri" w:eastAsia="Calibri" w:hAnsi="Calibri" w:cs="Calibri"/>
              </w:rPr>
              <w:t>0.1155</w:t>
            </w:r>
          </w:p>
        </w:tc>
        <w:tc>
          <w:tcPr>
            <w:tcW w:w="1774" w:type="dxa"/>
          </w:tcPr>
          <w:p w14:paraId="13FA8E39" w14:textId="38485644" w:rsidR="005D462B" w:rsidRDefault="00810208" w:rsidP="00F35937">
            <w:pPr>
              <w:spacing w:line="257" w:lineRule="auto"/>
              <w:rPr>
                <w:rFonts w:ascii="Calibri" w:eastAsia="Calibri" w:hAnsi="Calibri" w:cs="Calibri"/>
              </w:rPr>
            </w:pPr>
            <w:r>
              <w:rPr>
                <w:rFonts w:ascii="Calibri" w:eastAsia="Calibri" w:hAnsi="Calibri" w:cs="Calibri"/>
              </w:rPr>
              <w:t>1.241</w:t>
            </w:r>
            <w:r w:rsidR="00D66B2F">
              <w:rPr>
                <w:rFonts w:ascii="Calibri" w:eastAsia="Calibri" w:hAnsi="Calibri" w:cs="Calibri"/>
              </w:rPr>
              <w:t xml:space="preserve"> (1.080 – 1.429)</w:t>
            </w:r>
          </w:p>
        </w:tc>
      </w:tr>
      <w:tr w:rsidR="005D462B" w14:paraId="560514AB" w14:textId="77777777" w:rsidTr="00F35937">
        <w:tc>
          <w:tcPr>
            <w:tcW w:w="2014" w:type="dxa"/>
          </w:tcPr>
          <w:p w14:paraId="3829C2BE" w14:textId="77777777" w:rsidR="005D462B" w:rsidRDefault="005D462B" w:rsidP="00F35937">
            <w:pPr>
              <w:spacing w:line="257" w:lineRule="auto"/>
              <w:rPr>
                <w:rFonts w:ascii="Calibri" w:eastAsia="Calibri" w:hAnsi="Calibri" w:cs="Calibri"/>
              </w:rPr>
            </w:pPr>
            <w:r>
              <w:rPr>
                <w:rFonts w:ascii="Calibri" w:eastAsia="Calibri" w:hAnsi="Calibri" w:cs="Calibri"/>
              </w:rPr>
              <w:t>4+</w:t>
            </w:r>
          </w:p>
        </w:tc>
        <w:tc>
          <w:tcPr>
            <w:tcW w:w="1773" w:type="dxa"/>
          </w:tcPr>
          <w:p w14:paraId="3520CF69" w14:textId="77777777" w:rsidR="005D462B" w:rsidRDefault="000D16F3" w:rsidP="00F35937">
            <w:pPr>
              <w:spacing w:line="257" w:lineRule="auto"/>
              <w:rPr>
                <w:rFonts w:ascii="Calibri" w:eastAsia="Calibri" w:hAnsi="Calibri" w:cs="Calibri"/>
              </w:rPr>
            </w:pPr>
            <w:r>
              <w:rPr>
                <w:rFonts w:ascii="Calibri" w:eastAsia="Calibri" w:hAnsi="Calibri" w:cs="Calibri"/>
              </w:rPr>
              <w:t>423/850</w:t>
            </w:r>
          </w:p>
        </w:tc>
        <w:tc>
          <w:tcPr>
            <w:tcW w:w="2015" w:type="dxa"/>
          </w:tcPr>
          <w:p w14:paraId="46C1C78F" w14:textId="77777777" w:rsidR="005D462B" w:rsidRDefault="000D16F3" w:rsidP="000D16F3">
            <w:pPr>
              <w:spacing w:line="257" w:lineRule="auto"/>
              <w:rPr>
                <w:rFonts w:ascii="Calibri" w:eastAsia="Calibri" w:hAnsi="Calibri" w:cs="Calibri"/>
              </w:rPr>
            </w:pPr>
            <w:r>
              <w:rPr>
                <w:rFonts w:ascii="Calibri" w:eastAsia="Calibri" w:hAnsi="Calibri" w:cs="Calibri"/>
              </w:rPr>
              <w:t>23</w:t>
            </w:r>
            <w:r w:rsidR="005D462B">
              <w:rPr>
                <w:rFonts w:ascii="Calibri" w:eastAsia="Calibri" w:hAnsi="Calibri" w:cs="Calibri"/>
              </w:rPr>
              <w:t>.0 (</w:t>
            </w:r>
            <w:r>
              <w:rPr>
                <w:rFonts w:ascii="Calibri" w:eastAsia="Calibri" w:hAnsi="Calibri" w:cs="Calibri"/>
              </w:rPr>
              <w:t>2</w:t>
            </w:r>
            <w:r w:rsidR="005D462B">
              <w:rPr>
                <w:rFonts w:ascii="Calibri" w:eastAsia="Calibri" w:hAnsi="Calibri" w:cs="Calibri"/>
              </w:rPr>
              <w:t xml:space="preserve">1.0 – </w:t>
            </w:r>
            <w:r>
              <w:rPr>
                <w:rFonts w:ascii="Calibri" w:eastAsia="Calibri" w:hAnsi="Calibri" w:cs="Calibri"/>
              </w:rPr>
              <w:t>26</w:t>
            </w:r>
            <w:r w:rsidR="005D462B">
              <w:rPr>
                <w:rFonts w:ascii="Calibri" w:eastAsia="Calibri" w:hAnsi="Calibri" w:cs="Calibri"/>
              </w:rPr>
              <w:t>.0)</w:t>
            </w:r>
          </w:p>
        </w:tc>
        <w:tc>
          <w:tcPr>
            <w:tcW w:w="1774" w:type="dxa"/>
          </w:tcPr>
          <w:p w14:paraId="13119FAE" w14:textId="77777777" w:rsidR="005D462B" w:rsidRDefault="005D462B" w:rsidP="00F35937">
            <w:pPr>
              <w:spacing w:line="257" w:lineRule="auto"/>
              <w:rPr>
                <w:rFonts w:ascii="Calibri" w:eastAsia="Calibri" w:hAnsi="Calibri" w:cs="Calibri"/>
              </w:rPr>
            </w:pPr>
            <w:r>
              <w:rPr>
                <w:rFonts w:ascii="Calibri" w:eastAsia="Calibri" w:hAnsi="Calibri" w:cs="Calibri"/>
              </w:rPr>
              <w:t>0.0578</w:t>
            </w:r>
          </w:p>
        </w:tc>
        <w:tc>
          <w:tcPr>
            <w:tcW w:w="1774" w:type="dxa"/>
          </w:tcPr>
          <w:p w14:paraId="26278AD0" w14:textId="5D64B0C9" w:rsidR="005D462B" w:rsidRDefault="00810208" w:rsidP="00F35937">
            <w:pPr>
              <w:spacing w:line="257" w:lineRule="auto"/>
              <w:rPr>
                <w:rFonts w:ascii="Calibri" w:eastAsia="Calibri" w:hAnsi="Calibri" w:cs="Calibri"/>
              </w:rPr>
            </w:pPr>
            <w:r>
              <w:rPr>
                <w:rFonts w:ascii="Calibri" w:eastAsia="Calibri" w:hAnsi="Calibri" w:cs="Calibri"/>
              </w:rPr>
              <w:t>1.565</w:t>
            </w:r>
            <w:r w:rsidR="00D66B2F">
              <w:rPr>
                <w:rFonts w:ascii="Calibri" w:eastAsia="Calibri" w:hAnsi="Calibri" w:cs="Calibri"/>
              </w:rPr>
              <w:t xml:space="preserve"> (1.356 – 1.815)</w:t>
            </w:r>
          </w:p>
        </w:tc>
      </w:tr>
    </w:tbl>
    <w:p w14:paraId="1BF6CC6C" w14:textId="77777777" w:rsidR="00F963A5" w:rsidRDefault="00F963A5" w:rsidP="009057BD">
      <w:pPr>
        <w:spacing w:line="257" w:lineRule="auto"/>
        <w:rPr>
          <w:rFonts w:ascii="Calibri" w:eastAsia="Calibri" w:hAnsi="Calibri" w:cs="Calibri"/>
        </w:rPr>
      </w:pPr>
    </w:p>
    <w:p w14:paraId="660D1F14" w14:textId="77777777" w:rsidR="00505F7F" w:rsidRDefault="00DC79A1" w:rsidP="009057BD">
      <w:pPr>
        <w:spacing w:line="257" w:lineRule="auto"/>
        <w:rPr>
          <w:rFonts w:ascii="Calibri" w:eastAsia="Calibri" w:hAnsi="Calibri" w:cs="Calibri"/>
        </w:rPr>
      </w:pPr>
      <w:r w:rsidRPr="00DC79A1">
        <w:rPr>
          <w:rFonts w:ascii="Calibri" w:eastAsia="Calibri" w:hAnsi="Calibri" w:cs="Calibri"/>
        </w:rPr>
        <w:t xml:space="preserve">Since </w:t>
      </w:r>
      <w:r>
        <w:rPr>
          <w:rFonts w:ascii="Calibri" w:eastAsia="Calibri" w:hAnsi="Calibri" w:cs="Calibri"/>
        </w:rPr>
        <w:t>the line of treatment variable has four categories rather than the cytogenetic risk variable that had two, the standardization equations become a bit more complicated and are shown below.</w:t>
      </w:r>
    </w:p>
    <w:p w14:paraId="206E25EC" w14:textId="77777777" w:rsidR="003F17BD" w:rsidRPr="003F17BD" w:rsidRDefault="003F17BD" w:rsidP="00905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3CB1988A" w14:textId="77777777" w:rsidR="003F17BD" w:rsidRPr="003F17BD"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0435BCC1" w14:textId="77777777" w:rsidR="003F17BD" w:rsidRPr="003F17BD"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4</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1C96EAB1" w14:textId="77777777" w:rsidR="003F17BD" w:rsidRPr="003F17BD"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r>
            <w:rPr>
              <w:rFonts w:ascii="Cambria Math" w:eastAsia="Calibri" w:hAnsi="Cambria Math" w:cs="Calibri"/>
            </w:rPr>
            <m:t xml:space="preserve"> </m:t>
          </m:r>
        </m:oMath>
      </m:oMathPara>
    </w:p>
    <w:p w14:paraId="64B65314" w14:textId="77777777" w:rsidR="003F17BD" w:rsidRDefault="003F17BD" w:rsidP="009057BD">
      <w:pPr>
        <w:spacing w:line="257" w:lineRule="auto"/>
        <w:rPr>
          <w:rFonts w:ascii="Calibri" w:eastAsia="Calibri" w:hAnsi="Calibri" w:cs="Calibri"/>
        </w:rPr>
      </w:pPr>
      <w:r>
        <w:rPr>
          <w:rFonts w:ascii="Calibri" w:eastAsia="Calibri" w:hAnsi="Calibri" w:cs="Calibri"/>
        </w:rPr>
        <w:t>So,</w:t>
      </w:r>
    </w:p>
    <w:p w14:paraId="419E0ABF" w14:textId="77777777" w:rsidR="003F17BD" w:rsidRPr="00646941" w:rsidRDefault="003F17BD" w:rsidP="009057BD">
      <w:pPr>
        <w:spacing w:line="257" w:lineRule="auto"/>
        <w:rPr>
          <w:rFonts w:ascii="Calibri" w:eastAsia="Calibri" w:hAnsi="Calibri" w:cs="Calibri"/>
        </w:rPr>
      </w:pPr>
      <m:oMathPara>
        <m:oMath>
          <m:r>
            <w:rPr>
              <w:rFonts w:ascii="Cambria Math" w:eastAsia="Calibri" w:hAnsi="Cambria Math" w:cs="Calibri"/>
            </w:rPr>
            <m:t>h=</m:t>
          </m:r>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 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m:t>
          </m:r>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m:t>
          </m:r>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oMath>
      </m:oMathPara>
    </w:p>
    <w:p w14:paraId="670F0B1D" w14:textId="77777777" w:rsidR="00646941" w:rsidRPr="003F17BD" w:rsidRDefault="00646941" w:rsidP="009057BD">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h</m:t>
              </m:r>
            </m:num>
            <m:den>
              <m:sSub>
                <m:sSubPr>
                  <m:ctrlPr>
                    <w:rPr>
                      <w:rFonts w:ascii="Cambria Math" w:eastAsia="Calibri" w:hAnsi="Cambria Math" w:cs="Calibri"/>
                      <w:i/>
                    </w:rPr>
                  </m:ctrlPr>
                </m:sSubPr>
                <m:e>
                  <m:r>
                    <w:rPr>
                      <w:rFonts w:ascii="Cambria Math" w:eastAsia="Calibri" w:hAnsi="Cambria Math" w:cs="Calibri"/>
                    </w:rPr>
                    <m:t>H</m:t>
                  </m:r>
                  <m:r>
                    <w:rPr>
                      <w:rFonts w:ascii="Cambria Math" w:eastAsia="Calibri" w:hAnsi="Cambria Math" w:cs="Calibri"/>
                    </w:rPr>
                    <m:t>R</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den>
          </m:f>
        </m:oMath>
      </m:oMathPara>
    </w:p>
    <w:p w14:paraId="472A4D8C" w14:textId="77777777" w:rsidR="00646941" w:rsidRDefault="00646941" w:rsidP="009057BD">
      <w:pPr>
        <w:spacing w:line="257" w:lineRule="auto"/>
        <w:rPr>
          <w:rFonts w:ascii="Calibri" w:eastAsia="Calibri" w:hAnsi="Calibri" w:cs="Calibri"/>
        </w:rPr>
      </w:pPr>
    </w:p>
    <w:p w14:paraId="3CEDD0EC" w14:textId="77777777" w:rsidR="0088218D" w:rsidRDefault="0088218D" w:rsidP="00C745B4">
      <w:pPr>
        <w:spacing w:line="257" w:lineRule="auto"/>
        <w:rPr>
          <w:rFonts w:ascii="Calibri" w:eastAsia="Calibri" w:hAnsi="Calibri" w:cs="Calibri"/>
        </w:rPr>
      </w:pPr>
    </w:p>
    <w:tbl>
      <w:tblPr>
        <w:tblStyle w:val="TableGrid"/>
        <w:tblW w:w="0" w:type="auto"/>
        <w:tblLook w:val="04A0" w:firstRow="1" w:lastRow="0" w:firstColumn="1" w:lastColumn="0" w:noHBand="0" w:noVBand="1"/>
      </w:tblPr>
      <w:tblGrid>
        <w:gridCol w:w="3116"/>
        <w:gridCol w:w="3117"/>
        <w:gridCol w:w="3117"/>
      </w:tblGrid>
      <w:tr w:rsidR="003D699F" w14:paraId="01206FB5" w14:textId="77777777" w:rsidTr="003D699F">
        <w:tc>
          <w:tcPr>
            <w:tcW w:w="3116" w:type="dxa"/>
          </w:tcPr>
          <w:p w14:paraId="0A74B824" w14:textId="77777777" w:rsidR="003D699F" w:rsidRPr="003D699F" w:rsidRDefault="003D699F" w:rsidP="00C745B4">
            <w:pPr>
              <w:spacing w:line="257" w:lineRule="auto"/>
              <w:rPr>
                <w:rFonts w:ascii="Calibri" w:eastAsia="Calibri" w:hAnsi="Calibri" w:cs="Calibri"/>
                <w:b/>
              </w:rPr>
            </w:pPr>
            <w:r w:rsidRPr="003D699F">
              <w:rPr>
                <w:rFonts w:ascii="Calibri" w:eastAsia="Calibri" w:hAnsi="Calibri" w:cs="Calibri"/>
                <w:b/>
              </w:rPr>
              <w:t>Trial</w:t>
            </w:r>
          </w:p>
        </w:tc>
        <w:tc>
          <w:tcPr>
            <w:tcW w:w="3117" w:type="dxa"/>
          </w:tcPr>
          <w:p w14:paraId="3AC8FEB7" w14:textId="77777777" w:rsidR="003D699F" w:rsidRPr="003D699F" w:rsidRDefault="003D699F" w:rsidP="00C745B4">
            <w:pPr>
              <w:spacing w:line="257" w:lineRule="auto"/>
              <w:rPr>
                <w:rFonts w:ascii="Calibri" w:eastAsia="Calibri" w:hAnsi="Calibri" w:cs="Calibri"/>
                <w:b/>
              </w:rPr>
            </w:pPr>
            <w:r w:rsidRPr="003D699F">
              <w:rPr>
                <w:rFonts w:ascii="Calibri" w:eastAsia="Calibri" w:hAnsi="Calibri" w:cs="Calibri"/>
                <w:b/>
              </w:rPr>
              <w:t xml:space="preserve">PFS HR </w:t>
            </w:r>
          </w:p>
        </w:tc>
        <w:tc>
          <w:tcPr>
            <w:tcW w:w="3117" w:type="dxa"/>
          </w:tcPr>
          <w:p w14:paraId="4BE090D1" w14:textId="77777777" w:rsidR="003D699F" w:rsidRPr="003D699F" w:rsidRDefault="003D699F" w:rsidP="00C745B4">
            <w:pPr>
              <w:spacing w:line="257" w:lineRule="auto"/>
              <w:rPr>
                <w:rFonts w:ascii="Calibri" w:eastAsia="Calibri" w:hAnsi="Calibri" w:cs="Calibri"/>
                <w:b/>
              </w:rPr>
            </w:pPr>
            <w:r w:rsidRPr="003D699F">
              <w:rPr>
                <w:rFonts w:ascii="Calibri" w:eastAsia="Calibri" w:hAnsi="Calibri" w:cs="Calibri"/>
                <w:b/>
              </w:rPr>
              <w:t>OS HR</w:t>
            </w:r>
          </w:p>
        </w:tc>
      </w:tr>
      <w:tr w:rsidR="003D699F" w14:paraId="2EB58F85" w14:textId="77777777" w:rsidTr="003D699F">
        <w:tc>
          <w:tcPr>
            <w:tcW w:w="3116" w:type="dxa"/>
          </w:tcPr>
          <w:p w14:paraId="546A14B2" w14:textId="77777777" w:rsidR="003D699F" w:rsidRDefault="003D699F" w:rsidP="00C745B4">
            <w:pPr>
              <w:spacing w:line="257" w:lineRule="auto"/>
              <w:rPr>
                <w:rFonts w:ascii="Calibri" w:eastAsia="Calibri" w:hAnsi="Calibri" w:cs="Calibri"/>
              </w:rPr>
            </w:pPr>
            <w:r>
              <w:rPr>
                <w:rFonts w:ascii="Calibri" w:eastAsia="Calibri" w:hAnsi="Calibri" w:cs="Calibri"/>
              </w:rPr>
              <w:t>ICARIA</w:t>
            </w:r>
          </w:p>
        </w:tc>
        <w:tc>
          <w:tcPr>
            <w:tcW w:w="3117" w:type="dxa"/>
          </w:tcPr>
          <w:p w14:paraId="04A8D55F" w14:textId="098ABEBD" w:rsidR="003D699F" w:rsidRDefault="008133B9" w:rsidP="00C745B4">
            <w:pPr>
              <w:spacing w:line="257" w:lineRule="auto"/>
              <w:rPr>
                <w:rFonts w:ascii="Calibri" w:eastAsia="Calibri" w:hAnsi="Calibri" w:cs="Calibri"/>
              </w:rPr>
            </w:pPr>
            <w:r>
              <w:rPr>
                <w:rFonts w:ascii="Calibri" w:eastAsia="Calibri" w:hAnsi="Calibri" w:cs="Calibri"/>
              </w:rPr>
              <w:t>0.667 (0.537 – 0.836)</w:t>
            </w:r>
          </w:p>
        </w:tc>
        <w:tc>
          <w:tcPr>
            <w:tcW w:w="3117" w:type="dxa"/>
          </w:tcPr>
          <w:p w14:paraId="5C0E613F" w14:textId="6B28F58D" w:rsidR="003D699F" w:rsidRDefault="008133B9" w:rsidP="00C745B4">
            <w:pPr>
              <w:spacing w:line="257" w:lineRule="auto"/>
              <w:rPr>
                <w:rFonts w:ascii="Calibri" w:eastAsia="Calibri" w:hAnsi="Calibri" w:cs="Calibri"/>
              </w:rPr>
            </w:pPr>
            <w:r>
              <w:rPr>
                <w:rFonts w:ascii="Calibri" w:eastAsia="Calibri" w:hAnsi="Calibri" w:cs="Calibri"/>
              </w:rPr>
              <w:t>1.159 (1.044 – 1.185)</w:t>
            </w:r>
          </w:p>
        </w:tc>
      </w:tr>
      <w:tr w:rsidR="003D699F" w14:paraId="41BB71ED" w14:textId="77777777" w:rsidTr="003D699F">
        <w:tc>
          <w:tcPr>
            <w:tcW w:w="3116" w:type="dxa"/>
          </w:tcPr>
          <w:p w14:paraId="064FAECC" w14:textId="77777777" w:rsidR="003D699F" w:rsidRDefault="003D699F" w:rsidP="00C745B4">
            <w:pPr>
              <w:spacing w:line="257" w:lineRule="auto"/>
              <w:rPr>
                <w:rFonts w:ascii="Calibri" w:eastAsia="Calibri" w:hAnsi="Calibri" w:cs="Calibri"/>
              </w:rPr>
            </w:pPr>
            <w:r>
              <w:rPr>
                <w:rFonts w:ascii="Calibri" w:eastAsia="Calibri" w:hAnsi="Calibri" w:cs="Calibri"/>
              </w:rPr>
              <w:t>IKEMA</w:t>
            </w:r>
          </w:p>
        </w:tc>
        <w:tc>
          <w:tcPr>
            <w:tcW w:w="3117" w:type="dxa"/>
          </w:tcPr>
          <w:p w14:paraId="39F1748B" w14:textId="3981B725" w:rsidR="003D699F" w:rsidRDefault="003D699F" w:rsidP="008133B9">
            <w:pPr>
              <w:spacing w:line="257" w:lineRule="auto"/>
              <w:rPr>
                <w:rFonts w:ascii="Calibri" w:eastAsia="Calibri" w:hAnsi="Calibri" w:cs="Calibri"/>
              </w:rPr>
            </w:pPr>
            <w:r>
              <w:rPr>
                <w:rFonts w:ascii="Calibri" w:eastAsia="Calibri" w:hAnsi="Calibri" w:cs="Calibri"/>
              </w:rPr>
              <w:t>0.</w:t>
            </w:r>
            <w:r w:rsidR="008133B9">
              <w:rPr>
                <w:rFonts w:ascii="Calibri" w:eastAsia="Calibri" w:hAnsi="Calibri" w:cs="Calibri"/>
              </w:rPr>
              <w:t>395 (0.349 – 0.447)</w:t>
            </w:r>
          </w:p>
        </w:tc>
        <w:tc>
          <w:tcPr>
            <w:tcW w:w="3117" w:type="dxa"/>
          </w:tcPr>
          <w:p w14:paraId="7F10C751" w14:textId="26DBDE9F" w:rsidR="003D699F" w:rsidRDefault="003C46C2" w:rsidP="008133B9">
            <w:pPr>
              <w:spacing w:line="257" w:lineRule="auto"/>
              <w:rPr>
                <w:rFonts w:ascii="Calibri" w:eastAsia="Calibri" w:hAnsi="Calibri" w:cs="Calibri"/>
              </w:rPr>
            </w:pPr>
            <w:r>
              <w:rPr>
                <w:rFonts w:ascii="Calibri" w:eastAsia="Calibri" w:hAnsi="Calibri" w:cs="Calibri"/>
              </w:rPr>
              <w:t>Not estimated</w:t>
            </w:r>
          </w:p>
        </w:tc>
      </w:tr>
      <w:tr w:rsidR="003D699F" w14:paraId="176DBBA8" w14:textId="77777777" w:rsidTr="003D699F">
        <w:tc>
          <w:tcPr>
            <w:tcW w:w="3116" w:type="dxa"/>
          </w:tcPr>
          <w:p w14:paraId="4F0E628B" w14:textId="77777777" w:rsidR="003D699F" w:rsidRDefault="003D699F" w:rsidP="00C745B4">
            <w:pPr>
              <w:spacing w:line="257" w:lineRule="auto"/>
              <w:rPr>
                <w:rFonts w:ascii="Calibri" w:eastAsia="Calibri" w:hAnsi="Calibri" w:cs="Calibri"/>
              </w:rPr>
            </w:pPr>
            <w:r>
              <w:rPr>
                <w:rFonts w:ascii="Calibri" w:eastAsia="Calibri" w:hAnsi="Calibri" w:cs="Calibri"/>
              </w:rPr>
              <w:t>POLLUX</w:t>
            </w:r>
          </w:p>
        </w:tc>
        <w:tc>
          <w:tcPr>
            <w:tcW w:w="3117" w:type="dxa"/>
          </w:tcPr>
          <w:p w14:paraId="75E75957" w14:textId="43615D9B" w:rsidR="003D699F" w:rsidRDefault="008133B9" w:rsidP="00C745B4">
            <w:pPr>
              <w:spacing w:line="257" w:lineRule="auto"/>
              <w:rPr>
                <w:rFonts w:ascii="Calibri" w:eastAsia="Calibri" w:hAnsi="Calibri" w:cs="Calibri"/>
              </w:rPr>
            </w:pPr>
            <w:r>
              <w:rPr>
                <w:rFonts w:ascii="Calibri" w:eastAsia="Calibri" w:hAnsi="Calibri" w:cs="Calibri"/>
              </w:rPr>
              <w:t>0.217 (</w:t>
            </w:r>
            <w:r w:rsidR="003C46C2">
              <w:rPr>
                <w:rFonts w:ascii="Calibri" w:eastAsia="Calibri" w:hAnsi="Calibri" w:cs="Calibri"/>
              </w:rPr>
              <w:t>0.201 – 0.231</w:t>
            </w:r>
            <w:r>
              <w:rPr>
                <w:rFonts w:ascii="Calibri" w:eastAsia="Calibri" w:hAnsi="Calibri" w:cs="Calibri"/>
              </w:rPr>
              <w:t>)</w:t>
            </w:r>
          </w:p>
        </w:tc>
        <w:tc>
          <w:tcPr>
            <w:tcW w:w="3117" w:type="dxa"/>
          </w:tcPr>
          <w:p w14:paraId="475B5F8F" w14:textId="1F716B15" w:rsidR="003D699F" w:rsidRDefault="003D699F" w:rsidP="00C745B4">
            <w:pPr>
              <w:spacing w:line="257" w:lineRule="auto"/>
              <w:rPr>
                <w:rFonts w:ascii="Calibri" w:eastAsia="Calibri" w:hAnsi="Calibri" w:cs="Calibri"/>
              </w:rPr>
            </w:pPr>
            <w:r>
              <w:rPr>
                <w:rFonts w:ascii="Calibri" w:eastAsia="Calibri" w:hAnsi="Calibri" w:cs="Calibri"/>
              </w:rPr>
              <w:t>0.57</w:t>
            </w:r>
            <w:r w:rsidR="008133B9">
              <w:rPr>
                <w:rFonts w:ascii="Calibri" w:eastAsia="Calibri" w:hAnsi="Calibri" w:cs="Calibri"/>
              </w:rPr>
              <w:t>3 (</w:t>
            </w:r>
            <w:r w:rsidR="003C46C2">
              <w:rPr>
                <w:rFonts w:ascii="Calibri" w:eastAsia="Calibri" w:hAnsi="Calibri" w:cs="Calibri"/>
              </w:rPr>
              <w:t>0.550 – 0.595</w:t>
            </w:r>
            <w:r w:rsidR="008133B9">
              <w:rPr>
                <w:rFonts w:ascii="Calibri" w:eastAsia="Calibri" w:hAnsi="Calibri" w:cs="Calibri"/>
              </w:rPr>
              <w:t>)</w:t>
            </w:r>
          </w:p>
        </w:tc>
      </w:tr>
    </w:tbl>
    <w:p w14:paraId="67C4D32D" w14:textId="42788216" w:rsidR="0088218D" w:rsidRDefault="0088218D" w:rsidP="00C745B4">
      <w:pPr>
        <w:spacing w:line="257" w:lineRule="auto"/>
        <w:rPr>
          <w:rFonts w:ascii="Calibri" w:eastAsia="Calibri" w:hAnsi="Calibri" w:cs="Calibri"/>
        </w:rPr>
      </w:pPr>
    </w:p>
    <w:p w14:paraId="24237018" w14:textId="5262101B" w:rsidR="000E586C" w:rsidRDefault="000E586C" w:rsidP="00C745B4">
      <w:pPr>
        <w:spacing w:line="257" w:lineRule="auto"/>
        <w:rPr>
          <w:rFonts w:ascii="Calibri" w:eastAsia="Calibri" w:hAnsi="Calibri" w:cs="Calibri"/>
        </w:rPr>
      </w:pPr>
      <w:r>
        <w:rPr>
          <w:rFonts w:ascii="Calibri" w:eastAsia="Calibri" w:hAnsi="Calibri" w:cs="Calibri"/>
        </w:rPr>
        <w:t>For a given line of treatment:</w:t>
      </w:r>
    </w:p>
    <w:p w14:paraId="56614D3F" w14:textId="46478453" w:rsidR="000E586C" w:rsidRPr="007757F9" w:rsidRDefault="000E586C" w:rsidP="00C745B4">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pollux</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icaria</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num>
            <m:den>
              <m:r>
                <w:rPr>
                  <w:rFonts w:ascii="Cambria Math" w:eastAsia="Calibri" w:hAnsi="Cambria Math" w:cs="Calibri"/>
                </w:rPr>
                <m:t>2</m:t>
              </m:r>
            </m:den>
          </m:f>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ikema</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num>
            <m:den>
              <m:r>
                <w:rPr>
                  <w:rFonts w:ascii="Cambria Math" w:eastAsia="Calibri" w:hAnsi="Cambria Math" w:cs="Calibri"/>
                </w:rPr>
                <m:t>2</m:t>
              </m:r>
            </m:den>
          </m:f>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residual</m:t>
              </m:r>
            </m:sub>
          </m:sSub>
        </m:oMath>
      </m:oMathPara>
    </w:p>
    <w:p w14:paraId="40AC493B" w14:textId="2C82378C" w:rsidR="007757F9" w:rsidRDefault="007757F9" w:rsidP="00C745B4">
      <w:pPr>
        <w:spacing w:line="257" w:lineRule="auto"/>
        <w:rPr>
          <w:rFonts w:ascii="Calibri" w:eastAsia="Calibri" w:hAnsi="Calibri" w:cs="Calibri"/>
        </w:rPr>
      </w:pPr>
    </w:p>
    <w:p w14:paraId="1A99CAE8" w14:textId="5494F2A1" w:rsidR="007757F9" w:rsidRPr="007757F9" w:rsidRDefault="007757F9" w:rsidP="00C745B4">
      <w:pPr>
        <w:spacing w:line="257" w:lineRule="auto"/>
        <w:rPr>
          <w:rFonts w:ascii="Calibri" w:eastAsia="Calibri" w:hAnsi="Calibri" w:cs="Calibri"/>
          <w:b/>
        </w:rPr>
      </w:pPr>
      <w:r>
        <w:rPr>
          <w:rFonts w:ascii="Calibri" w:eastAsia="Calibri" w:hAnsi="Calibri" w:cs="Calibri"/>
          <w:b/>
        </w:rPr>
        <w:t>Final Values</w:t>
      </w:r>
    </w:p>
    <w:tbl>
      <w:tblPr>
        <w:tblStyle w:val="TableGrid"/>
        <w:tblW w:w="0" w:type="auto"/>
        <w:tblLook w:val="04A0" w:firstRow="1" w:lastRow="0" w:firstColumn="1" w:lastColumn="0" w:noHBand="0" w:noVBand="1"/>
      </w:tblPr>
      <w:tblGrid>
        <w:gridCol w:w="2355"/>
        <w:gridCol w:w="1833"/>
        <w:gridCol w:w="1804"/>
        <w:gridCol w:w="1679"/>
        <w:gridCol w:w="1679"/>
      </w:tblGrid>
      <w:tr w:rsidR="003D699F" w14:paraId="2C27B383" w14:textId="77777777" w:rsidTr="003D699F">
        <w:tc>
          <w:tcPr>
            <w:tcW w:w="2355" w:type="dxa"/>
          </w:tcPr>
          <w:p w14:paraId="04E65991" w14:textId="77777777" w:rsidR="003D699F" w:rsidRPr="003D699F" w:rsidRDefault="003D699F" w:rsidP="00C745B4">
            <w:pPr>
              <w:spacing w:line="257" w:lineRule="auto"/>
              <w:rPr>
                <w:rFonts w:ascii="Calibri" w:eastAsia="Calibri" w:hAnsi="Calibri" w:cs="Calibri"/>
                <w:b/>
              </w:rPr>
            </w:pPr>
            <w:r w:rsidRPr="003D699F">
              <w:rPr>
                <w:rFonts w:ascii="Calibri" w:eastAsia="Calibri" w:hAnsi="Calibri" w:cs="Calibri"/>
                <w:b/>
              </w:rPr>
              <w:t>Treatment category</w:t>
            </w:r>
          </w:p>
        </w:tc>
        <w:tc>
          <w:tcPr>
            <w:tcW w:w="1833" w:type="dxa"/>
          </w:tcPr>
          <w:p w14:paraId="1406B897" w14:textId="77777777" w:rsidR="003D699F" w:rsidRPr="003D699F" w:rsidRDefault="003D699F" w:rsidP="00C745B4">
            <w:pPr>
              <w:spacing w:line="257" w:lineRule="auto"/>
              <w:rPr>
                <w:rFonts w:ascii="Calibri" w:eastAsia="Calibri" w:hAnsi="Calibri" w:cs="Calibri"/>
                <w:b/>
              </w:rPr>
            </w:pPr>
            <w:r w:rsidRPr="003D699F">
              <w:rPr>
                <w:rFonts w:ascii="Calibri" w:eastAsia="Calibri" w:hAnsi="Calibri" w:cs="Calibri"/>
                <w:b/>
              </w:rPr>
              <w:t xml:space="preserve">PFS HR </w:t>
            </w:r>
          </w:p>
        </w:tc>
        <w:tc>
          <w:tcPr>
            <w:tcW w:w="1804" w:type="dxa"/>
          </w:tcPr>
          <w:p w14:paraId="60E43313" w14:textId="77777777" w:rsidR="003D699F" w:rsidRPr="003D699F" w:rsidRDefault="003D699F" w:rsidP="00C745B4">
            <w:pPr>
              <w:spacing w:line="257" w:lineRule="auto"/>
              <w:rPr>
                <w:rFonts w:ascii="Calibri" w:eastAsia="Calibri" w:hAnsi="Calibri" w:cs="Calibri"/>
                <w:b/>
              </w:rPr>
            </w:pPr>
            <w:r w:rsidRPr="003D699F">
              <w:rPr>
                <w:rFonts w:ascii="Calibri" w:eastAsia="Calibri" w:hAnsi="Calibri" w:cs="Calibri"/>
                <w:b/>
              </w:rPr>
              <w:t>OS HR</w:t>
            </w:r>
          </w:p>
        </w:tc>
        <w:tc>
          <w:tcPr>
            <w:tcW w:w="1679" w:type="dxa"/>
          </w:tcPr>
          <w:p w14:paraId="2D883EEA" w14:textId="77777777" w:rsidR="003D699F" w:rsidRPr="003D699F" w:rsidRDefault="003D699F" w:rsidP="00C745B4">
            <w:pPr>
              <w:spacing w:line="257" w:lineRule="auto"/>
              <w:rPr>
                <w:rFonts w:ascii="Calibri" w:eastAsia="Calibri" w:hAnsi="Calibri" w:cs="Calibri"/>
                <w:b/>
              </w:rPr>
            </w:pPr>
            <w:r w:rsidRPr="003D699F">
              <w:rPr>
                <w:rFonts w:ascii="Calibri" w:eastAsia="Calibri" w:hAnsi="Calibri" w:cs="Calibri"/>
                <w:b/>
              </w:rPr>
              <w:t>PFS HR (retreated)</w:t>
            </w:r>
          </w:p>
        </w:tc>
        <w:tc>
          <w:tcPr>
            <w:tcW w:w="1679" w:type="dxa"/>
          </w:tcPr>
          <w:p w14:paraId="5EE256C5" w14:textId="77777777" w:rsidR="003D699F" w:rsidRPr="003D699F" w:rsidRDefault="003D699F" w:rsidP="00C745B4">
            <w:pPr>
              <w:spacing w:line="257" w:lineRule="auto"/>
              <w:rPr>
                <w:rFonts w:ascii="Calibri" w:eastAsia="Calibri" w:hAnsi="Calibri" w:cs="Calibri"/>
                <w:b/>
              </w:rPr>
            </w:pPr>
            <w:r w:rsidRPr="003D699F">
              <w:rPr>
                <w:rFonts w:ascii="Calibri" w:eastAsia="Calibri" w:hAnsi="Calibri" w:cs="Calibri"/>
                <w:b/>
              </w:rPr>
              <w:t>OS HR (retreated)</w:t>
            </w:r>
          </w:p>
        </w:tc>
      </w:tr>
      <w:tr w:rsidR="003D699F" w14:paraId="278754F8" w14:textId="77777777" w:rsidTr="003D699F">
        <w:tc>
          <w:tcPr>
            <w:tcW w:w="2355" w:type="dxa"/>
          </w:tcPr>
          <w:p w14:paraId="0A1E6A4E" w14:textId="77777777" w:rsidR="003D699F" w:rsidRDefault="003D699F" w:rsidP="00C745B4">
            <w:pPr>
              <w:spacing w:line="257" w:lineRule="auto"/>
              <w:rPr>
                <w:rFonts w:ascii="Calibri" w:eastAsia="Calibri" w:hAnsi="Calibri" w:cs="Calibri"/>
              </w:rPr>
            </w:pPr>
            <w:r>
              <w:rPr>
                <w:rFonts w:ascii="Calibri" w:eastAsia="Calibri" w:hAnsi="Calibri" w:cs="Calibri"/>
              </w:rPr>
              <w:t>All  categories combined</w:t>
            </w:r>
          </w:p>
        </w:tc>
        <w:tc>
          <w:tcPr>
            <w:tcW w:w="1833" w:type="dxa"/>
          </w:tcPr>
          <w:p w14:paraId="4BE0F146" w14:textId="77777777" w:rsidR="003D699F" w:rsidRDefault="003D699F" w:rsidP="00C745B4">
            <w:pPr>
              <w:spacing w:line="257" w:lineRule="auto"/>
              <w:rPr>
                <w:rFonts w:ascii="Calibri" w:eastAsia="Calibri" w:hAnsi="Calibri" w:cs="Calibri"/>
              </w:rPr>
            </w:pPr>
            <w:r>
              <w:rPr>
                <w:rFonts w:ascii="Calibri" w:eastAsia="Calibri" w:hAnsi="Calibri" w:cs="Calibri"/>
              </w:rPr>
              <w:t>1 (reference)</w:t>
            </w:r>
          </w:p>
        </w:tc>
        <w:tc>
          <w:tcPr>
            <w:tcW w:w="1804" w:type="dxa"/>
          </w:tcPr>
          <w:p w14:paraId="0F94FA73" w14:textId="77777777" w:rsidR="003D699F" w:rsidRDefault="003D699F" w:rsidP="00C745B4">
            <w:pPr>
              <w:spacing w:line="257" w:lineRule="auto"/>
              <w:rPr>
                <w:rFonts w:ascii="Calibri" w:eastAsia="Calibri" w:hAnsi="Calibri" w:cs="Calibri"/>
              </w:rPr>
            </w:pPr>
            <w:r>
              <w:rPr>
                <w:rFonts w:ascii="Calibri" w:eastAsia="Calibri" w:hAnsi="Calibri" w:cs="Calibri"/>
              </w:rPr>
              <w:t>1 (reference)</w:t>
            </w:r>
          </w:p>
        </w:tc>
        <w:tc>
          <w:tcPr>
            <w:tcW w:w="1679" w:type="dxa"/>
          </w:tcPr>
          <w:p w14:paraId="6158D675" w14:textId="77777777" w:rsidR="003D699F" w:rsidRDefault="003D699F" w:rsidP="00C745B4">
            <w:pPr>
              <w:spacing w:line="257" w:lineRule="auto"/>
              <w:rPr>
                <w:rFonts w:ascii="Calibri" w:eastAsia="Calibri" w:hAnsi="Calibri" w:cs="Calibri"/>
              </w:rPr>
            </w:pPr>
            <w:r>
              <w:rPr>
                <w:rFonts w:ascii="Calibri" w:eastAsia="Calibri" w:hAnsi="Calibri" w:cs="Calibri"/>
              </w:rPr>
              <w:t>1 (reference)</w:t>
            </w:r>
          </w:p>
        </w:tc>
        <w:tc>
          <w:tcPr>
            <w:tcW w:w="1679" w:type="dxa"/>
          </w:tcPr>
          <w:p w14:paraId="282827B0" w14:textId="77777777" w:rsidR="003D699F" w:rsidRDefault="003D699F" w:rsidP="00C745B4">
            <w:pPr>
              <w:spacing w:line="257" w:lineRule="auto"/>
              <w:rPr>
                <w:rFonts w:ascii="Calibri" w:eastAsia="Calibri" w:hAnsi="Calibri" w:cs="Calibri"/>
              </w:rPr>
            </w:pPr>
            <w:r>
              <w:rPr>
                <w:rFonts w:ascii="Calibri" w:eastAsia="Calibri" w:hAnsi="Calibri" w:cs="Calibri"/>
              </w:rPr>
              <w:t>1 (reference)</w:t>
            </w:r>
          </w:p>
        </w:tc>
      </w:tr>
      <w:tr w:rsidR="003D699F" w14:paraId="07362F18" w14:textId="77777777" w:rsidTr="003D699F">
        <w:tc>
          <w:tcPr>
            <w:tcW w:w="2355" w:type="dxa"/>
          </w:tcPr>
          <w:p w14:paraId="0DD37342" w14:textId="77777777" w:rsidR="003D699F" w:rsidRDefault="003D699F" w:rsidP="00C745B4">
            <w:pPr>
              <w:spacing w:line="257" w:lineRule="auto"/>
              <w:rPr>
                <w:rFonts w:ascii="Calibri" w:eastAsia="Calibri" w:hAnsi="Calibri" w:cs="Calibri"/>
              </w:rPr>
            </w:pPr>
            <w:r>
              <w:rPr>
                <w:rFonts w:ascii="Calibri" w:eastAsia="Calibri" w:hAnsi="Calibri" w:cs="Calibri"/>
              </w:rPr>
              <w:t>Isatuxamib-containing treatment category</w:t>
            </w:r>
          </w:p>
        </w:tc>
        <w:tc>
          <w:tcPr>
            <w:tcW w:w="1833" w:type="dxa"/>
          </w:tcPr>
          <w:p w14:paraId="03F95132" w14:textId="3BB547AD" w:rsidR="003D699F" w:rsidRDefault="008133B9" w:rsidP="00C745B4">
            <w:pPr>
              <w:spacing w:line="257" w:lineRule="auto"/>
              <w:rPr>
                <w:rFonts w:ascii="Calibri" w:eastAsia="Calibri" w:hAnsi="Calibri" w:cs="Calibri"/>
              </w:rPr>
            </w:pPr>
            <w:r>
              <w:rPr>
                <w:rFonts w:ascii="Calibri" w:eastAsia="Calibri" w:hAnsi="Calibri" w:cs="Calibri"/>
              </w:rPr>
              <w:t>0.53</w:t>
            </w:r>
            <w:r w:rsidR="007757F9">
              <w:rPr>
                <w:rFonts w:ascii="Calibri" w:eastAsia="Calibri" w:hAnsi="Calibri" w:cs="Calibri"/>
              </w:rPr>
              <w:t>0</w:t>
            </w:r>
            <w:r>
              <w:rPr>
                <w:rFonts w:ascii="Calibri" w:eastAsia="Calibri" w:hAnsi="Calibri" w:cs="Calibri"/>
              </w:rPr>
              <w:t xml:space="preserve"> (0.356 – 0.803)</w:t>
            </w:r>
          </w:p>
        </w:tc>
        <w:tc>
          <w:tcPr>
            <w:tcW w:w="1804" w:type="dxa"/>
          </w:tcPr>
          <w:p w14:paraId="0EAC90B5" w14:textId="5E63A16C" w:rsidR="003D699F" w:rsidRDefault="003C46C2" w:rsidP="003C46C2">
            <w:pPr>
              <w:spacing w:line="257" w:lineRule="auto"/>
              <w:rPr>
                <w:rFonts w:ascii="Calibri" w:eastAsia="Calibri" w:hAnsi="Calibri" w:cs="Calibri"/>
              </w:rPr>
            </w:pPr>
            <w:r>
              <w:rPr>
                <w:rFonts w:ascii="Calibri" w:eastAsia="Calibri" w:hAnsi="Calibri" w:cs="Calibri"/>
              </w:rPr>
              <w:t>1.159 (1.044 – 1.185)</w:t>
            </w:r>
          </w:p>
        </w:tc>
        <w:tc>
          <w:tcPr>
            <w:tcW w:w="1679" w:type="dxa"/>
          </w:tcPr>
          <w:p w14:paraId="0D38234F" w14:textId="3EFB63B7" w:rsidR="003D699F" w:rsidRDefault="003D699F" w:rsidP="007757F9">
            <w:pPr>
              <w:spacing w:line="257" w:lineRule="auto"/>
              <w:rPr>
                <w:rFonts w:ascii="Calibri" w:eastAsia="Calibri" w:hAnsi="Calibri" w:cs="Calibri"/>
              </w:rPr>
            </w:pPr>
            <w:r>
              <w:rPr>
                <w:rFonts w:ascii="Calibri" w:eastAsia="Calibri" w:hAnsi="Calibri" w:cs="Calibri"/>
              </w:rPr>
              <w:t>0</w:t>
            </w:r>
            <w:r w:rsidR="007757F9">
              <w:rPr>
                <w:rFonts w:ascii="Calibri" w:eastAsia="Calibri" w:hAnsi="Calibri" w:cs="Calibri"/>
              </w:rPr>
              <w:t>.765 (0.678 – 0.902)</w:t>
            </w:r>
          </w:p>
        </w:tc>
        <w:tc>
          <w:tcPr>
            <w:tcW w:w="1679" w:type="dxa"/>
          </w:tcPr>
          <w:p w14:paraId="3DAF3FFA" w14:textId="753C2809" w:rsidR="003D699F" w:rsidRDefault="003D699F" w:rsidP="007757F9">
            <w:pPr>
              <w:spacing w:line="257" w:lineRule="auto"/>
              <w:rPr>
                <w:rFonts w:ascii="Calibri" w:eastAsia="Calibri" w:hAnsi="Calibri" w:cs="Calibri"/>
              </w:rPr>
            </w:pPr>
            <w:r>
              <w:rPr>
                <w:rFonts w:ascii="Calibri" w:eastAsia="Calibri" w:hAnsi="Calibri" w:cs="Calibri"/>
              </w:rPr>
              <w:t>1</w:t>
            </w:r>
            <w:r w:rsidR="007757F9">
              <w:rPr>
                <w:rFonts w:ascii="Calibri" w:eastAsia="Calibri" w:hAnsi="Calibri" w:cs="Calibri"/>
              </w:rPr>
              <w:t>.318 (1.088 – 1.37)</w:t>
            </w:r>
          </w:p>
        </w:tc>
      </w:tr>
      <w:tr w:rsidR="003D699F" w14:paraId="18F29A55" w14:textId="77777777" w:rsidTr="003D699F">
        <w:tc>
          <w:tcPr>
            <w:tcW w:w="2355" w:type="dxa"/>
          </w:tcPr>
          <w:p w14:paraId="44B953F5" w14:textId="77777777" w:rsidR="003D699F" w:rsidRDefault="003D699F" w:rsidP="00C745B4">
            <w:pPr>
              <w:spacing w:line="257" w:lineRule="auto"/>
              <w:rPr>
                <w:rFonts w:ascii="Calibri" w:eastAsia="Calibri" w:hAnsi="Calibri" w:cs="Calibri"/>
              </w:rPr>
            </w:pPr>
            <w:r>
              <w:rPr>
                <w:rFonts w:ascii="Calibri" w:eastAsia="Calibri" w:hAnsi="Calibri" w:cs="Calibri"/>
              </w:rPr>
              <w:t>Daratumumab-containing treatment category</w:t>
            </w:r>
          </w:p>
        </w:tc>
        <w:tc>
          <w:tcPr>
            <w:tcW w:w="1833" w:type="dxa"/>
          </w:tcPr>
          <w:p w14:paraId="14D6A63D" w14:textId="1631903E" w:rsidR="003D699F" w:rsidRDefault="008133B9" w:rsidP="00C745B4">
            <w:pPr>
              <w:spacing w:line="257" w:lineRule="auto"/>
              <w:rPr>
                <w:rFonts w:ascii="Calibri" w:eastAsia="Calibri" w:hAnsi="Calibri" w:cs="Calibri"/>
              </w:rPr>
            </w:pPr>
            <w:r>
              <w:rPr>
                <w:rFonts w:ascii="Calibri" w:eastAsia="Calibri" w:hAnsi="Calibri" w:cs="Calibri"/>
              </w:rPr>
              <w:t>0.217 (0.203 – 0.231)</w:t>
            </w:r>
          </w:p>
        </w:tc>
        <w:tc>
          <w:tcPr>
            <w:tcW w:w="1804" w:type="dxa"/>
          </w:tcPr>
          <w:p w14:paraId="09B42989" w14:textId="4197A65E" w:rsidR="003D699F" w:rsidRDefault="003D699F" w:rsidP="008133B9">
            <w:pPr>
              <w:spacing w:line="257" w:lineRule="auto"/>
              <w:rPr>
                <w:rFonts w:ascii="Calibri" w:eastAsia="Calibri" w:hAnsi="Calibri" w:cs="Calibri"/>
              </w:rPr>
            </w:pPr>
            <w:r>
              <w:rPr>
                <w:rFonts w:ascii="Calibri" w:eastAsia="Calibri" w:hAnsi="Calibri" w:cs="Calibri"/>
              </w:rPr>
              <w:t>0.57</w:t>
            </w:r>
            <w:r w:rsidR="008133B9">
              <w:rPr>
                <w:rFonts w:ascii="Calibri" w:eastAsia="Calibri" w:hAnsi="Calibri" w:cs="Calibri"/>
              </w:rPr>
              <w:t>2 (0.551 – 0</w:t>
            </w:r>
            <w:r w:rsidR="007757F9">
              <w:rPr>
                <w:rFonts w:ascii="Calibri" w:eastAsia="Calibri" w:hAnsi="Calibri" w:cs="Calibri"/>
              </w:rPr>
              <w:t>.</w:t>
            </w:r>
            <w:r w:rsidR="008133B9">
              <w:rPr>
                <w:rFonts w:ascii="Calibri" w:eastAsia="Calibri" w:hAnsi="Calibri" w:cs="Calibri"/>
              </w:rPr>
              <w:t>594)</w:t>
            </w:r>
          </w:p>
        </w:tc>
        <w:tc>
          <w:tcPr>
            <w:tcW w:w="1679" w:type="dxa"/>
          </w:tcPr>
          <w:p w14:paraId="5FAA2929" w14:textId="3B10AB3F" w:rsidR="003D699F" w:rsidRDefault="003D699F" w:rsidP="00C745B4">
            <w:pPr>
              <w:spacing w:line="257" w:lineRule="auto"/>
              <w:rPr>
                <w:rFonts w:ascii="Calibri" w:eastAsia="Calibri" w:hAnsi="Calibri" w:cs="Calibri"/>
              </w:rPr>
            </w:pPr>
            <w:r>
              <w:rPr>
                <w:rFonts w:ascii="Calibri" w:eastAsia="Calibri" w:hAnsi="Calibri" w:cs="Calibri"/>
              </w:rPr>
              <w:t>0</w:t>
            </w:r>
            <w:r w:rsidR="007757F9">
              <w:rPr>
                <w:rFonts w:ascii="Calibri" w:eastAsia="Calibri" w:hAnsi="Calibri" w:cs="Calibri"/>
              </w:rPr>
              <w:t>.609 (0.601 – 0.616)</w:t>
            </w:r>
          </w:p>
        </w:tc>
        <w:tc>
          <w:tcPr>
            <w:tcW w:w="1679" w:type="dxa"/>
          </w:tcPr>
          <w:p w14:paraId="1DF9F32C" w14:textId="49394D8C" w:rsidR="003D699F" w:rsidRDefault="007757F9" w:rsidP="00C745B4">
            <w:pPr>
              <w:spacing w:line="257" w:lineRule="auto"/>
              <w:rPr>
                <w:rFonts w:ascii="Calibri" w:eastAsia="Calibri" w:hAnsi="Calibri" w:cs="Calibri"/>
              </w:rPr>
            </w:pPr>
            <w:r>
              <w:rPr>
                <w:rFonts w:ascii="Calibri" w:eastAsia="Calibri" w:hAnsi="Calibri" w:cs="Calibri"/>
              </w:rPr>
              <w:t>0.786 (0.776 – 0.797)</w:t>
            </w:r>
          </w:p>
        </w:tc>
      </w:tr>
      <w:tr w:rsidR="003D699F" w14:paraId="4D5405FD" w14:textId="77777777" w:rsidTr="003D699F">
        <w:tc>
          <w:tcPr>
            <w:tcW w:w="2355" w:type="dxa"/>
          </w:tcPr>
          <w:p w14:paraId="2E175CF6" w14:textId="77777777" w:rsidR="003D699F" w:rsidRDefault="003D699F" w:rsidP="00C745B4">
            <w:pPr>
              <w:spacing w:line="257" w:lineRule="auto"/>
              <w:rPr>
                <w:rFonts w:ascii="Calibri" w:eastAsia="Calibri" w:hAnsi="Calibri" w:cs="Calibri"/>
              </w:rPr>
            </w:pPr>
            <w:r>
              <w:rPr>
                <w:rFonts w:ascii="Calibri" w:eastAsia="Calibri" w:hAnsi="Calibri" w:cs="Calibri"/>
              </w:rPr>
              <w:t>Residual treatment category</w:t>
            </w:r>
          </w:p>
        </w:tc>
        <w:tc>
          <w:tcPr>
            <w:tcW w:w="1833" w:type="dxa"/>
          </w:tcPr>
          <w:p w14:paraId="5156180B" w14:textId="74C0BC8B" w:rsidR="003D699F" w:rsidRDefault="008133B9" w:rsidP="008133B9">
            <w:pPr>
              <w:spacing w:line="257" w:lineRule="auto"/>
              <w:rPr>
                <w:rFonts w:ascii="Calibri" w:eastAsia="Calibri" w:hAnsi="Calibri" w:cs="Calibri"/>
              </w:rPr>
            </w:pPr>
            <w:r>
              <w:rPr>
                <w:rFonts w:ascii="Calibri" w:eastAsia="Calibri" w:hAnsi="Calibri" w:cs="Calibri"/>
              </w:rPr>
              <w:t xml:space="preserve">1.331 (1.324 </w:t>
            </w:r>
            <w:r w:rsidR="007757F9">
              <w:rPr>
                <w:rFonts w:ascii="Calibri" w:eastAsia="Calibri" w:hAnsi="Calibri" w:cs="Calibri"/>
              </w:rPr>
              <w:t>–</w:t>
            </w:r>
            <w:r>
              <w:rPr>
                <w:rFonts w:ascii="Calibri" w:eastAsia="Calibri" w:hAnsi="Calibri" w:cs="Calibri"/>
              </w:rPr>
              <w:t xml:space="preserve"> </w:t>
            </w:r>
            <w:r w:rsidR="007757F9">
              <w:rPr>
                <w:rFonts w:ascii="Calibri" w:eastAsia="Calibri" w:hAnsi="Calibri" w:cs="Calibri"/>
              </w:rPr>
              <w:t>1.337)</w:t>
            </w:r>
          </w:p>
        </w:tc>
        <w:tc>
          <w:tcPr>
            <w:tcW w:w="1804" w:type="dxa"/>
          </w:tcPr>
          <w:p w14:paraId="6EE52D31" w14:textId="7F930584" w:rsidR="003D699F" w:rsidRDefault="007757F9" w:rsidP="00C745B4">
            <w:pPr>
              <w:spacing w:line="257" w:lineRule="auto"/>
              <w:rPr>
                <w:rFonts w:ascii="Calibri" w:eastAsia="Calibri" w:hAnsi="Calibri" w:cs="Calibri"/>
              </w:rPr>
            </w:pPr>
            <w:r>
              <w:rPr>
                <w:rFonts w:ascii="Calibri" w:eastAsia="Calibri" w:hAnsi="Calibri" w:cs="Calibri"/>
              </w:rPr>
              <w:t>1.181 (1.171 – 1.190)</w:t>
            </w:r>
          </w:p>
        </w:tc>
        <w:tc>
          <w:tcPr>
            <w:tcW w:w="1679" w:type="dxa"/>
          </w:tcPr>
          <w:p w14:paraId="6903B0C7" w14:textId="255BE224" w:rsidR="003D699F" w:rsidRDefault="00D30610" w:rsidP="00C745B4">
            <w:pPr>
              <w:spacing w:line="257" w:lineRule="auto"/>
              <w:rPr>
                <w:rFonts w:ascii="Calibri" w:eastAsia="Calibri" w:hAnsi="Calibri" w:cs="Calibri"/>
              </w:rPr>
            </w:pPr>
            <w:r>
              <w:rPr>
                <w:rFonts w:ascii="Calibri" w:eastAsia="Calibri" w:hAnsi="Calibri" w:cs="Calibri"/>
              </w:rPr>
              <w:t>NA</w:t>
            </w:r>
          </w:p>
        </w:tc>
        <w:tc>
          <w:tcPr>
            <w:tcW w:w="1679" w:type="dxa"/>
          </w:tcPr>
          <w:p w14:paraId="4DA1A56C" w14:textId="6EB56488" w:rsidR="003D699F" w:rsidRDefault="00D30610" w:rsidP="00C745B4">
            <w:pPr>
              <w:spacing w:line="257" w:lineRule="auto"/>
              <w:rPr>
                <w:rFonts w:ascii="Calibri" w:eastAsia="Calibri" w:hAnsi="Calibri" w:cs="Calibri"/>
              </w:rPr>
            </w:pPr>
            <w:r>
              <w:rPr>
                <w:rFonts w:ascii="Calibri" w:eastAsia="Calibri" w:hAnsi="Calibri" w:cs="Calibri"/>
              </w:rPr>
              <w:t>NA</w:t>
            </w:r>
          </w:p>
        </w:tc>
      </w:tr>
    </w:tbl>
    <w:p w14:paraId="2B768803" w14:textId="77777777" w:rsidR="0088218D" w:rsidRDefault="0088218D" w:rsidP="00C745B4">
      <w:pPr>
        <w:spacing w:line="257" w:lineRule="auto"/>
        <w:rPr>
          <w:rFonts w:ascii="Calibri" w:eastAsia="Calibri" w:hAnsi="Calibri" w:cs="Calibri"/>
        </w:rPr>
      </w:pPr>
    </w:p>
    <w:p w14:paraId="023EC637" w14:textId="77777777" w:rsidR="00016F55" w:rsidRDefault="00016F55" w:rsidP="00C745B4">
      <w:pPr>
        <w:spacing w:line="257" w:lineRule="auto"/>
        <w:rPr>
          <w:rFonts w:ascii="Calibri" w:eastAsia="Calibri" w:hAnsi="Calibri" w:cs="Calibri"/>
        </w:rPr>
      </w:pPr>
      <w:r>
        <w:rPr>
          <w:rFonts w:ascii="Calibri" w:eastAsia="Calibri" w:hAnsi="Calibri" w:cs="Calibri"/>
        </w:rPr>
        <w:t xml:space="preserve">Will not plan to standardize to additional covariates as </w:t>
      </w:r>
      <w:proofErr w:type="spellStart"/>
      <w:r>
        <w:rPr>
          <w:rFonts w:ascii="Calibri" w:eastAsia="Calibri" w:hAnsi="Calibri" w:cs="Calibri"/>
        </w:rPr>
        <w:t>Braunlin</w:t>
      </w:r>
      <w:proofErr w:type="spellEnd"/>
      <w:r>
        <w:rPr>
          <w:rFonts w:ascii="Calibri" w:eastAsia="Calibri" w:hAnsi="Calibri" w:cs="Calibri"/>
        </w:rPr>
        <w:t xml:space="preserve"> does not report treatment line-specific exposure distributions; however, we may use data from </w:t>
      </w:r>
      <w:proofErr w:type="spellStart"/>
      <w:r>
        <w:rPr>
          <w:rFonts w:ascii="Calibri" w:eastAsia="Calibri" w:hAnsi="Calibri" w:cs="Calibri"/>
        </w:rPr>
        <w:t>Mohty</w:t>
      </w:r>
      <w:proofErr w:type="spellEnd"/>
      <w:r>
        <w:rPr>
          <w:rFonts w:ascii="Calibri" w:eastAsia="Calibri" w:hAnsi="Calibri" w:cs="Calibri"/>
        </w:rPr>
        <w:t xml:space="preserve"> et al. (2018), which tracks exposure distribution over treatment lines as a resource to inform how this may affect our model.</w:t>
      </w:r>
    </w:p>
    <w:p w14:paraId="643EBD8D" w14:textId="77777777" w:rsidR="00E03B11" w:rsidRPr="005510E8" w:rsidRDefault="00E03B11" w:rsidP="00C745B4">
      <w:pPr>
        <w:spacing w:line="257" w:lineRule="auto"/>
        <w:rPr>
          <w:rFonts w:ascii="Calibri" w:eastAsia="Calibri" w:hAnsi="Calibri" w:cs="Calibri"/>
        </w:rPr>
      </w:pPr>
    </w:p>
    <w:p w14:paraId="55FABD3D" w14:textId="77777777" w:rsidR="00C745B4" w:rsidRPr="005510E8" w:rsidRDefault="00C745B4" w:rsidP="005510E8">
      <w:pPr>
        <w:spacing w:line="257" w:lineRule="auto"/>
        <w:jc w:val="center"/>
        <w:rPr>
          <w:b/>
        </w:rPr>
      </w:pPr>
      <w:commentRangeStart w:id="2"/>
      <w:r w:rsidRPr="005510E8">
        <w:rPr>
          <w:rFonts w:ascii="Calibri" w:eastAsia="Calibri" w:hAnsi="Calibri" w:cs="Calibri"/>
          <w:b/>
        </w:rPr>
        <w:t>Assumptions and Limitations</w:t>
      </w:r>
      <w:commentRangeEnd w:id="2"/>
      <w:r w:rsidR="007757F9">
        <w:rPr>
          <w:rStyle w:val="CommentReference"/>
        </w:rPr>
        <w:commentReference w:id="2"/>
      </w:r>
    </w:p>
    <w:p w14:paraId="0F3AA009" w14:textId="77777777" w:rsidR="00C745B4" w:rsidRPr="00C745B4" w:rsidRDefault="00C745B4" w:rsidP="00C745B4">
      <w:pPr>
        <w:pStyle w:val="ListParagraph"/>
        <w:numPr>
          <w:ilvl w:val="0"/>
          <w:numId w:val="2"/>
        </w:numPr>
        <w:rPr>
          <w:rFonts w:eastAsiaTheme="minorEastAsia"/>
        </w:rPr>
      </w:pPr>
      <w:r w:rsidRPr="74589ED8">
        <w:rPr>
          <w:rFonts w:ascii="Calibri" w:eastAsia="Calibri" w:hAnsi="Calibri" w:cs="Calibri"/>
        </w:rPr>
        <w:t xml:space="preserve">We assume that the </w:t>
      </w:r>
      <w:r>
        <w:rPr>
          <w:rFonts w:ascii="Calibri" w:eastAsia="Calibri" w:hAnsi="Calibri" w:cs="Calibri"/>
        </w:rPr>
        <w:t>relative survival of those treated with daratumumab + lenalidomide + dexamethasone represents the relative survival of the entire daratumumab-containing treatment category</w:t>
      </w:r>
      <w:r w:rsidR="00E3348B">
        <w:rPr>
          <w:rFonts w:ascii="Calibri" w:eastAsia="Calibri" w:hAnsi="Calibri" w:cs="Calibri"/>
        </w:rPr>
        <w:t xml:space="preserve"> both for the first line as well as relapsed/refractory settings</w:t>
      </w:r>
      <w:r>
        <w:rPr>
          <w:rFonts w:ascii="Calibri" w:eastAsia="Calibri" w:hAnsi="Calibri" w:cs="Calibri"/>
        </w:rPr>
        <w:t>. Notably, because the coverage of the daratumumab-containing coverage is informed by the coverage of a monoclonal antibody + immunomodulatory imide + dexamethasone triplet regimen, of which daratumumab + lenalidomide + dexamethasone is a part of, the bias introduced by this assumption is reduced</w:t>
      </w:r>
      <w:r w:rsidR="00E45234">
        <w:rPr>
          <w:rFonts w:ascii="Calibri" w:eastAsia="Calibri" w:hAnsi="Calibri" w:cs="Calibri"/>
        </w:rPr>
        <w:t xml:space="preserve">, as other </w:t>
      </w:r>
      <w:r w:rsidR="00F46DCA">
        <w:rPr>
          <w:rFonts w:ascii="Calibri" w:eastAsia="Calibri" w:hAnsi="Calibri" w:cs="Calibri"/>
        </w:rPr>
        <w:t>daratumumab-</w:t>
      </w:r>
      <w:r w:rsidR="00E45234">
        <w:rPr>
          <w:rFonts w:ascii="Calibri" w:eastAsia="Calibri" w:hAnsi="Calibri" w:cs="Calibri"/>
        </w:rPr>
        <w:t>containing regimens will be effectively included in the residual treatment category</w:t>
      </w:r>
      <w:r>
        <w:rPr>
          <w:rFonts w:ascii="Calibri" w:eastAsia="Calibri" w:hAnsi="Calibri" w:cs="Calibri"/>
        </w:rPr>
        <w:t>.</w:t>
      </w:r>
      <w:r w:rsidR="00E45234">
        <w:rPr>
          <w:rFonts w:ascii="Calibri" w:eastAsia="Calibri" w:hAnsi="Calibri" w:cs="Calibri"/>
        </w:rPr>
        <w:t xml:space="preserve"> However, by not considering additional daratumumab-containing treatment regimens, we fail to capture the effect of potential retreatment and inherently assume that some daratumumab-containing regimens will be transitioned to isatuxamib-containing regimens as a result of the isatuxamib scale-up.</w:t>
      </w:r>
    </w:p>
    <w:p w14:paraId="571A28B3" w14:textId="77777777" w:rsidR="00C745B4" w:rsidRDefault="00C745B4" w:rsidP="00C745B4">
      <w:pPr>
        <w:pStyle w:val="ListParagraph"/>
        <w:numPr>
          <w:ilvl w:val="0"/>
          <w:numId w:val="2"/>
        </w:numPr>
        <w:rPr>
          <w:rFonts w:eastAsiaTheme="minorEastAsia"/>
        </w:rPr>
      </w:pPr>
      <w:r w:rsidRPr="74589ED8">
        <w:rPr>
          <w:rFonts w:ascii="Calibri" w:eastAsia="Calibri" w:hAnsi="Calibri" w:cs="Calibri"/>
        </w:rPr>
        <w:t>We assume that no patients are restricted from treatment with isatuxamib + pomalidomide + dexamethasone due to no prior treatment with lenalidomide and a proteasome inhibitor. Since lenalidomide and proteasome inhibitors are very common treatments, this is not a major limitation of our analysis.</w:t>
      </w:r>
    </w:p>
    <w:p w14:paraId="2198340B" w14:textId="77777777" w:rsidR="0073299B" w:rsidRPr="00E03B11" w:rsidRDefault="00C745B4" w:rsidP="00E03B11">
      <w:pPr>
        <w:pStyle w:val="ListParagraph"/>
        <w:numPr>
          <w:ilvl w:val="0"/>
          <w:numId w:val="2"/>
        </w:numPr>
        <w:rPr>
          <w:rFonts w:eastAsiaTheme="minorEastAsia"/>
        </w:rPr>
      </w:pPr>
      <w:r w:rsidRPr="00E03B11">
        <w:rPr>
          <w:rFonts w:ascii="Calibri" w:eastAsia="Calibri" w:hAnsi="Calibri" w:cs="Calibri"/>
        </w:rPr>
        <w:t xml:space="preserve">We assume that all treatment regimens that do not contain isatuxamib or daratumumab will decrease in coverage at an equal rate proportionately to the increase in isatuxamib and </w:t>
      </w:r>
      <w:r w:rsidRPr="00E03B11">
        <w:rPr>
          <w:rFonts w:ascii="Calibri" w:eastAsia="Calibri" w:hAnsi="Calibri" w:cs="Calibri"/>
        </w:rPr>
        <w:lastRenderedPageBreak/>
        <w:t>daratumumab coverage. However, in reality, as isatuxamib and daratumumab coverage increases, it will likely be prescribed in preference over specific selected treatment regimens. Because this future provider practice is uncertain, it is unknown whether this will cause us to underestimate or overestimate the impact of isatuxamib scale-up.</w:t>
      </w:r>
    </w:p>
    <w:p w14:paraId="67115BBE" w14:textId="77777777" w:rsidR="00C745B4" w:rsidRPr="00E03B11" w:rsidRDefault="00E03B11" w:rsidP="00C745B4">
      <w:pPr>
        <w:pStyle w:val="ListParagraph"/>
        <w:numPr>
          <w:ilvl w:val="0"/>
          <w:numId w:val="2"/>
        </w:numPr>
        <w:rPr>
          <w:rFonts w:eastAsiaTheme="minorEastAsia"/>
        </w:rPr>
      </w:pPr>
      <w:r w:rsidRPr="00E03B11">
        <w:rPr>
          <w:rFonts w:ascii="Calibri" w:eastAsia="Calibri" w:hAnsi="Calibri" w:cs="Calibri"/>
        </w:rPr>
        <w:t>We assume that</w:t>
      </w:r>
      <w:r w:rsidR="00C745B4" w:rsidRPr="00E03B11">
        <w:rPr>
          <w:rFonts w:ascii="Calibri" w:eastAsia="Calibri" w:hAnsi="Calibri" w:cs="Calibri"/>
        </w:rPr>
        <w:t xml:space="preserve"> </w:t>
      </w:r>
      <w:r w:rsidRPr="00E03B11">
        <w:rPr>
          <w:rFonts w:ascii="Calibri" w:eastAsia="Calibri" w:hAnsi="Calibri" w:cs="Calibri"/>
        </w:rPr>
        <w:t>15</w:t>
      </w:r>
      <w:r w:rsidR="00E45234" w:rsidRPr="00E03B11">
        <w:rPr>
          <w:rFonts w:ascii="Calibri" w:eastAsia="Calibri" w:hAnsi="Calibri" w:cs="Calibri"/>
        </w:rPr>
        <w:t xml:space="preserve"> percent of </w:t>
      </w:r>
      <w:r w:rsidR="00C745B4" w:rsidRPr="00E03B11">
        <w:rPr>
          <w:rFonts w:ascii="Calibri" w:eastAsia="Calibri" w:hAnsi="Calibri" w:cs="Calibri"/>
        </w:rPr>
        <w:t>patient</w:t>
      </w:r>
      <w:r w:rsidR="00E45234" w:rsidRPr="00E03B11">
        <w:rPr>
          <w:rFonts w:ascii="Calibri" w:eastAsia="Calibri" w:hAnsi="Calibri" w:cs="Calibri"/>
        </w:rPr>
        <w:t>s treated with either an isatuxamib- or daratumumab-containing regimen</w:t>
      </w:r>
      <w:r w:rsidR="00C745B4" w:rsidRPr="00E03B11">
        <w:rPr>
          <w:rFonts w:ascii="Calibri" w:eastAsia="Calibri" w:hAnsi="Calibri" w:cs="Calibri"/>
        </w:rPr>
        <w:t xml:space="preserve"> </w:t>
      </w:r>
      <w:r w:rsidR="00E45234" w:rsidRPr="00E03B11">
        <w:rPr>
          <w:rFonts w:ascii="Calibri" w:eastAsia="Calibri" w:hAnsi="Calibri" w:cs="Calibri"/>
        </w:rPr>
        <w:t xml:space="preserve">who survive to the next line of treatment </w:t>
      </w:r>
      <w:r w:rsidR="00C745B4" w:rsidRPr="00E03B11">
        <w:rPr>
          <w:rFonts w:ascii="Calibri" w:eastAsia="Calibri" w:hAnsi="Calibri" w:cs="Calibri"/>
        </w:rPr>
        <w:t xml:space="preserve">will be retreated with an anti-CD38 monoclonal antibody containing regimen at </w:t>
      </w:r>
      <w:r w:rsidR="00E45234" w:rsidRPr="00E03B11">
        <w:rPr>
          <w:rFonts w:ascii="Calibri" w:eastAsia="Calibri" w:hAnsi="Calibri" w:cs="Calibri"/>
        </w:rPr>
        <w:t>the next line of treatment, independent of the previous retreatment status. However, since there is no consensus recommendation for the retreatment with anti-CD38 monoclonal antibodies, this may not reflect true clinical practice.</w:t>
      </w:r>
    </w:p>
    <w:p w14:paraId="1FF96862" w14:textId="77777777" w:rsidR="00E45234" w:rsidRDefault="00E45234" w:rsidP="00C745B4">
      <w:pPr>
        <w:pStyle w:val="ListParagraph"/>
        <w:numPr>
          <w:ilvl w:val="0"/>
          <w:numId w:val="2"/>
        </w:numPr>
        <w:rPr>
          <w:rFonts w:eastAsiaTheme="minorEastAsia"/>
        </w:rPr>
      </w:pPr>
      <w:r>
        <w:rPr>
          <w:rFonts w:ascii="Calibri" w:eastAsia="Calibri" w:hAnsi="Calibri" w:cs="Calibri"/>
        </w:rPr>
        <w:t>We assume that isatuxamib-containing regimens and daratumumab-containing regimens are half as effective with respect to both progression free survival and overall survival among patients previously treated with a monoclonal antibody treatment relative to those without prior treatment with an anti-CD38 monoclonal antibody. This assumption is a limitation of our analysis caused by the lack of robust data to inform otherwise.</w:t>
      </w:r>
    </w:p>
    <w:p w14:paraId="3E2641B5" w14:textId="77777777" w:rsidR="00C745B4" w:rsidRPr="00DD2835" w:rsidRDefault="00E45234" w:rsidP="003A1929">
      <w:pPr>
        <w:pStyle w:val="ListParagraph"/>
        <w:numPr>
          <w:ilvl w:val="0"/>
          <w:numId w:val="2"/>
        </w:numPr>
        <w:rPr>
          <w:rFonts w:eastAsiaTheme="minorEastAsia"/>
        </w:rPr>
      </w:pPr>
      <w:r w:rsidRPr="00DD2835">
        <w:rPr>
          <w:rFonts w:eastAsiaTheme="minorEastAsia"/>
        </w:rPr>
        <w:t>We assume that</w:t>
      </w:r>
      <w:r w:rsidR="00A02F81" w:rsidRPr="00DD2835">
        <w:rPr>
          <w:rFonts w:eastAsiaTheme="minorEastAsia"/>
        </w:rPr>
        <w:t xml:space="preserve"> the isatuxamib-containing treatment category</w:t>
      </w:r>
      <w:r w:rsidR="00DD2835" w:rsidRPr="00DD2835">
        <w:rPr>
          <w:rFonts w:eastAsiaTheme="minorEastAsia"/>
        </w:rPr>
        <w:t xml:space="preserve"> survival data in the relapsed and refractory setting</w:t>
      </w:r>
      <w:r w:rsidR="00A02F81" w:rsidRPr="00DD2835">
        <w:rPr>
          <w:rFonts w:eastAsiaTheme="minorEastAsia"/>
        </w:rPr>
        <w:t xml:space="preserve"> is informed by an equal average between the survival data from the </w:t>
      </w:r>
      <w:proofErr w:type="spellStart"/>
      <w:r w:rsidR="00A02F81" w:rsidRPr="00DD2835">
        <w:rPr>
          <w:rFonts w:eastAsiaTheme="minorEastAsia"/>
        </w:rPr>
        <w:t>isa-Pd</w:t>
      </w:r>
      <w:proofErr w:type="spellEnd"/>
      <w:r w:rsidR="00A02F81" w:rsidRPr="00DD2835">
        <w:rPr>
          <w:rFonts w:eastAsiaTheme="minorEastAsia"/>
        </w:rPr>
        <w:t xml:space="preserve"> regimen in the ICARIA trial and the </w:t>
      </w:r>
      <w:proofErr w:type="spellStart"/>
      <w:r w:rsidR="00A02F81" w:rsidRPr="00DD2835">
        <w:rPr>
          <w:rFonts w:eastAsiaTheme="minorEastAsia"/>
        </w:rPr>
        <w:t>isa</w:t>
      </w:r>
      <w:r w:rsidR="00DD2835" w:rsidRPr="00DD2835">
        <w:rPr>
          <w:rFonts w:eastAsiaTheme="minorEastAsia"/>
        </w:rPr>
        <w:t>-Kd</w:t>
      </w:r>
      <w:proofErr w:type="spellEnd"/>
      <w:r w:rsidR="00DD2835" w:rsidRPr="00DD2835">
        <w:rPr>
          <w:rFonts w:eastAsiaTheme="minorEastAsia"/>
        </w:rPr>
        <w:t xml:space="preserve"> regimen from the IKEMA trial. The assumption of equal contribution of these two treatment regimens across all lines of treatment for relapsed/refractory MM is a limitation of our analysis that may be improved as more data on prescribing practices becomes available.</w:t>
      </w:r>
    </w:p>
    <w:p w14:paraId="5CB388E1" w14:textId="77777777" w:rsidR="003A1929" w:rsidRPr="00C745B4" w:rsidRDefault="003A1929" w:rsidP="003A1929">
      <w:pPr>
        <w:pStyle w:val="ListParagraph"/>
        <w:numPr>
          <w:ilvl w:val="0"/>
          <w:numId w:val="2"/>
        </w:numPr>
        <w:rPr>
          <w:rFonts w:eastAsiaTheme="minorEastAsia"/>
        </w:rPr>
      </w:pPr>
      <w:r>
        <w:rPr>
          <w:rFonts w:eastAsiaTheme="minorEastAsia"/>
        </w:rPr>
        <w:t xml:space="preserve">We assume that the (adjusted) survival outcomes of patients treated with daratumumab + lenalidomide + dexamethasone from the MAIA trial represent the survival outcomes of the entire isatuxamib-containing treatment category at the first line of treatment in our simulation. </w:t>
      </w:r>
      <w:r w:rsidR="00C46D5D">
        <w:rPr>
          <w:rFonts w:eastAsiaTheme="minorEastAsia"/>
        </w:rPr>
        <w:t>This is a limitation in the absence of isatuxamib-specific clinical data at the first line of treatment.</w:t>
      </w:r>
    </w:p>
    <w:p w14:paraId="6E970E8E" w14:textId="77777777" w:rsidR="00C745B4" w:rsidRDefault="00C745B4" w:rsidP="00C745B4">
      <w:pPr>
        <w:pStyle w:val="ListParagraph"/>
        <w:numPr>
          <w:ilvl w:val="0"/>
          <w:numId w:val="2"/>
        </w:numPr>
        <w:rPr>
          <w:rFonts w:eastAsiaTheme="minorEastAsia"/>
        </w:rPr>
      </w:pPr>
      <w:r w:rsidRPr="74589ED8">
        <w:rPr>
          <w:rFonts w:ascii="Calibri" w:eastAsia="Calibri" w:hAnsi="Calibri" w:cs="Calibri"/>
        </w:rPr>
        <w:t>We assume that hazard ratios between treatment regimens do not differ by line of treatment</w:t>
      </w:r>
      <w:r>
        <w:rPr>
          <w:rFonts w:ascii="Calibri" w:eastAsia="Calibri" w:hAnsi="Calibri" w:cs="Calibri"/>
        </w:rPr>
        <w:t xml:space="preserve"> in the relapsed/refractory setting</w:t>
      </w:r>
      <w:r w:rsidRPr="74589ED8">
        <w:rPr>
          <w:rFonts w:ascii="Calibri" w:eastAsia="Calibri" w:hAnsi="Calibri" w:cs="Calibri"/>
        </w:rPr>
        <w:t>.</w:t>
      </w:r>
    </w:p>
    <w:p w14:paraId="3416503A" w14:textId="77777777" w:rsidR="00C745B4" w:rsidRPr="0073299B" w:rsidRDefault="00C745B4" w:rsidP="00C745B4">
      <w:pPr>
        <w:pStyle w:val="ListParagraph"/>
        <w:numPr>
          <w:ilvl w:val="0"/>
          <w:numId w:val="2"/>
        </w:numPr>
        <w:rPr>
          <w:rFonts w:eastAsiaTheme="minorEastAsia"/>
        </w:rPr>
      </w:pPr>
      <w:r w:rsidRPr="3B723640">
        <w:rPr>
          <w:rFonts w:ascii="Calibri" w:eastAsia="Calibri" w:hAnsi="Calibri" w:cs="Calibri"/>
        </w:rPr>
        <w:t xml:space="preserve">We assume isatuxamib coverage does not vary by age, sex, race/ethnicity, cytogenetic risk, or ASCT eligibility. In reality, as triplet regimens are less likely to be prescribed to older and frail patients due to toxicity concerns, isatuxamib-containing triplet regimens may be prescribed at a higher rate among younger patients than older patients. Failing to consider this differential coverage by age may cause us to underestimate the impact of an isatuxamib scale-up on years </w:t>
      </w:r>
      <w:r w:rsidRPr="0073299B">
        <w:rPr>
          <w:rFonts w:ascii="Calibri" w:eastAsia="Calibri" w:hAnsi="Calibri" w:cs="Calibri"/>
        </w:rPr>
        <w:t>of life lost among the total population.</w:t>
      </w:r>
    </w:p>
    <w:p w14:paraId="5710979D" w14:textId="77777777" w:rsidR="00C745B4" w:rsidRPr="0073299B" w:rsidRDefault="00C745B4" w:rsidP="00C745B4">
      <w:pPr>
        <w:pStyle w:val="ListParagraph"/>
        <w:numPr>
          <w:ilvl w:val="0"/>
          <w:numId w:val="2"/>
        </w:numPr>
        <w:rPr>
          <w:rFonts w:eastAsiaTheme="minorEastAsia"/>
        </w:rPr>
      </w:pPr>
      <w:r w:rsidRPr="0073299B">
        <w:rPr>
          <w:rFonts w:ascii="Calibri" w:eastAsia="Calibri" w:hAnsi="Calibri" w:cs="Calibri"/>
        </w:rPr>
        <w:t>We assume that</w:t>
      </w:r>
      <w:r w:rsidR="0073299B" w:rsidRPr="0073299B">
        <w:rPr>
          <w:rFonts w:ascii="Calibri" w:eastAsia="Calibri" w:hAnsi="Calibri" w:cs="Calibri"/>
        </w:rPr>
        <w:t>, after standardization on cytogenetic risk exposure,</w:t>
      </w:r>
      <w:r w:rsidRPr="0073299B">
        <w:rPr>
          <w:rFonts w:ascii="Calibri" w:eastAsia="Calibri" w:hAnsi="Calibri" w:cs="Calibri"/>
        </w:rPr>
        <w:t xml:space="preserve"> differences in survival rates between the </w:t>
      </w:r>
      <w:r w:rsidR="0073299B" w:rsidRPr="0073299B">
        <w:rPr>
          <w:rFonts w:ascii="Calibri" w:eastAsia="Calibri" w:hAnsi="Calibri" w:cs="Calibri"/>
        </w:rPr>
        <w:t xml:space="preserve">MAIA trial and the Flatiron Health data </w:t>
      </w:r>
      <w:r w:rsidRPr="0073299B">
        <w:rPr>
          <w:rFonts w:ascii="Calibri" w:eastAsia="Calibri" w:hAnsi="Calibri" w:cs="Calibri"/>
        </w:rPr>
        <w:t>are entirely attributable to differences in treatment regim</w:t>
      </w:r>
      <w:r w:rsidR="0073299B" w:rsidRPr="0073299B">
        <w:rPr>
          <w:rFonts w:ascii="Calibri" w:eastAsia="Calibri" w:hAnsi="Calibri" w:cs="Calibri"/>
        </w:rPr>
        <w:t xml:space="preserve">ens and not confounded by other factors. </w:t>
      </w:r>
      <w:r w:rsidRPr="0073299B">
        <w:rPr>
          <w:rFonts w:ascii="Calibri" w:eastAsia="Calibri" w:hAnsi="Calibri" w:cs="Calibri"/>
        </w:rPr>
        <w:t xml:space="preserve">Due to the non-randomized nature of these comparisons, it is possible that unmeasured confounding factors are present. </w:t>
      </w:r>
    </w:p>
    <w:p w14:paraId="32953402" w14:textId="77777777" w:rsidR="0073299B" w:rsidRDefault="0073299B" w:rsidP="00C745B4">
      <w:pPr>
        <w:pStyle w:val="ListParagraph"/>
        <w:numPr>
          <w:ilvl w:val="0"/>
          <w:numId w:val="2"/>
        </w:numPr>
        <w:rPr>
          <w:rFonts w:eastAsiaTheme="minorEastAsia"/>
        </w:rPr>
      </w:pPr>
      <w:r>
        <w:rPr>
          <w:rFonts w:ascii="Calibri" w:eastAsia="Calibri" w:hAnsi="Calibri" w:cs="Calibri"/>
        </w:rPr>
        <w:t>[Repeat above assumption for relapsed and refractory once completed]</w:t>
      </w:r>
    </w:p>
    <w:p w14:paraId="20F8FFA1" w14:textId="77777777" w:rsidR="00C745B4" w:rsidRPr="0032332E" w:rsidRDefault="00C745B4" w:rsidP="00C745B4">
      <w:pPr>
        <w:pStyle w:val="ListParagraph"/>
        <w:numPr>
          <w:ilvl w:val="0"/>
          <w:numId w:val="2"/>
        </w:numPr>
        <w:rPr>
          <w:rFonts w:eastAsiaTheme="minorEastAsia"/>
        </w:rPr>
      </w:pPr>
      <w:r w:rsidRPr="74589ED8">
        <w:rPr>
          <w:rFonts w:ascii="Calibri" w:eastAsia="Calibri" w:hAnsi="Calibri" w:cs="Calibri"/>
        </w:rPr>
        <w:t xml:space="preserve">We assume that the treatment regimen for a given line of treatment affects the progression free survival rate and overall survival rate for that stage of disease only. Once a patient relapses and progresses to the next stage of disease, their progression free survival and overall survival rates are exclusively affected by the treatment regimen for that disease stage and no treatment regimens from any prior lines of treatment. </w:t>
      </w:r>
    </w:p>
    <w:p w14:paraId="0B73813C" w14:textId="77777777" w:rsidR="0032332E" w:rsidRPr="005C14CC" w:rsidRDefault="0032332E" w:rsidP="00C745B4">
      <w:pPr>
        <w:pStyle w:val="ListParagraph"/>
        <w:numPr>
          <w:ilvl w:val="0"/>
          <w:numId w:val="2"/>
        </w:numPr>
        <w:rPr>
          <w:rFonts w:eastAsiaTheme="minorEastAsia"/>
        </w:rPr>
      </w:pPr>
      <w:r>
        <w:rPr>
          <w:rFonts w:ascii="Calibri" w:eastAsia="Calibri" w:hAnsi="Calibri" w:cs="Calibri"/>
        </w:rPr>
        <w:lastRenderedPageBreak/>
        <w:t xml:space="preserve">We assume that </w:t>
      </w:r>
      <w:r w:rsidR="00027F72">
        <w:rPr>
          <w:rFonts w:ascii="Calibri" w:eastAsia="Calibri" w:hAnsi="Calibri" w:cs="Calibri"/>
        </w:rPr>
        <w:t>the daratumumab-containing treatment category will increase in coverage over time according to IQVIA sales forecast data for each line of treatment equally. However, it may be likely that daratumumab-containing treatment category will increase in coverage for the first line of treatment at a faster rate than other lines of treatment given its relatively lower coverage in 2021.</w:t>
      </w:r>
    </w:p>
    <w:p w14:paraId="693181AF" w14:textId="77777777" w:rsidR="005C14CC" w:rsidRDefault="005C14CC" w:rsidP="00C745B4">
      <w:pPr>
        <w:pStyle w:val="ListParagraph"/>
        <w:numPr>
          <w:ilvl w:val="0"/>
          <w:numId w:val="2"/>
        </w:numPr>
        <w:rPr>
          <w:rFonts w:eastAsiaTheme="minorEastAsia"/>
        </w:rPr>
      </w:pPr>
      <w:r>
        <w:rPr>
          <w:rFonts w:ascii="Calibri" w:eastAsia="Calibri" w:hAnsi="Calibri" w:cs="Calibri"/>
        </w:rPr>
        <w:t xml:space="preserve">We assume that the duration of treatment survival rate reported by </w:t>
      </w:r>
      <w:proofErr w:type="spellStart"/>
      <w:r>
        <w:rPr>
          <w:rFonts w:ascii="Calibri" w:eastAsia="Calibri" w:hAnsi="Calibri" w:cs="Calibri"/>
        </w:rPr>
        <w:t>Braunlin</w:t>
      </w:r>
      <w:proofErr w:type="spellEnd"/>
      <w:r>
        <w:rPr>
          <w:rFonts w:ascii="Calibri" w:eastAsia="Calibri" w:hAnsi="Calibri" w:cs="Calibri"/>
        </w:rPr>
        <w:t xml:space="preserve"> et al. (2020) is an acceptable proxy measure for the progression-free survival rate. However, the duration of treatment survival rate likely is an underestimate of the progression-free survival rate, which may cause an overestimation of the relative treatment effect of daratumumab/isatuxamib-containing treatments.</w:t>
      </w:r>
    </w:p>
    <w:p w14:paraId="2B48FAD4" w14:textId="77777777" w:rsidR="00F46DCA" w:rsidRDefault="00F46DCA" w:rsidP="00F46DCA">
      <w:pPr>
        <w:spacing w:line="257" w:lineRule="auto"/>
        <w:jc w:val="center"/>
        <w:rPr>
          <w:b/>
        </w:rPr>
      </w:pPr>
    </w:p>
    <w:p w14:paraId="29CB7234" w14:textId="77777777" w:rsidR="0028277E" w:rsidRDefault="0028277E">
      <w:pPr>
        <w:rPr>
          <w:b/>
        </w:rPr>
      </w:pPr>
      <w:r>
        <w:rPr>
          <w:b/>
        </w:rPr>
        <w:br w:type="page"/>
      </w:r>
    </w:p>
    <w:p w14:paraId="7CE910E6" w14:textId="77777777" w:rsidR="00BF36EF" w:rsidRPr="00F46DCA" w:rsidRDefault="00BF36EF" w:rsidP="00F46DCA">
      <w:pPr>
        <w:spacing w:line="257" w:lineRule="auto"/>
        <w:jc w:val="center"/>
        <w:rPr>
          <w:b/>
        </w:rPr>
      </w:pPr>
      <w:r w:rsidRPr="00F46DCA">
        <w:rPr>
          <w:b/>
        </w:rPr>
        <w:lastRenderedPageBreak/>
        <w:t>References</w:t>
      </w:r>
    </w:p>
    <w:p w14:paraId="143A49DC" w14:textId="77777777" w:rsidR="00F46DCA" w:rsidRDefault="00F46DCA" w:rsidP="00F46DCA">
      <w:r w:rsidRPr="00C559ED">
        <w:t xml:space="preserve">Attal M, Richardson PG, </w:t>
      </w:r>
      <w:proofErr w:type="spellStart"/>
      <w:r w:rsidRPr="00C559ED">
        <w:t>Rajkumar</w:t>
      </w:r>
      <w:proofErr w:type="spellEnd"/>
      <w:r w:rsidRPr="00C559ED">
        <w:t xml:space="preserve"> SV, et al. </w:t>
      </w:r>
      <w:proofErr w:type="spellStart"/>
      <w:r w:rsidRPr="00C559ED">
        <w:t>Isatuximab</w:t>
      </w:r>
      <w:proofErr w:type="spellEnd"/>
      <w:r w:rsidRPr="00C559ED">
        <w:t xml:space="preserve"> plus pomalidomide and low-dose dexamethasone versus pomalidomide and low-dose dexamethasone in patients with relapsed and refractory multiple myeloma (ICARIA-MM): a </w:t>
      </w:r>
      <w:proofErr w:type="spellStart"/>
      <w:r w:rsidRPr="00C559ED">
        <w:t>randomised</w:t>
      </w:r>
      <w:proofErr w:type="spellEnd"/>
      <w:r w:rsidRPr="00C559ED">
        <w:t xml:space="preserve">, </w:t>
      </w:r>
      <w:proofErr w:type="spellStart"/>
      <w:r w:rsidRPr="00C559ED">
        <w:t>multicentre</w:t>
      </w:r>
      <w:proofErr w:type="spellEnd"/>
      <w:r w:rsidRPr="00C559ED">
        <w:t>, open-label, phase 3 study. Lancet 2019; 394: 2096–107.</w:t>
      </w:r>
    </w:p>
    <w:p w14:paraId="1B302B9B" w14:textId="77777777" w:rsidR="00F46DCA" w:rsidRPr="00F46DCA" w:rsidRDefault="00F46DCA" w:rsidP="00F46DCA">
      <w:pPr>
        <w:spacing w:line="257" w:lineRule="auto"/>
        <w:rPr>
          <w:rFonts w:ascii="Calibri" w:eastAsia="Calibri" w:hAnsi="Calibri" w:cs="Calibri"/>
        </w:rPr>
      </w:pPr>
      <w:proofErr w:type="spellStart"/>
      <w:r w:rsidRPr="3B723640">
        <w:rPr>
          <w:rFonts w:ascii="Calibri" w:eastAsia="Calibri" w:hAnsi="Calibri" w:cs="Calibri"/>
        </w:rPr>
        <w:t>Bahlis</w:t>
      </w:r>
      <w:proofErr w:type="spellEnd"/>
      <w:r w:rsidRPr="3B723640">
        <w:rPr>
          <w:rFonts w:ascii="Calibri" w:eastAsia="Calibri" w:hAnsi="Calibri" w:cs="Calibri"/>
        </w:rPr>
        <w:t xml:space="preserve">, N. J., </w:t>
      </w:r>
      <w:proofErr w:type="spellStart"/>
      <w:r w:rsidRPr="3B723640">
        <w:rPr>
          <w:rFonts w:ascii="Calibri" w:eastAsia="Calibri" w:hAnsi="Calibri" w:cs="Calibri"/>
        </w:rPr>
        <w:t>Dimopoulos</w:t>
      </w:r>
      <w:proofErr w:type="spellEnd"/>
      <w:r w:rsidRPr="3B723640">
        <w:rPr>
          <w:rFonts w:ascii="Calibri" w:eastAsia="Calibri" w:hAnsi="Calibri" w:cs="Calibri"/>
        </w:rPr>
        <w:t xml:space="preserve">, M. A., White, D. J., </w:t>
      </w:r>
      <w:proofErr w:type="spellStart"/>
      <w:r w:rsidRPr="3B723640">
        <w:rPr>
          <w:rFonts w:ascii="Calibri" w:eastAsia="Calibri" w:hAnsi="Calibri" w:cs="Calibri"/>
        </w:rPr>
        <w:t>Benboubker</w:t>
      </w:r>
      <w:proofErr w:type="spellEnd"/>
      <w:r w:rsidRPr="3B723640">
        <w:rPr>
          <w:rFonts w:ascii="Calibri" w:eastAsia="Calibri" w:hAnsi="Calibri" w:cs="Calibri"/>
        </w:rPr>
        <w:t xml:space="preserve">, L., Cook, G., </w:t>
      </w:r>
      <w:proofErr w:type="spellStart"/>
      <w:r w:rsidRPr="3B723640">
        <w:rPr>
          <w:rFonts w:ascii="Calibri" w:eastAsia="Calibri" w:hAnsi="Calibri" w:cs="Calibri"/>
        </w:rPr>
        <w:t>Leiba</w:t>
      </w:r>
      <w:proofErr w:type="spellEnd"/>
      <w:r w:rsidRPr="3B723640">
        <w:rPr>
          <w:rFonts w:ascii="Calibri" w:eastAsia="Calibri" w:hAnsi="Calibri" w:cs="Calibri"/>
        </w:rPr>
        <w:t>, M., ... &amp; San-Miguel, J. (2020). Daratumumab plus lenalidomide and dexamethasone in relapsed/refractory multiple myeloma: extended follow-up of POLLUX, a randomized, open-label, phase 3 study. Leukemia, 34(7), 1875-1884.</w:t>
      </w:r>
    </w:p>
    <w:p w14:paraId="22059301" w14:textId="77777777" w:rsidR="00F46DCA" w:rsidRDefault="00F46DCA" w:rsidP="00F46DCA">
      <w:proofErr w:type="spellStart"/>
      <w:r>
        <w:t>Becnel</w:t>
      </w:r>
      <w:proofErr w:type="spellEnd"/>
      <w:r>
        <w:t xml:space="preserve">, M.R.; Horowitz, S.B.; Thomas, S.K.; </w:t>
      </w:r>
      <w:proofErr w:type="spellStart"/>
      <w:r>
        <w:t>Iyer</w:t>
      </w:r>
      <w:proofErr w:type="spellEnd"/>
      <w:r>
        <w:t xml:space="preserve">, S.P.; Patel, K.K.; </w:t>
      </w:r>
      <w:proofErr w:type="spellStart"/>
      <w:r>
        <w:t>Manasanch</w:t>
      </w:r>
      <w:proofErr w:type="spellEnd"/>
      <w:r>
        <w:t xml:space="preserve">, E.E.; Weber, D.M.; Kaufman, G.P.; Lee, H.C.; </w:t>
      </w:r>
      <w:proofErr w:type="spellStart"/>
      <w:r>
        <w:t>Orlowski</w:t>
      </w:r>
      <w:proofErr w:type="spellEnd"/>
      <w:r>
        <w:t xml:space="preserve">, R.Z. Descriptive Analysis of </w:t>
      </w:r>
      <w:proofErr w:type="spellStart"/>
      <w:r>
        <w:t>Isatuximab</w:t>
      </w:r>
      <w:proofErr w:type="spellEnd"/>
      <w:r>
        <w:t xml:space="preserve"> Use Following Prior Daratumumab in Patients with Relapsed/Refractory Multiple Myeloma. Blood 2020, 136, 20–21.</w:t>
      </w:r>
    </w:p>
    <w:p w14:paraId="4AE561F5" w14:textId="77777777" w:rsidR="00F46DCA" w:rsidRDefault="00F46DCA" w:rsidP="00F46DCA">
      <w:proofErr w:type="spellStart"/>
      <w:r w:rsidRPr="0081470E">
        <w:t>Braunlin</w:t>
      </w:r>
      <w:proofErr w:type="spellEnd"/>
      <w:r w:rsidRPr="0081470E">
        <w:t xml:space="preserve">, M., </w:t>
      </w:r>
      <w:proofErr w:type="spellStart"/>
      <w:r w:rsidRPr="0081470E">
        <w:t>Belani</w:t>
      </w:r>
      <w:proofErr w:type="spellEnd"/>
      <w:r w:rsidRPr="0081470E">
        <w:t>, R., Buchanan, J., Wheeling, T., &amp; Kim, C. (2021). Trends in the multiple myeloma treatment landscape and survival: A US analysis using 2011–2019 oncology clinic electronic health record data. Leukemia &amp; Lymphoma, 62(2), 377-386.</w:t>
      </w:r>
    </w:p>
    <w:p w14:paraId="5CEBD09D" w14:textId="77777777" w:rsidR="00BF58AE" w:rsidRDefault="00BF58AE" w:rsidP="00F46DCA">
      <w:proofErr w:type="spellStart"/>
      <w:r w:rsidRPr="00BF58AE">
        <w:t>Derman</w:t>
      </w:r>
      <w:proofErr w:type="spellEnd"/>
      <w:r w:rsidRPr="00BF58AE">
        <w:t xml:space="preserve">, B. A., </w:t>
      </w:r>
      <w:proofErr w:type="spellStart"/>
      <w:r w:rsidRPr="00BF58AE">
        <w:t>Jasielec</w:t>
      </w:r>
      <w:proofErr w:type="spellEnd"/>
      <w:r w:rsidRPr="00BF58AE">
        <w:t xml:space="preserve">, J., </w:t>
      </w:r>
      <w:proofErr w:type="spellStart"/>
      <w:r w:rsidRPr="00BF58AE">
        <w:t>Langerman</w:t>
      </w:r>
      <w:proofErr w:type="spellEnd"/>
      <w:r w:rsidRPr="00BF58AE">
        <w:t xml:space="preserve">, S. S., Zhang, W., </w:t>
      </w:r>
      <w:proofErr w:type="spellStart"/>
      <w:r w:rsidRPr="00BF58AE">
        <w:t>Jakubowiak</w:t>
      </w:r>
      <w:proofErr w:type="spellEnd"/>
      <w:r w:rsidRPr="00BF58AE">
        <w:t>, A. J., &amp; Chiu, B. C. H. (2020). Racial differences in treatment and outcomes in multiple myeloma: a multiple myeloma research foundation analysis. Blood cancer journal, 10(8), 1-7.</w:t>
      </w:r>
    </w:p>
    <w:p w14:paraId="5DAF045B" w14:textId="77777777" w:rsidR="00F46DCA" w:rsidRDefault="00F46DCA" w:rsidP="00F46DCA">
      <w:proofErr w:type="spellStart"/>
      <w:r w:rsidRPr="0081470E">
        <w:t>Facon</w:t>
      </w:r>
      <w:proofErr w:type="spellEnd"/>
      <w:r w:rsidRPr="0081470E">
        <w:t xml:space="preserve">, T., Kumar, S., </w:t>
      </w:r>
      <w:proofErr w:type="spellStart"/>
      <w:r w:rsidRPr="0081470E">
        <w:t>Plesner</w:t>
      </w:r>
      <w:proofErr w:type="spellEnd"/>
      <w:r w:rsidRPr="0081470E">
        <w:t xml:space="preserve">, T., </w:t>
      </w:r>
      <w:proofErr w:type="spellStart"/>
      <w:r w:rsidRPr="0081470E">
        <w:t>Orlowski</w:t>
      </w:r>
      <w:proofErr w:type="spellEnd"/>
      <w:r w:rsidRPr="0081470E">
        <w:t xml:space="preserve">, R. Z., Moreau, P., </w:t>
      </w:r>
      <w:proofErr w:type="spellStart"/>
      <w:r w:rsidRPr="0081470E">
        <w:t>Bahlis</w:t>
      </w:r>
      <w:proofErr w:type="spellEnd"/>
      <w:r w:rsidRPr="0081470E">
        <w:t xml:space="preserve">, N., ... &amp; </w:t>
      </w:r>
      <w:proofErr w:type="spellStart"/>
      <w:r w:rsidRPr="0081470E">
        <w:t>Usmani</w:t>
      </w:r>
      <w:proofErr w:type="spellEnd"/>
      <w:r w:rsidRPr="0081470E">
        <w:t>, S. Z. (2019). Daratumumab plus lenalidomide and dexamethasone for untreated myeloma. New England Journal of Medicine, 380(22), 2104-2115.</w:t>
      </w:r>
    </w:p>
    <w:p w14:paraId="1E46F16D" w14:textId="77777777" w:rsidR="00F46DCA" w:rsidRDefault="00F46DCA" w:rsidP="00F46DCA">
      <w:proofErr w:type="spellStart"/>
      <w:r w:rsidRPr="00F46DCA">
        <w:t>Mikhael</w:t>
      </w:r>
      <w:proofErr w:type="spellEnd"/>
      <w:r w:rsidRPr="00F46DCA">
        <w:t xml:space="preserve">, J., </w:t>
      </w:r>
      <w:proofErr w:type="spellStart"/>
      <w:r w:rsidRPr="00F46DCA">
        <w:t>Belhadj-Merzoug</w:t>
      </w:r>
      <w:proofErr w:type="spellEnd"/>
      <w:r w:rsidRPr="00F46DCA">
        <w:t xml:space="preserve">, K., Hulin, C., Vincent, L., Moreau, P., </w:t>
      </w:r>
      <w:proofErr w:type="spellStart"/>
      <w:r w:rsidRPr="00F46DCA">
        <w:t>Gasparetto</w:t>
      </w:r>
      <w:proofErr w:type="spellEnd"/>
      <w:r w:rsidRPr="00F46DCA">
        <w:t xml:space="preserve">, C., ... &amp; </w:t>
      </w:r>
      <w:proofErr w:type="spellStart"/>
      <w:r w:rsidRPr="00F46DCA">
        <w:t>Leleu</w:t>
      </w:r>
      <w:proofErr w:type="spellEnd"/>
      <w:r w:rsidRPr="00F46DCA">
        <w:t xml:space="preserve">, X. (2021). A phase 2 study of </w:t>
      </w:r>
      <w:proofErr w:type="spellStart"/>
      <w:r w:rsidRPr="00F46DCA">
        <w:t>isatuximab</w:t>
      </w:r>
      <w:proofErr w:type="spellEnd"/>
      <w:r w:rsidRPr="00F46DCA">
        <w:t xml:space="preserve"> monotherapy in patients with multiple myeloma who are refractory to daratumumab. Blood cancer journal, 11(5), 1-5.</w:t>
      </w:r>
    </w:p>
    <w:p w14:paraId="22A89853" w14:textId="77777777" w:rsidR="00556FEE" w:rsidRDefault="00556FEE" w:rsidP="00F46DCA">
      <w:proofErr w:type="spellStart"/>
      <w:r w:rsidRPr="00556FEE">
        <w:t>Mohty</w:t>
      </w:r>
      <w:proofErr w:type="spellEnd"/>
      <w:r w:rsidRPr="00556FEE">
        <w:t xml:space="preserve">, M., </w:t>
      </w:r>
      <w:proofErr w:type="spellStart"/>
      <w:r w:rsidRPr="00556FEE">
        <w:t>Cavo</w:t>
      </w:r>
      <w:proofErr w:type="spellEnd"/>
      <w:r w:rsidRPr="00556FEE">
        <w:t>, M., Fink, L., Gonzalez‐</w:t>
      </w:r>
      <w:proofErr w:type="spellStart"/>
      <w:r w:rsidRPr="00556FEE">
        <w:t>McQuire</w:t>
      </w:r>
      <w:proofErr w:type="spellEnd"/>
      <w:r w:rsidRPr="00556FEE">
        <w:t xml:space="preserve">, S., </w:t>
      </w:r>
      <w:proofErr w:type="spellStart"/>
      <w:r w:rsidRPr="00556FEE">
        <w:t>Leleu</w:t>
      </w:r>
      <w:proofErr w:type="spellEnd"/>
      <w:r w:rsidRPr="00556FEE">
        <w:t xml:space="preserve">, H., </w:t>
      </w:r>
      <w:proofErr w:type="spellStart"/>
      <w:r w:rsidRPr="00556FEE">
        <w:t>Mateos</w:t>
      </w:r>
      <w:proofErr w:type="spellEnd"/>
      <w:r w:rsidRPr="00556FEE">
        <w:t xml:space="preserve">, M. V., ... &amp; Yong, K. (2019). Understanding mortality in multiple myeloma: Findings of a European retrospective chart review. European journal of </w:t>
      </w:r>
      <w:proofErr w:type="spellStart"/>
      <w:r w:rsidRPr="00556FEE">
        <w:t>haematology</w:t>
      </w:r>
      <w:proofErr w:type="spellEnd"/>
      <w:r w:rsidRPr="00556FEE">
        <w:t>, 103(2), 107-115.</w:t>
      </w:r>
    </w:p>
    <w:p w14:paraId="38E864B2" w14:textId="77777777" w:rsidR="00556FEE" w:rsidRPr="00C559ED" w:rsidRDefault="00556FEE" w:rsidP="00F46DCA">
      <w:r w:rsidRPr="00556FEE">
        <w:t xml:space="preserve">Moreau, P., </w:t>
      </w:r>
      <w:proofErr w:type="spellStart"/>
      <w:r w:rsidRPr="00556FEE">
        <w:t>Dimopoulos</w:t>
      </w:r>
      <w:proofErr w:type="spellEnd"/>
      <w:r w:rsidRPr="00556FEE">
        <w:t xml:space="preserve">, M. A., </w:t>
      </w:r>
      <w:proofErr w:type="spellStart"/>
      <w:r w:rsidRPr="00556FEE">
        <w:t>Mikhael</w:t>
      </w:r>
      <w:proofErr w:type="spellEnd"/>
      <w:r w:rsidRPr="00556FEE">
        <w:t xml:space="preserve">, J., Yong, K., Capra, M., </w:t>
      </w:r>
      <w:proofErr w:type="spellStart"/>
      <w:r w:rsidRPr="00556FEE">
        <w:t>Facon</w:t>
      </w:r>
      <w:proofErr w:type="spellEnd"/>
      <w:r w:rsidRPr="00556FEE">
        <w:t xml:space="preserve">, T., ... &amp; </w:t>
      </w:r>
      <w:proofErr w:type="spellStart"/>
      <w:r w:rsidRPr="00556FEE">
        <w:t>Ozkalemkas</w:t>
      </w:r>
      <w:proofErr w:type="spellEnd"/>
      <w:r w:rsidRPr="00556FEE">
        <w:t xml:space="preserve">, F. (2021). </w:t>
      </w:r>
      <w:proofErr w:type="spellStart"/>
      <w:r w:rsidRPr="00556FEE">
        <w:t>Isatuximab</w:t>
      </w:r>
      <w:proofErr w:type="spellEnd"/>
      <w:r w:rsidRPr="00556FEE">
        <w:t xml:space="preserve">, carfilzomib, and dexamethasone in relapsed multiple myeloma (IKEMA): a </w:t>
      </w:r>
      <w:proofErr w:type="spellStart"/>
      <w:r w:rsidRPr="00556FEE">
        <w:t>multicentre</w:t>
      </w:r>
      <w:proofErr w:type="spellEnd"/>
      <w:r w:rsidRPr="00556FEE">
        <w:t xml:space="preserve">, open-label, </w:t>
      </w:r>
      <w:proofErr w:type="spellStart"/>
      <w:r w:rsidRPr="00556FEE">
        <w:t>randomised</w:t>
      </w:r>
      <w:proofErr w:type="spellEnd"/>
      <w:r w:rsidRPr="00556FEE">
        <w:t xml:space="preserve"> phase 3 trial. The Lancet.</w:t>
      </w:r>
    </w:p>
    <w:p w14:paraId="466BD183" w14:textId="77777777" w:rsidR="00F46DCA" w:rsidRDefault="00F46DCA" w:rsidP="00F46DCA">
      <w:pPr>
        <w:spacing w:line="257" w:lineRule="auto"/>
      </w:pPr>
      <w:proofErr w:type="spellStart"/>
      <w:r>
        <w:t>Nooka</w:t>
      </w:r>
      <w:proofErr w:type="spellEnd"/>
      <w:r>
        <w:t xml:space="preserve">, A.K.; Joseph, N.S.; Kaufman, J.L.; Heffner, L.T.; Gupta, V.A.; Gleason, C.; Boise, L.H.; </w:t>
      </w:r>
      <w:proofErr w:type="spellStart"/>
      <w:r>
        <w:t>Lonial</w:t>
      </w:r>
      <w:proofErr w:type="spellEnd"/>
      <w:r>
        <w:t>, S. Clinical Efficacy of Daratumumab, Pomalidomide, and Dexamethasone in Patients with Relapsed or Refractory Myeloma: Utility of Re-Treatment with Daratumumab among Refractory Patients. Cancer 2019, 125, 2991–3000.</w:t>
      </w:r>
    </w:p>
    <w:p w14:paraId="3151680E" w14:textId="77777777" w:rsidR="00F46DCA" w:rsidRDefault="00F46DCA" w:rsidP="00F46DCA">
      <w:pPr>
        <w:spacing w:line="257" w:lineRule="auto"/>
      </w:pPr>
      <w:proofErr w:type="spellStart"/>
      <w:r>
        <w:t>Radocha</w:t>
      </w:r>
      <w:proofErr w:type="spellEnd"/>
      <w:r>
        <w:t xml:space="preserve">, J., van de Donk, N. W., &amp; </w:t>
      </w:r>
      <w:proofErr w:type="spellStart"/>
      <w:r>
        <w:t>Weisel</w:t>
      </w:r>
      <w:proofErr w:type="spellEnd"/>
      <w:r>
        <w:t>, K. (2021). Monoclonal Antibodies and Antibody Drug Conjugates in Multiple Myeloma. Cancers, 13(7), 1571.</w:t>
      </w:r>
    </w:p>
    <w:p w14:paraId="1B11B648" w14:textId="77777777" w:rsidR="00BF36EF" w:rsidRPr="0079195F" w:rsidRDefault="00F46DCA" w:rsidP="00BF36EF">
      <w:pPr>
        <w:spacing w:line="257" w:lineRule="auto"/>
      </w:pPr>
      <w:r>
        <w:t xml:space="preserve">Shah, N.; Aiello, J.; </w:t>
      </w:r>
      <w:proofErr w:type="spellStart"/>
      <w:r>
        <w:t>Avigan</w:t>
      </w:r>
      <w:proofErr w:type="spellEnd"/>
      <w:r>
        <w:t xml:space="preserve">, D.E.; </w:t>
      </w:r>
      <w:proofErr w:type="spellStart"/>
      <w:r>
        <w:t>Berdeja</w:t>
      </w:r>
      <w:proofErr w:type="spellEnd"/>
      <w:r>
        <w:t xml:space="preserve">, J.G.; </w:t>
      </w:r>
      <w:proofErr w:type="spellStart"/>
      <w:r>
        <w:t>Borrello</w:t>
      </w:r>
      <w:proofErr w:type="spellEnd"/>
      <w:r>
        <w:t xml:space="preserve">, I.M.; Chari, A.; Cohen, A.D.; </w:t>
      </w:r>
      <w:proofErr w:type="spellStart"/>
      <w:r>
        <w:t>Ganapathi</w:t>
      </w:r>
      <w:proofErr w:type="spellEnd"/>
      <w:r>
        <w:t xml:space="preserve">, K.; Gray, L.; Green, D.; et al. The Society for Immunotherapy of Cancer Consensus Statement on Immunotherapy for the Treatment of Multiple Myeloma. J. </w:t>
      </w:r>
      <w:proofErr w:type="spellStart"/>
      <w:r>
        <w:t>Immunother</w:t>
      </w:r>
      <w:proofErr w:type="spellEnd"/>
      <w:r>
        <w:t>. Cancer 2020, 8.</w:t>
      </w:r>
    </w:p>
    <w:sectPr w:rsidR="00BF36EF" w:rsidRPr="0079195F">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i Bowman" w:date="2021-06-10T15:13:00Z" w:initials="AB">
    <w:p w14:paraId="7C0C9402" w14:textId="74C8EAF1" w:rsidR="000E586C" w:rsidRDefault="000E586C">
      <w:pPr>
        <w:pStyle w:val="CommentText"/>
      </w:pPr>
      <w:r>
        <w:rPr>
          <w:rStyle w:val="CommentReference"/>
        </w:rPr>
        <w:annotationRef/>
      </w:r>
      <w:r>
        <w:t>We could take this into consideration with some additional analytic steps, but we would have to make assumptions regarding:</w:t>
      </w:r>
    </w:p>
    <w:p w14:paraId="5AEA08F9" w14:textId="5F67282C" w:rsidR="000E586C" w:rsidRDefault="000E586C">
      <w:pPr>
        <w:pStyle w:val="CommentText"/>
      </w:pPr>
    </w:p>
    <w:p w14:paraId="137D1985" w14:textId="5CA1FF5F" w:rsidR="000E586C" w:rsidRDefault="000E586C" w:rsidP="000E586C">
      <w:pPr>
        <w:pStyle w:val="CommentText"/>
        <w:numPr>
          <w:ilvl w:val="0"/>
          <w:numId w:val="5"/>
        </w:numPr>
      </w:pPr>
      <w:r>
        <w:t xml:space="preserve">No differential HRCA exposure by race (defended by </w:t>
      </w:r>
      <w:proofErr w:type="spellStart"/>
      <w:r>
        <w:t>Derman</w:t>
      </w:r>
      <w:proofErr w:type="spellEnd"/>
      <w:r>
        <w:t xml:space="preserve"> data)</w:t>
      </w:r>
    </w:p>
    <w:p w14:paraId="4DCEBD8C" w14:textId="1AAC5E06" w:rsidR="000E586C" w:rsidRDefault="000E586C" w:rsidP="000E586C">
      <w:pPr>
        <w:pStyle w:val="CommentText"/>
        <w:numPr>
          <w:ilvl w:val="0"/>
          <w:numId w:val="5"/>
        </w:numPr>
      </w:pPr>
      <w:r>
        <w:t>HRCA effect modification for races other than black/white</w:t>
      </w:r>
    </w:p>
    <w:p w14:paraId="31910746" w14:textId="7576807B" w:rsidR="000E586C" w:rsidRDefault="000E586C" w:rsidP="000E586C">
      <w:pPr>
        <w:pStyle w:val="CommentText"/>
        <w:numPr>
          <w:ilvl w:val="0"/>
          <w:numId w:val="5"/>
        </w:numPr>
      </w:pPr>
      <w:r>
        <w:t>Racial make-up of the “other” racial category in the MAIA trial</w:t>
      </w:r>
    </w:p>
  </w:comment>
  <w:comment w:id="2" w:author="Ali Bowman" w:date="2021-06-10T17:27:00Z" w:initials="AB">
    <w:p w14:paraId="712CE9B8" w14:textId="76F1A9DE" w:rsidR="007757F9" w:rsidRDefault="007757F9">
      <w:pPr>
        <w:pStyle w:val="CommentText"/>
      </w:pPr>
      <w:r>
        <w:rPr>
          <w:rStyle w:val="CommentReference"/>
        </w:rPr>
        <w:annotationRef/>
      </w:r>
      <w:r>
        <w:t>Will be expanded for RRMM treatment effect estimation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910746" w15:done="0"/>
  <w15:commentEx w15:paraId="712CE9B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CF773" w14:textId="77777777" w:rsidR="00D2503B" w:rsidRDefault="00D2503B" w:rsidP="00753047">
      <w:pPr>
        <w:spacing w:after="0" w:line="240" w:lineRule="auto"/>
      </w:pPr>
      <w:r>
        <w:separator/>
      </w:r>
    </w:p>
  </w:endnote>
  <w:endnote w:type="continuationSeparator" w:id="0">
    <w:p w14:paraId="72FF91A7" w14:textId="77777777" w:rsidR="00D2503B" w:rsidRDefault="00D2503B" w:rsidP="0075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D10F4" w14:textId="77777777" w:rsidR="00D2503B" w:rsidRDefault="00D2503B" w:rsidP="00753047">
      <w:pPr>
        <w:spacing w:after="0" w:line="240" w:lineRule="auto"/>
      </w:pPr>
      <w:r>
        <w:separator/>
      </w:r>
    </w:p>
  </w:footnote>
  <w:footnote w:type="continuationSeparator" w:id="0">
    <w:p w14:paraId="54D77CD4" w14:textId="77777777" w:rsidR="00D2503B" w:rsidRDefault="00D2503B" w:rsidP="00753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E0D41" w14:textId="77777777" w:rsidR="00F35937" w:rsidRDefault="00F35937">
    <w:pPr>
      <w:pStyle w:val="Header"/>
    </w:pPr>
    <w:r>
      <w:t>June 9, 2021</w:t>
    </w:r>
  </w:p>
  <w:p w14:paraId="383F3FBE" w14:textId="77777777" w:rsidR="00F35937" w:rsidRDefault="00F359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240D"/>
    <w:multiLevelType w:val="hybridMultilevel"/>
    <w:tmpl w:val="51626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32BFB"/>
    <w:multiLevelType w:val="hybridMultilevel"/>
    <w:tmpl w:val="12F6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330E8"/>
    <w:multiLevelType w:val="hybridMultilevel"/>
    <w:tmpl w:val="B4DC072A"/>
    <w:lvl w:ilvl="0" w:tplc="969077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D58B7"/>
    <w:multiLevelType w:val="hybridMultilevel"/>
    <w:tmpl w:val="56F8F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16380"/>
    <w:multiLevelType w:val="hybridMultilevel"/>
    <w:tmpl w:val="DC2C18A8"/>
    <w:lvl w:ilvl="0" w:tplc="4F8871B6">
      <w:start w:val="1"/>
      <w:numFmt w:val="decimal"/>
      <w:lvlText w:val="%1."/>
      <w:lvlJc w:val="left"/>
      <w:pPr>
        <w:ind w:left="720" w:hanging="360"/>
      </w:pPr>
    </w:lvl>
    <w:lvl w:ilvl="1" w:tplc="E79873F6">
      <w:start w:val="1"/>
      <w:numFmt w:val="lowerLetter"/>
      <w:lvlText w:val="%2."/>
      <w:lvlJc w:val="left"/>
      <w:pPr>
        <w:ind w:left="1440" w:hanging="360"/>
      </w:pPr>
    </w:lvl>
    <w:lvl w:ilvl="2" w:tplc="2334EAC4">
      <w:start w:val="1"/>
      <w:numFmt w:val="lowerRoman"/>
      <w:lvlText w:val="%3."/>
      <w:lvlJc w:val="right"/>
      <w:pPr>
        <w:ind w:left="2160" w:hanging="180"/>
      </w:pPr>
    </w:lvl>
    <w:lvl w:ilvl="3" w:tplc="06DECDEC">
      <w:start w:val="1"/>
      <w:numFmt w:val="decimal"/>
      <w:lvlText w:val="%4."/>
      <w:lvlJc w:val="left"/>
      <w:pPr>
        <w:ind w:left="2880" w:hanging="360"/>
      </w:pPr>
    </w:lvl>
    <w:lvl w:ilvl="4" w:tplc="719E54FE">
      <w:start w:val="1"/>
      <w:numFmt w:val="lowerLetter"/>
      <w:lvlText w:val="%5."/>
      <w:lvlJc w:val="left"/>
      <w:pPr>
        <w:ind w:left="3600" w:hanging="360"/>
      </w:pPr>
    </w:lvl>
    <w:lvl w:ilvl="5" w:tplc="0E7875F8">
      <w:start w:val="1"/>
      <w:numFmt w:val="lowerRoman"/>
      <w:lvlText w:val="%6."/>
      <w:lvlJc w:val="right"/>
      <w:pPr>
        <w:ind w:left="4320" w:hanging="180"/>
      </w:pPr>
    </w:lvl>
    <w:lvl w:ilvl="6" w:tplc="4E42B072">
      <w:start w:val="1"/>
      <w:numFmt w:val="decimal"/>
      <w:lvlText w:val="%7."/>
      <w:lvlJc w:val="left"/>
      <w:pPr>
        <w:ind w:left="5040" w:hanging="360"/>
      </w:pPr>
    </w:lvl>
    <w:lvl w:ilvl="7" w:tplc="B9BA87E8">
      <w:start w:val="1"/>
      <w:numFmt w:val="lowerLetter"/>
      <w:lvlText w:val="%8."/>
      <w:lvlJc w:val="left"/>
      <w:pPr>
        <w:ind w:left="5760" w:hanging="360"/>
      </w:pPr>
    </w:lvl>
    <w:lvl w:ilvl="8" w:tplc="4AE23EF0">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 Bowman">
    <w15:presenceInfo w15:providerId="AD" w15:userId="S-1-5-21-1432448116-3596794978-2099202681-10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B3"/>
    <w:rsid w:val="000037F1"/>
    <w:rsid w:val="00016F55"/>
    <w:rsid w:val="00027F72"/>
    <w:rsid w:val="00044268"/>
    <w:rsid w:val="00060E1D"/>
    <w:rsid w:val="00060E7C"/>
    <w:rsid w:val="00094B81"/>
    <w:rsid w:val="000A5057"/>
    <w:rsid w:val="000C1F3A"/>
    <w:rsid w:val="000D16F3"/>
    <w:rsid w:val="000D66B3"/>
    <w:rsid w:val="000E586C"/>
    <w:rsid w:val="00101203"/>
    <w:rsid w:val="00103FDC"/>
    <w:rsid w:val="001573AB"/>
    <w:rsid w:val="001C321B"/>
    <w:rsid w:val="001C469C"/>
    <w:rsid w:val="0020698B"/>
    <w:rsid w:val="0028277E"/>
    <w:rsid w:val="002D485F"/>
    <w:rsid w:val="0032332E"/>
    <w:rsid w:val="00356FE5"/>
    <w:rsid w:val="003A1929"/>
    <w:rsid w:val="003A45E5"/>
    <w:rsid w:val="003B6D2E"/>
    <w:rsid w:val="003C05B2"/>
    <w:rsid w:val="003C46C2"/>
    <w:rsid w:val="003D699F"/>
    <w:rsid w:val="003E799A"/>
    <w:rsid w:val="003F17BD"/>
    <w:rsid w:val="004253AE"/>
    <w:rsid w:val="00435AC7"/>
    <w:rsid w:val="00435D29"/>
    <w:rsid w:val="00490A1C"/>
    <w:rsid w:val="004E1E6B"/>
    <w:rsid w:val="00505F7F"/>
    <w:rsid w:val="00507336"/>
    <w:rsid w:val="005379F8"/>
    <w:rsid w:val="005510E8"/>
    <w:rsid w:val="005543B6"/>
    <w:rsid w:val="00555662"/>
    <w:rsid w:val="00556FEE"/>
    <w:rsid w:val="00574CD5"/>
    <w:rsid w:val="005B2E31"/>
    <w:rsid w:val="005C14CC"/>
    <w:rsid w:val="005D462B"/>
    <w:rsid w:val="005F1E6D"/>
    <w:rsid w:val="00646941"/>
    <w:rsid w:val="006540C5"/>
    <w:rsid w:val="00667310"/>
    <w:rsid w:val="006A2B10"/>
    <w:rsid w:val="006B1CE7"/>
    <w:rsid w:val="006B5B49"/>
    <w:rsid w:val="006C6AFA"/>
    <w:rsid w:val="0073085E"/>
    <w:rsid w:val="007308DE"/>
    <w:rsid w:val="0073299B"/>
    <w:rsid w:val="00742666"/>
    <w:rsid w:val="00753047"/>
    <w:rsid w:val="00757A4E"/>
    <w:rsid w:val="0076510B"/>
    <w:rsid w:val="007737BE"/>
    <w:rsid w:val="007757F9"/>
    <w:rsid w:val="0079195F"/>
    <w:rsid w:val="007B7D71"/>
    <w:rsid w:val="007C09F3"/>
    <w:rsid w:val="007D3C12"/>
    <w:rsid w:val="00810208"/>
    <w:rsid w:val="008133B9"/>
    <w:rsid w:val="008614DC"/>
    <w:rsid w:val="0088218D"/>
    <w:rsid w:val="00882839"/>
    <w:rsid w:val="008B0309"/>
    <w:rsid w:val="008D3D91"/>
    <w:rsid w:val="009057BD"/>
    <w:rsid w:val="009102F0"/>
    <w:rsid w:val="00937CE3"/>
    <w:rsid w:val="00970F1B"/>
    <w:rsid w:val="00996956"/>
    <w:rsid w:val="009B1EB8"/>
    <w:rsid w:val="009C1501"/>
    <w:rsid w:val="009D05BE"/>
    <w:rsid w:val="009F1D78"/>
    <w:rsid w:val="009F2B15"/>
    <w:rsid w:val="009F7BB2"/>
    <w:rsid w:val="00A01389"/>
    <w:rsid w:val="00A02F81"/>
    <w:rsid w:val="00A0311A"/>
    <w:rsid w:val="00A32736"/>
    <w:rsid w:val="00A3331E"/>
    <w:rsid w:val="00A349C3"/>
    <w:rsid w:val="00A3681F"/>
    <w:rsid w:val="00A60871"/>
    <w:rsid w:val="00A96247"/>
    <w:rsid w:val="00BB708E"/>
    <w:rsid w:val="00BC4D26"/>
    <w:rsid w:val="00BF36EF"/>
    <w:rsid w:val="00BF58AE"/>
    <w:rsid w:val="00C46D5D"/>
    <w:rsid w:val="00C64154"/>
    <w:rsid w:val="00C745B4"/>
    <w:rsid w:val="00C9668B"/>
    <w:rsid w:val="00CA22D1"/>
    <w:rsid w:val="00CA2D76"/>
    <w:rsid w:val="00CB1D54"/>
    <w:rsid w:val="00CB23B8"/>
    <w:rsid w:val="00CE6D5F"/>
    <w:rsid w:val="00CF0C78"/>
    <w:rsid w:val="00CF38E3"/>
    <w:rsid w:val="00D00264"/>
    <w:rsid w:val="00D24922"/>
    <w:rsid w:val="00D2503B"/>
    <w:rsid w:val="00D30610"/>
    <w:rsid w:val="00D32872"/>
    <w:rsid w:val="00D66B2F"/>
    <w:rsid w:val="00DC677D"/>
    <w:rsid w:val="00DC79A1"/>
    <w:rsid w:val="00DD2835"/>
    <w:rsid w:val="00DF7FC3"/>
    <w:rsid w:val="00E03B11"/>
    <w:rsid w:val="00E3348B"/>
    <w:rsid w:val="00E45234"/>
    <w:rsid w:val="00E636DE"/>
    <w:rsid w:val="00E67508"/>
    <w:rsid w:val="00EB66DF"/>
    <w:rsid w:val="00EF2384"/>
    <w:rsid w:val="00F35937"/>
    <w:rsid w:val="00F35C5F"/>
    <w:rsid w:val="00F46B99"/>
    <w:rsid w:val="00F46DCA"/>
    <w:rsid w:val="00F62288"/>
    <w:rsid w:val="00F72CC6"/>
    <w:rsid w:val="00F8659F"/>
    <w:rsid w:val="00F963A5"/>
    <w:rsid w:val="00FE329F"/>
    <w:rsid w:val="00FE35D3"/>
    <w:rsid w:val="00FE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CDEE"/>
  <w15:chartTrackingRefBased/>
  <w15:docId w15:val="{A40A0433-8FD1-4068-BCDE-D6B4689F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B3"/>
    <w:pPr>
      <w:ind w:left="720"/>
      <w:contextualSpacing/>
    </w:pPr>
  </w:style>
  <w:style w:type="table" w:styleId="TableGrid">
    <w:name w:val="Table Grid"/>
    <w:basedOn w:val="TableNormal"/>
    <w:uiPriority w:val="59"/>
    <w:rsid w:val="006673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53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47"/>
  </w:style>
  <w:style w:type="paragraph" w:styleId="Footer">
    <w:name w:val="footer"/>
    <w:basedOn w:val="Normal"/>
    <w:link w:val="FooterChar"/>
    <w:uiPriority w:val="99"/>
    <w:unhideWhenUsed/>
    <w:rsid w:val="00753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47"/>
  </w:style>
  <w:style w:type="character" w:styleId="PlaceholderText">
    <w:name w:val="Placeholder Text"/>
    <w:basedOn w:val="DefaultParagraphFont"/>
    <w:uiPriority w:val="99"/>
    <w:semiHidden/>
    <w:rsid w:val="003A45E5"/>
    <w:rPr>
      <w:color w:val="808080"/>
    </w:rPr>
  </w:style>
  <w:style w:type="character" w:styleId="CommentReference">
    <w:name w:val="annotation reference"/>
    <w:basedOn w:val="DefaultParagraphFont"/>
    <w:uiPriority w:val="99"/>
    <w:semiHidden/>
    <w:unhideWhenUsed/>
    <w:rsid w:val="00A96247"/>
    <w:rPr>
      <w:sz w:val="16"/>
      <w:szCs w:val="16"/>
    </w:rPr>
  </w:style>
  <w:style w:type="paragraph" w:styleId="CommentText">
    <w:name w:val="annotation text"/>
    <w:basedOn w:val="Normal"/>
    <w:link w:val="CommentTextChar"/>
    <w:uiPriority w:val="99"/>
    <w:semiHidden/>
    <w:unhideWhenUsed/>
    <w:rsid w:val="00A96247"/>
    <w:pPr>
      <w:spacing w:line="240" w:lineRule="auto"/>
    </w:pPr>
    <w:rPr>
      <w:sz w:val="20"/>
      <w:szCs w:val="20"/>
    </w:rPr>
  </w:style>
  <w:style w:type="character" w:customStyle="1" w:styleId="CommentTextChar">
    <w:name w:val="Comment Text Char"/>
    <w:basedOn w:val="DefaultParagraphFont"/>
    <w:link w:val="CommentText"/>
    <w:uiPriority w:val="99"/>
    <w:semiHidden/>
    <w:rsid w:val="00A96247"/>
    <w:rPr>
      <w:sz w:val="20"/>
      <w:szCs w:val="20"/>
    </w:rPr>
  </w:style>
  <w:style w:type="paragraph" w:styleId="CommentSubject">
    <w:name w:val="annotation subject"/>
    <w:basedOn w:val="CommentText"/>
    <w:next w:val="CommentText"/>
    <w:link w:val="CommentSubjectChar"/>
    <w:uiPriority w:val="99"/>
    <w:semiHidden/>
    <w:unhideWhenUsed/>
    <w:rsid w:val="00A96247"/>
    <w:rPr>
      <w:b/>
      <w:bCs/>
    </w:rPr>
  </w:style>
  <w:style w:type="character" w:customStyle="1" w:styleId="CommentSubjectChar">
    <w:name w:val="Comment Subject Char"/>
    <w:basedOn w:val="CommentTextChar"/>
    <w:link w:val="CommentSubject"/>
    <w:uiPriority w:val="99"/>
    <w:semiHidden/>
    <w:rsid w:val="00A96247"/>
    <w:rPr>
      <w:b/>
      <w:bCs/>
      <w:sz w:val="20"/>
      <w:szCs w:val="20"/>
    </w:rPr>
  </w:style>
  <w:style w:type="paragraph" w:styleId="BalloonText">
    <w:name w:val="Balloon Text"/>
    <w:basedOn w:val="Normal"/>
    <w:link w:val="BalloonTextChar"/>
    <w:uiPriority w:val="99"/>
    <w:semiHidden/>
    <w:unhideWhenUsed/>
    <w:rsid w:val="00A96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2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0BF3C-2C27-436D-828B-9FDD02C67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6449</Words>
  <Characters>36760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Bowman</dc:creator>
  <cp:keywords/>
  <dc:description/>
  <cp:lastModifiedBy>Ali Bowman</cp:lastModifiedBy>
  <cp:revision>2</cp:revision>
  <dcterms:created xsi:type="dcterms:W3CDTF">2021-06-11T00:27:00Z</dcterms:created>
  <dcterms:modified xsi:type="dcterms:W3CDTF">2021-06-11T00:27:00Z</dcterms:modified>
</cp:coreProperties>
</file>