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B52B" w14:textId="7B5498E3" w:rsidR="000D2E04" w:rsidRPr="00E20C26" w:rsidRDefault="000D2E04">
      <w:pPr>
        <w:rPr>
          <w:b/>
          <w:bCs/>
        </w:rPr>
      </w:pPr>
      <w:r w:rsidRPr="00E20C26">
        <w:rPr>
          <w:b/>
          <w:bCs/>
        </w:rPr>
        <w:t>GBD</w:t>
      </w:r>
      <w:r w:rsidR="00657188" w:rsidRPr="00E20C26">
        <w:rPr>
          <w:b/>
          <w:bCs/>
        </w:rPr>
        <w:t>’s approach:</w:t>
      </w:r>
    </w:p>
    <w:p w14:paraId="256275DF" w14:textId="76403965" w:rsidR="00657188" w:rsidRDefault="003F33E1" w:rsidP="00657188">
      <w:pPr>
        <w:pStyle w:val="ListParagraph"/>
        <w:numPr>
          <w:ilvl w:val="0"/>
          <w:numId w:val="1"/>
        </w:numPr>
      </w:pPr>
      <w:r>
        <w:t>Remove double-counted effects</w:t>
      </w:r>
      <w:r w:rsidR="00817961">
        <w:t xml:space="preserve"> (mediation factors)</w:t>
      </w:r>
    </w:p>
    <w:p w14:paraId="1D4BED10" w14:textId="222A0DBC" w:rsidR="003F33E1" w:rsidRDefault="003F33E1" w:rsidP="00657188">
      <w:pPr>
        <w:pStyle w:val="ListParagraph"/>
        <w:numPr>
          <w:ilvl w:val="0"/>
          <w:numId w:val="1"/>
        </w:numPr>
      </w:pPr>
      <w:r>
        <w:t>Then, assume all risks are uncorrelated</w:t>
      </w:r>
    </w:p>
    <w:p w14:paraId="43027DDB" w14:textId="64FA5E4D" w:rsidR="002E3D82" w:rsidRDefault="002E3D82" w:rsidP="00657188">
      <w:pPr>
        <w:pStyle w:val="ListParagraph"/>
        <w:numPr>
          <w:ilvl w:val="0"/>
          <w:numId w:val="1"/>
        </w:numPr>
      </w:pPr>
      <w:r>
        <w:t>Calculate a PAF</w:t>
      </w:r>
    </w:p>
    <w:p w14:paraId="5373264A" w14:textId="64B6DA86" w:rsidR="003F33E1" w:rsidRPr="00E20C26" w:rsidRDefault="003F33E1" w:rsidP="003F33E1">
      <w:pPr>
        <w:rPr>
          <w:b/>
          <w:bCs/>
        </w:rPr>
      </w:pPr>
      <w:r w:rsidRPr="00E20C26">
        <w:rPr>
          <w:b/>
          <w:bCs/>
        </w:rPr>
        <w:t>Our approach:</w:t>
      </w:r>
    </w:p>
    <w:p w14:paraId="13F98874" w14:textId="4307D093" w:rsidR="003F33E1" w:rsidRDefault="003F33E1" w:rsidP="003F33E1">
      <w:pPr>
        <w:pStyle w:val="ListParagraph"/>
        <w:numPr>
          <w:ilvl w:val="0"/>
          <w:numId w:val="1"/>
        </w:numPr>
      </w:pPr>
      <w:r>
        <w:t>Remove double-counted effects</w:t>
      </w:r>
      <w:r w:rsidR="00817961">
        <w:t xml:space="preserve"> (mediation factors)</w:t>
      </w:r>
    </w:p>
    <w:p w14:paraId="18416339" w14:textId="0B5C4AA4" w:rsidR="003F33E1" w:rsidRDefault="003F33E1" w:rsidP="003F33E1">
      <w:pPr>
        <w:pStyle w:val="ListParagraph"/>
        <w:numPr>
          <w:ilvl w:val="0"/>
          <w:numId w:val="1"/>
        </w:numPr>
      </w:pPr>
      <w:r>
        <w:t>Back-calculate risk-risk effects and apply them</w:t>
      </w:r>
      <w:r w:rsidR="002E3D82">
        <w:t xml:space="preserve"> (leads to risks being correlated)</w:t>
      </w:r>
    </w:p>
    <w:p w14:paraId="5845AD99" w14:textId="32A376B3" w:rsidR="002E3D82" w:rsidRDefault="002E3D82" w:rsidP="003F33E1">
      <w:pPr>
        <w:pStyle w:val="ListParagraph"/>
        <w:numPr>
          <w:ilvl w:val="0"/>
          <w:numId w:val="1"/>
        </w:numPr>
      </w:pPr>
      <w:r>
        <w:t xml:space="preserve">Calculate </w:t>
      </w:r>
      <w:r w:rsidR="00863593">
        <w:t>our own</w:t>
      </w:r>
      <w:r>
        <w:t xml:space="preserve"> </w:t>
      </w:r>
      <w:r w:rsidR="00863593">
        <w:t>PAF with our introduced correlation</w:t>
      </w:r>
    </w:p>
    <w:p w14:paraId="4AF0106D" w14:textId="795AD95D" w:rsidR="003F33E1" w:rsidRDefault="003F33E1" w:rsidP="003F33E1">
      <w:r w:rsidRPr="00E20C26">
        <w:rPr>
          <w:b/>
          <w:bCs/>
        </w:rPr>
        <w:t>Problem</w:t>
      </w:r>
      <w:r w:rsidR="006725BB" w:rsidRPr="00E20C26">
        <w:rPr>
          <w:b/>
          <w:bCs/>
        </w:rPr>
        <w:t xml:space="preserve"> 1</w:t>
      </w:r>
      <w:r w:rsidRPr="00E20C26">
        <w:rPr>
          <w:b/>
          <w:bCs/>
        </w:rPr>
        <w:t>:</w:t>
      </w:r>
      <w:r>
        <w:t xml:space="preserve"> GBD’s approach to removing double-counted effects creates effects which do not aggregate to the overall effect. This never bites them because they never actually model risk-risk effects.</w:t>
      </w:r>
    </w:p>
    <w:p w14:paraId="63E61563" w14:textId="77777777" w:rsidR="00485BA8" w:rsidRDefault="001229F1" w:rsidP="003F33E1">
      <w:r w:rsidRPr="00E20C26">
        <w:rPr>
          <w:b/>
          <w:bCs/>
        </w:rPr>
        <w:t>Example:</w:t>
      </w:r>
      <w:r>
        <w:t xml:space="preserve"> Say GBD reports a</w:t>
      </w:r>
      <w:r w:rsidR="005E6BEE" w:rsidRPr="005E6BEE">
        <w:t xml:space="preserve"> </w:t>
      </w:r>
      <w:r w:rsidR="005E6BEE">
        <w:t>BMI to IHD</w:t>
      </w:r>
      <w:r>
        <w:t xml:space="preserve"> RR of 2</w:t>
      </w:r>
      <w:r w:rsidR="005E6BEE">
        <w:t>.</w:t>
      </w:r>
      <w:r w:rsidR="00810257">
        <w:t xml:space="preserve"> They have a mediation factor of 0.4 with SBP in this pathway.</w:t>
      </w:r>
      <w:r w:rsidR="00E0037A">
        <w:t xml:space="preserve"> </w:t>
      </w:r>
      <w:r w:rsidR="002F064C">
        <w:t xml:space="preserve">They also report that </w:t>
      </w:r>
      <w:r w:rsidR="00E0037A">
        <w:t xml:space="preserve">SBP has an RR of 3 </w:t>
      </w:r>
      <w:r w:rsidR="005E6BEE">
        <w:t>on</w:t>
      </w:r>
      <w:r w:rsidR="00E0037A">
        <w:t xml:space="preserve"> IHD.</w:t>
      </w:r>
    </w:p>
    <w:p w14:paraId="29CC6FCB" w14:textId="44AEC8AA" w:rsidR="001229F1" w:rsidRDefault="002F064C" w:rsidP="003F33E1">
      <w:r>
        <w:t>We back-calculate a delta</w:t>
      </w:r>
      <w:r w:rsidR="00892124">
        <w:t xml:space="preserve"> from the GBD formula</w:t>
      </w:r>
      <w:r>
        <w:t xml:space="preserve">: </w:t>
      </w:r>
      <w:r w:rsidR="002876E1">
        <w:t xml:space="preserve">an increase of one unit in BMI must increase SBP by </w:t>
      </w:r>
      <w:r w:rsidR="00184C39">
        <w:t>about 0.3 units.</w:t>
      </w:r>
      <w:r w:rsidR="00892124">
        <w:t xml:space="preserve"> This implies that BMI has an RR on IHD </w:t>
      </w:r>
      <w:r w:rsidR="00892124">
        <w:rPr>
          <w:i/>
          <w:iCs/>
        </w:rPr>
        <w:t>through SBP</w:t>
      </w:r>
      <w:r w:rsidR="00892124">
        <w:t xml:space="preserve"> of </w:t>
      </w:r>
      <w:r w:rsidR="007F3E3C">
        <w:t xml:space="preserve">1.4. </w:t>
      </w:r>
      <w:r w:rsidR="00666F72">
        <w:t xml:space="preserve">That is actually the interpretation of a GBD mediation factor: the RR </w:t>
      </w:r>
      <w:r w:rsidR="00666F72">
        <w:rPr>
          <w:i/>
          <w:iCs/>
        </w:rPr>
        <w:t>through the mediator</w:t>
      </w:r>
      <w:r w:rsidR="00666F72">
        <w:t xml:space="preserve"> has that portion of the </w:t>
      </w:r>
      <w:r w:rsidR="00666F72">
        <w:rPr>
          <w:i/>
          <w:iCs/>
        </w:rPr>
        <w:t>excess</w:t>
      </w:r>
      <w:r w:rsidR="00666F72">
        <w:t xml:space="preserve"> risk</w:t>
      </w:r>
      <w:r w:rsidR="00B749BE">
        <w:t xml:space="preserve"> (</w:t>
      </w:r>
      <w:r w:rsidR="00502F79">
        <w:t xml:space="preserve">“excess risk” means </w:t>
      </w:r>
      <w:r w:rsidR="00B749BE">
        <w:t>the part of the RR above 1)</w:t>
      </w:r>
      <w:r w:rsidR="00666F72">
        <w:t>.</w:t>
      </w:r>
    </w:p>
    <w:p w14:paraId="0B25A6E6" w14:textId="715DF022" w:rsidR="00666F72" w:rsidRDefault="00666F72" w:rsidP="003F33E1">
      <w:r>
        <w:t>GBD’s formula for the direct</w:t>
      </w:r>
      <w:r w:rsidR="00257B42">
        <w:t xml:space="preserve"> (unmediated)</w:t>
      </w:r>
      <w:r>
        <w:t xml:space="preserve"> </w:t>
      </w:r>
      <w:r w:rsidR="00257B42">
        <w:t>RR</w:t>
      </w:r>
      <w:r>
        <w:t xml:space="preserve"> gives us 1.6. So, the GBD mediation factor (with only one mediator) </w:t>
      </w:r>
      <w:r w:rsidR="00073747">
        <w:t>is just splitting the excess risk. MF of 0.4 and RR of 2 (</w:t>
      </w:r>
      <w:r w:rsidR="001D6806">
        <w:t xml:space="preserve">i.e. </w:t>
      </w:r>
      <w:r w:rsidR="00073747">
        <w:t>excess risk of 1) means 1.4 RR mediated, 1.6 RR direct.</w:t>
      </w:r>
    </w:p>
    <w:p w14:paraId="6D3D794F" w14:textId="0C467EE2" w:rsidR="00C17726" w:rsidRDefault="00073747" w:rsidP="003F33E1">
      <w:r>
        <w:t xml:space="preserve">That isn’t how relative risks </w:t>
      </w:r>
      <w:r w:rsidR="00D1531C">
        <w:t xml:space="preserve">aggregate, however. Applying an RR of 1.4 </w:t>
      </w:r>
      <w:r w:rsidR="00D1531C">
        <w:rPr>
          <w:i/>
          <w:iCs/>
        </w:rPr>
        <w:t>and</w:t>
      </w:r>
      <w:r w:rsidR="00D1531C">
        <w:t xml:space="preserve"> an RR of 1.6 does not give you an RR of 2, </w:t>
      </w:r>
      <w:r w:rsidR="00020612">
        <w:t xml:space="preserve">because they </w:t>
      </w:r>
      <w:r w:rsidR="00020612">
        <w:rPr>
          <w:i/>
          <w:iCs/>
        </w:rPr>
        <w:t>multiply</w:t>
      </w:r>
      <w:r w:rsidR="00020612">
        <w:t xml:space="preserve"> to</w:t>
      </w:r>
      <w:r w:rsidR="00D1531C">
        <w:t xml:space="preserve"> </w:t>
      </w:r>
      <w:r w:rsidR="00020612">
        <w:t>2.24.</w:t>
      </w:r>
      <w:r w:rsidR="00335343">
        <w:t xml:space="preserve"> Now BMI has a larger effect on IHD in our model </w:t>
      </w:r>
      <w:r w:rsidR="00D42684">
        <w:t>if we model SBP than if we don’t!</w:t>
      </w:r>
    </w:p>
    <w:p w14:paraId="5F020183" w14:textId="05BF127F" w:rsidR="00D42684" w:rsidRDefault="00D42684" w:rsidP="003F33E1">
      <w:r w:rsidRPr="00E20C26">
        <w:rPr>
          <w:b/>
          <w:bCs/>
        </w:rPr>
        <w:t>Problem 2:</w:t>
      </w:r>
      <w:r>
        <w:t xml:space="preserve"> GBD’s approach to </w:t>
      </w:r>
      <w:r w:rsidR="00452609">
        <w:t xml:space="preserve">removing double-counted effects in the presence of multiple mediators </w:t>
      </w:r>
      <w:r w:rsidR="00CA662A">
        <w:t>is ???</w:t>
      </w:r>
    </w:p>
    <w:p w14:paraId="2A806372" w14:textId="527CF654" w:rsidR="00CA662A" w:rsidRDefault="00050F1A" w:rsidP="003F33E1">
      <w:r>
        <w:t xml:space="preserve">GBD’s </w:t>
      </w:r>
      <w:r w:rsidR="00155016">
        <w:t>multiplicative approach to combining mediation factors is not documented in the methods appendix, the only way we know it is from some R code Ali found.</w:t>
      </w:r>
    </w:p>
    <w:p w14:paraId="4DEA4A20" w14:textId="095294CB" w:rsidR="00FC6C4B" w:rsidRDefault="00FC6C4B" w:rsidP="003F33E1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(1-M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8B0965F" w14:textId="7A3B7EEB" w:rsidR="00155016" w:rsidRDefault="00155016" w:rsidP="003F33E1">
      <w:r>
        <w:t xml:space="preserve">I cannot wrap my head around how to interpret this </w:t>
      </w:r>
      <w:r w:rsidR="00A917B6">
        <w:t xml:space="preserve">approach. </w:t>
      </w:r>
      <w:r w:rsidR="00675B88">
        <w:t>It seems to say that</w:t>
      </w:r>
      <w:r w:rsidR="004B2487">
        <w:t xml:space="preserve">, assuming that the excess risk is </w:t>
      </w:r>
      <w:r w:rsidR="008C25DA">
        <w:t>combined</w:t>
      </w:r>
      <w:r w:rsidR="004B2487">
        <w:t xml:space="preserve"> additively as noted above,</w:t>
      </w:r>
      <w:r w:rsidR="00675B88">
        <w:t xml:space="preserve"> </w:t>
      </w:r>
      <w:r w:rsidR="004B2487">
        <w:t xml:space="preserve">when there are multiple mediators, they are mediating some of the </w:t>
      </w:r>
      <w:r w:rsidR="004B2487">
        <w:rPr>
          <w:i/>
          <w:iCs/>
        </w:rPr>
        <w:t>same</w:t>
      </w:r>
      <w:r w:rsidR="004B2487">
        <w:t xml:space="preserve"> excess risk. In other words, there is overlap between the excess risk </w:t>
      </w:r>
      <w:r w:rsidR="007B0744">
        <w:t>that goes through mediator 1</w:t>
      </w:r>
      <w:r w:rsidR="00F64D1F">
        <w:t>,</w:t>
      </w:r>
      <w:r w:rsidR="007B0744">
        <w:t xml:space="preserve"> and </w:t>
      </w:r>
      <w:r w:rsidR="00F64D1F">
        <w:t xml:space="preserve">the excess risk that goes through </w:t>
      </w:r>
      <w:r w:rsidR="007B0744">
        <w:t>mediator 2.</w:t>
      </w:r>
    </w:p>
    <w:p w14:paraId="5037B162" w14:textId="40555BF9" w:rsidR="00FA0846" w:rsidRDefault="00FA0846" w:rsidP="003F33E1">
      <w:r>
        <w:t xml:space="preserve">This contradicts the concept of </w:t>
      </w:r>
      <w:r w:rsidR="007D6177">
        <w:t xml:space="preserve">a </w:t>
      </w:r>
      <w:r w:rsidR="006F22C0">
        <w:t>causal effect</w:t>
      </w:r>
      <w:r w:rsidR="002D6571">
        <w:t>,</w:t>
      </w:r>
      <w:r w:rsidR="007D6177">
        <w:t xml:space="preserve"> absent effect modification.</w:t>
      </w:r>
      <w:r w:rsidR="00236686">
        <w:t xml:space="preserve"> When we say </w:t>
      </w:r>
      <w:r w:rsidR="002D6571">
        <w:t>a</w:t>
      </w:r>
      <w:r w:rsidR="00E904C2">
        <w:t xml:space="preserve">n increase of one unit in SBP has a </w:t>
      </w:r>
      <w:r w:rsidR="00F15121">
        <w:t>RR of 3 on</w:t>
      </w:r>
      <w:r w:rsidR="00236686">
        <w:t xml:space="preserve"> IH</w:t>
      </w:r>
      <w:r w:rsidR="00F15121">
        <w:t xml:space="preserve">D, </w:t>
      </w:r>
      <w:r w:rsidR="00EA2D17">
        <w:t xml:space="preserve">and this effect isn’t modified by anything, </w:t>
      </w:r>
      <w:r w:rsidR="00F15121">
        <w:t xml:space="preserve">we mean that </w:t>
      </w:r>
      <w:r w:rsidR="008925C3">
        <w:t>if everything else is held constant</w:t>
      </w:r>
      <w:r w:rsidR="00067072">
        <w:t xml:space="preserve">, </w:t>
      </w:r>
      <w:r w:rsidR="00067072">
        <w:rPr>
          <w:i/>
          <w:iCs/>
        </w:rPr>
        <w:t>no matter what it is held constant at</w:t>
      </w:r>
      <w:r w:rsidR="00067072">
        <w:t>, the ratio</w:t>
      </w:r>
      <w:r w:rsidR="00BE1FF0">
        <w:t xml:space="preserve"> between IHD incidence with SBP=X and IHD incidence if SBP=X+1 is 1 : 3.</w:t>
      </w:r>
      <w:r w:rsidR="00C501F1">
        <w:t xml:space="preserve"> The same goes for FPG (another mediator of BMI-&gt;IHD we haven’t mentioned yet): it has some RR with this same interpretation.</w:t>
      </w:r>
      <w:r w:rsidR="00B015FF">
        <w:t xml:space="preserve"> Clearly, if we hold everything </w:t>
      </w:r>
      <w:r w:rsidR="00B015FF">
        <w:lastRenderedPageBreak/>
        <w:t>constant at the status quo</w:t>
      </w:r>
      <w:r w:rsidR="00415D20">
        <w:t xml:space="preserve">, and then </w:t>
      </w:r>
      <w:r w:rsidR="000E0847">
        <w:t>increase</w:t>
      </w:r>
      <w:r w:rsidR="00415D20">
        <w:t xml:space="preserve"> SBP </w:t>
      </w:r>
      <w:r w:rsidR="000E0847">
        <w:t>by one</w:t>
      </w:r>
      <w:r w:rsidR="00415D20">
        <w:t xml:space="preserve">, the IHD incidence rate will triple. If we then hold everything constant </w:t>
      </w:r>
      <w:r w:rsidR="0038226E">
        <w:rPr>
          <w:i/>
          <w:iCs/>
        </w:rPr>
        <w:t xml:space="preserve">including </w:t>
      </w:r>
      <w:r w:rsidR="006804F2">
        <w:rPr>
          <w:i/>
          <w:iCs/>
        </w:rPr>
        <w:t>the increased SBP</w:t>
      </w:r>
      <w:r w:rsidR="00415D20">
        <w:t xml:space="preserve"> </w:t>
      </w:r>
      <w:r w:rsidR="0038226E">
        <w:t>except that we</w:t>
      </w:r>
      <w:r w:rsidR="00415D20">
        <w:t xml:space="preserve"> </w:t>
      </w:r>
      <w:r w:rsidR="006804F2">
        <w:t>increase FPG</w:t>
      </w:r>
      <w:r w:rsidR="0038226E">
        <w:t xml:space="preserve">, the </w:t>
      </w:r>
      <w:r w:rsidR="005453B9">
        <w:t xml:space="preserve">FPG RR will apply in full as well. There is no way for these </w:t>
      </w:r>
      <w:r w:rsidR="00CE3A6B">
        <w:t>RRs</w:t>
      </w:r>
      <w:r w:rsidR="005453B9">
        <w:t xml:space="preserve"> to “overlap,” as long as they are</w:t>
      </w:r>
      <w:r w:rsidR="00CE3A6B">
        <w:t xml:space="preserve"> true regardless of the value of any other variable </w:t>
      </w:r>
      <w:r w:rsidR="000E0847">
        <w:t>(no effect modification).</w:t>
      </w:r>
    </w:p>
    <w:p w14:paraId="6137797D" w14:textId="4F8EA35C" w:rsidR="007B0744" w:rsidRDefault="007B0744" w:rsidP="003F33E1">
      <w:r>
        <w:t xml:space="preserve">In fact, </w:t>
      </w:r>
      <w:r w:rsidR="009D6335">
        <w:t xml:space="preserve">due to the </w:t>
      </w:r>
      <w:r w:rsidR="007E566B">
        <w:t xml:space="preserve">issue discussed in Problem 1, multiple mediated RRs combine the </w:t>
      </w:r>
      <w:r w:rsidR="007E566B">
        <w:rPr>
          <w:i/>
          <w:iCs/>
        </w:rPr>
        <w:t>opposite</w:t>
      </w:r>
      <w:r w:rsidR="007E566B">
        <w:t xml:space="preserve"> way</w:t>
      </w:r>
      <w:r>
        <w:t xml:space="preserve">. Assuming </w:t>
      </w:r>
      <w:r w:rsidR="006C5538">
        <w:t xml:space="preserve">all RRs &gt; </w:t>
      </w:r>
      <w:r w:rsidR="00464037">
        <w:t xml:space="preserve">1, </w:t>
      </w:r>
      <w:r w:rsidR="008076AC">
        <w:rPr>
          <w:i/>
          <w:iCs/>
        </w:rPr>
        <w:t>each</w:t>
      </w:r>
      <w:r w:rsidR="008076AC">
        <w:t xml:space="preserve"> time you partition a RR into two parts, the parts should add up to </w:t>
      </w:r>
      <w:r w:rsidR="008076AC">
        <w:rPr>
          <w:i/>
          <w:iCs/>
        </w:rPr>
        <w:t>less</w:t>
      </w:r>
      <w:r w:rsidR="008076AC">
        <w:t xml:space="preserve"> than the </w:t>
      </w:r>
      <w:r w:rsidR="00257B52">
        <w:t>total RR</w:t>
      </w:r>
      <w:r w:rsidR="008076AC">
        <w:t xml:space="preserve"> (they should multiply to the </w:t>
      </w:r>
      <w:r w:rsidR="00257B52">
        <w:t>total RR</w:t>
      </w:r>
      <w:r w:rsidR="008076AC">
        <w:t>). Having two mediators means having the RR partitioned into three (mediated by m1, mediated by m2, direct)</w:t>
      </w:r>
      <w:r w:rsidR="00B90240">
        <w:t xml:space="preserve">, which is equivalent to doing a </w:t>
      </w:r>
      <w:r w:rsidR="00974248">
        <w:t xml:space="preserve">single </w:t>
      </w:r>
      <w:r w:rsidR="00B90240">
        <w:t xml:space="preserve">partition as in Problem 1, and then partitioning one of the parts again (it does not matter which order you do this). </w:t>
      </w:r>
      <w:r w:rsidR="00763DD3">
        <w:t xml:space="preserve">Each partition only increases the </w:t>
      </w:r>
      <w:r w:rsidR="00616ABF">
        <w:t>amount by which the</w:t>
      </w:r>
      <w:r w:rsidR="008D2B51">
        <w:t xml:space="preserve"> excess risk of the</w:t>
      </w:r>
      <w:r w:rsidR="00616ABF">
        <w:t xml:space="preserve"> individual RRs</w:t>
      </w:r>
      <w:r w:rsidR="00677865">
        <w:t xml:space="preserve"> should</w:t>
      </w:r>
      <w:r w:rsidR="00616ABF">
        <w:t xml:space="preserve"> </w:t>
      </w:r>
      <w:r w:rsidR="001D0A9C">
        <w:t xml:space="preserve">sum to </w:t>
      </w:r>
      <w:r w:rsidR="001D0A9C" w:rsidRPr="001D0A9C">
        <w:rPr>
          <w:i/>
          <w:iCs/>
        </w:rPr>
        <w:t>less</w:t>
      </w:r>
      <w:r w:rsidR="001D0A9C">
        <w:t xml:space="preserve"> than the</w:t>
      </w:r>
      <w:r w:rsidR="008D2B51">
        <w:t xml:space="preserve"> excess risk of the</w:t>
      </w:r>
      <w:r w:rsidR="001D0A9C">
        <w:t xml:space="preserve"> total RR, not </w:t>
      </w:r>
      <w:r w:rsidR="001D0A9C">
        <w:rPr>
          <w:i/>
          <w:iCs/>
        </w:rPr>
        <w:t>more</w:t>
      </w:r>
      <w:r w:rsidR="001D0A9C">
        <w:t xml:space="preserve"> as in GBD’s approach</w:t>
      </w:r>
      <w:r w:rsidR="00E77F74">
        <w:t>.</w:t>
      </w:r>
    </w:p>
    <w:p w14:paraId="360F0FC3" w14:textId="577A210B" w:rsidR="00C55D50" w:rsidRDefault="00C55D50" w:rsidP="003F33E1">
      <w:r>
        <w:t xml:space="preserve">I could go out on a limb and speculate that </w:t>
      </w:r>
      <w:r>
        <w:rPr>
          <w:i/>
          <w:iCs/>
        </w:rPr>
        <w:t>maybe</w:t>
      </w:r>
      <w:r>
        <w:t xml:space="preserve"> GBD did this because they don’t really believe that RRs can stack multiplicatively</w:t>
      </w:r>
      <w:r w:rsidR="00E07A2A">
        <w:t>, that there must be some effect modification</w:t>
      </w:r>
      <w:r w:rsidR="00536899">
        <w:t>,</w:t>
      </w:r>
      <w:r w:rsidR="00E07A2A">
        <w:t xml:space="preserve"> otherwise there would be individuals with absurdly high rates of incidence</w:t>
      </w:r>
      <w:r w:rsidR="00536899">
        <w:t xml:space="preserve">. But surely this would break everything? And surely there is </w:t>
      </w:r>
      <w:r w:rsidR="00270CFE">
        <w:t>some alternative to RRs they could have used then? E.g. additive risk differences would be better than RRs if you thought this was how the real world worked.</w:t>
      </w:r>
    </w:p>
    <w:p w14:paraId="59AB0E2D" w14:textId="6492E348" w:rsidR="008C459A" w:rsidRDefault="00C531ED" w:rsidP="003F33E1">
      <w:r>
        <w:rPr>
          <w:b/>
          <w:bCs/>
        </w:rPr>
        <w:t>If I’m right</w:t>
      </w:r>
      <w:r>
        <w:t xml:space="preserve">: </w:t>
      </w:r>
      <w:r w:rsidR="005A1250">
        <w:t>If the GBD mediation factors are fundamentally incompatible with actually applying RRs,</w:t>
      </w:r>
      <w:r w:rsidR="00865D48">
        <w:t xml:space="preserve"> and we want to stick with RRs,</w:t>
      </w:r>
      <w:r w:rsidR="008C459A">
        <w:t xml:space="preserve"> I think we could</w:t>
      </w:r>
      <w:r w:rsidR="000556BC">
        <w:t xml:space="preserve"> use a</w:t>
      </w:r>
      <w:r w:rsidR="008C459A">
        <w:t xml:space="preserve"> “take it apart and put it back together again”</w:t>
      </w:r>
      <w:r w:rsidR="000556BC">
        <w:t xml:space="preserve"> approach.</w:t>
      </w:r>
    </w:p>
    <w:p w14:paraId="7E1333A1" w14:textId="61204299" w:rsidR="008C459A" w:rsidRDefault="009C3784" w:rsidP="003F33E1">
      <w:r>
        <w:t xml:space="preserve">If GBD tells us when they used the delta </w:t>
      </w:r>
      <w:r w:rsidR="00477D4A">
        <w:t>calculation</w:t>
      </w:r>
      <w:r>
        <w:t xml:space="preserve"> and when they used the crude-adjusted </w:t>
      </w:r>
      <w:r w:rsidR="00477D4A">
        <w:t>calculation</w:t>
      </w:r>
      <w:r w:rsidR="001A02DB">
        <w:t xml:space="preserve">, we could take each individual mediation factor and work backwards to the underlying mediation data point: delta if </w:t>
      </w:r>
      <w:r w:rsidR="000028D3">
        <w:t xml:space="preserve">they used the delta approach, RR_adjusted if they used the crude-adjusted approach (assuming </w:t>
      </w:r>
      <w:r w:rsidR="00D169E2">
        <w:t>RR_crude in that formula equals the total RR reported by GBD</w:t>
      </w:r>
      <w:r w:rsidR="003C5372">
        <w:t xml:space="preserve"> </w:t>
      </w:r>
      <w:r w:rsidR="00692574">
        <w:t xml:space="preserve">– </w:t>
      </w:r>
      <w:r w:rsidR="009B5B6A">
        <w:t>we think this is the case, but can’t immediately find a source</w:t>
      </w:r>
      <w:r w:rsidR="00D169E2">
        <w:t>).</w:t>
      </w:r>
    </w:p>
    <w:p w14:paraId="612E700E" w14:textId="03C85CDB" w:rsidR="009B5B6A" w:rsidRDefault="009B5B6A" w:rsidP="003F33E1">
      <w:r>
        <w:t>The “back calculation” if they used the delta approach:</w:t>
      </w:r>
    </w:p>
    <w:p w14:paraId="4407BE26" w14:textId="78D16BFE" w:rsidR="009B5B6A" w:rsidRPr="009B5B6A" w:rsidRDefault="00F827F4" w:rsidP="003F33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r→m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(MF*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R→O,total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M→O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348C6EC" w14:textId="4159A60B" w:rsidR="009B5B6A" w:rsidRDefault="009B5B6A" w:rsidP="003F33E1">
      <w:pPr>
        <w:rPr>
          <w:rFonts w:eastAsiaTheme="minorEastAsia"/>
        </w:rPr>
      </w:pPr>
      <w:r>
        <w:rPr>
          <w:rFonts w:eastAsiaTheme="minorEastAsia"/>
        </w:rPr>
        <w:t>The “back calculation” if they used the crude-adjusted approach:</w:t>
      </w:r>
    </w:p>
    <w:p w14:paraId="6FA3D7C1" w14:textId="3DA31671" w:rsidR="009B5B6A" w:rsidRDefault="009B5B6A" w:rsidP="003F33E1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r→o, adjusted for m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-MF*(R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p w14:paraId="22B2D1EE" w14:textId="03055E99" w:rsidR="008C459A" w:rsidRDefault="00D169E2" w:rsidP="003F33E1">
      <w:r>
        <w:t xml:space="preserve">Then, we </w:t>
      </w:r>
      <w:r w:rsidR="00151DEB">
        <w:t>could work forwards again, and find the delta</w:t>
      </w:r>
      <w:r w:rsidR="00AC35F0">
        <w:t>s</w:t>
      </w:r>
      <w:r w:rsidR="002346B8">
        <w:t xml:space="preserve"> (if necessary)</w:t>
      </w:r>
      <w:r w:rsidR="00151DEB">
        <w:t xml:space="preserve"> and the direct RR</w:t>
      </w:r>
      <w:r w:rsidR="008C459A">
        <w:t xml:space="preserve"> with formulas based on the </w:t>
      </w:r>
      <w:r w:rsidR="008C459A">
        <w:rPr>
          <w:i/>
          <w:iCs/>
        </w:rPr>
        <w:t>multiplicative</w:t>
      </w:r>
      <w:r w:rsidR="008C459A">
        <w:t xml:space="preserve"> application of RRs.</w:t>
      </w:r>
    </w:p>
    <w:p w14:paraId="445BB62D" w14:textId="77777777" w:rsidR="00FC6C4B" w:rsidRPr="00CB464E" w:rsidRDefault="00FC6C4B" w:rsidP="00FC6C4B">
      <w:pPr>
        <w:rPr>
          <w:rFonts w:eastAsiaTheme="minorEastAsia"/>
        </w:rPr>
      </w:pPr>
      <w:r>
        <w:rPr>
          <w:rFonts w:eastAsiaTheme="minorEastAsia"/>
        </w:rPr>
        <w:t>How RRs are applied:</w:t>
      </w:r>
    </w:p>
    <w:p w14:paraId="0D68C134" w14:textId="77777777" w:rsidR="00FC6C4B" w:rsidRDefault="00FC6C4B" w:rsidP="00FC6C4B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direct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m→o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r→m</m:t>
                      </m:r>
                    </m:sub>
                  </m:sSub>
                </m:sup>
              </m:sSup>
            </m:e>
          </m:nary>
        </m:oMath>
      </m:oMathPara>
    </w:p>
    <w:p w14:paraId="63A1EF07" w14:textId="259C0C30" w:rsidR="009B5B6A" w:rsidRDefault="00FC6C4B" w:rsidP="003F33E1">
      <w:r>
        <w:t xml:space="preserve">Therefore, our </w:t>
      </w:r>
      <w:r w:rsidR="005269CC">
        <w:t>“</w:t>
      </w:r>
      <w:r>
        <w:t>forward calculation</w:t>
      </w:r>
      <w:r w:rsidR="005269CC">
        <w:t>”</w:t>
      </w:r>
      <w:r w:rsidR="009B5B6A">
        <w:t xml:space="preserve"> </w:t>
      </w:r>
      <w:r w:rsidR="00330A35">
        <w:t xml:space="preserve">from </w:t>
      </w:r>
      <w:r w:rsidR="009B5B6A">
        <w:t>adjusted RRs to deltas (skip if GBD used the delta method):</w:t>
      </w:r>
    </w:p>
    <w:p w14:paraId="443ED841" w14:textId="39FB1AF4" w:rsidR="009B5B6A" w:rsidRDefault="00F827F4" w:rsidP="003F33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r→o, adjusted for 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m→o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r→m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r→m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r→o,adjusted for 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m→o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8C19596" w14:textId="6EDAFD66" w:rsidR="00A8010C" w:rsidRDefault="00FC6C4B" w:rsidP="003F33E1">
      <w:r>
        <w:lastRenderedPageBreak/>
        <w:t xml:space="preserve"> </w:t>
      </w:r>
      <w:r w:rsidR="00330A35">
        <w:t xml:space="preserve">Then </w:t>
      </w:r>
      <w:r>
        <w:t>from deltas</w:t>
      </w:r>
      <w:r w:rsidR="00567AA4">
        <w:t xml:space="preserve"> (across all mediators)</w:t>
      </w:r>
      <w:r>
        <w:t xml:space="preserve"> </w:t>
      </w:r>
      <w:r w:rsidR="00330A35">
        <w:t>to direct RR</w:t>
      </w:r>
      <w:r>
        <w:t>:</w:t>
      </w:r>
    </w:p>
    <w:p w14:paraId="673AD08F" w14:textId="7E9EE73F" w:rsidR="00A0023B" w:rsidRPr="00CB464E" w:rsidRDefault="00A0023B" w:rsidP="003F33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direct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m→o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r→m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B71511B" w14:textId="74E9A02A" w:rsidR="003B594E" w:rsidRPr="008C459A" w:rsidRDefault="003B594E" w:rsidP="003F33E1"/>
    <w:sectPr w:rsidR="003B594E" w:rsidRPr="008C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1653"/>
    <w:multiLevelType w:val="hybridMultilevel"/>
    <w:tmpl w:val="CA9EA0AC"/>
    <w:lvl w:ilvl="0" w:tplc="B3CAD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34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04"/>
    <w:rsid w:val="000028D3"/>
    <w:rsid w:val="00020612"/>
    <w:rsid w:val="00050F1A"/>
    <w:rsid w:val="000556BC"/>
    <w:rsid w:val="00067072"/>
    <w:rsid w:val="00073747"/>
    <w:rsid w:val="000D2E04"/>
    <w:rsid w:val="000E0847"/>
    <w:rsid w:val="000E0A2A"/>
    <w:rsid w:val="001229F1"/>
    <w:rsid w:val="00151DEB"/>
    <w:rsid w:val="00155016"/>
    <w:rsid w:val="00184C39"/>
    <w:rsid w:val="001A02DB"/>
    <w:rsid w:val="001D0A9C"/>
    <w:rsid w:val="001D6806"/>
    <w:rsid w:val="001E553E"/>
    <w:rsid w:val="002346B8"/>
    <w:rsid w:val="00236686"/>
    <w:rsid w:val="00257B42"/>
    <w:rsid w:val="00257B52"/>
    <w:rsid w:val="00270CFE"/>
    <w:rsid w:val="002876E1"/>
    <w:rsid w:val="002D6571"/>
    <w:rsid w:val="002E1736"/>
    <w:rsid w:val="002E3D82"/>
    <w:rsid w:val="002F064C"/>
    <w:rsid w:val="00303746"/>
    <w:rsid w:val="00330A35"/>
    <w:rsid w:val="00335343"/>
    <w:rsid w:val="0038226E"/>
    <w:rsid w:val="003A0089"/>
    <w:rsid w:val="003B594E"/>
    <w:rsid w:val="003C5372"/>
    <w:rsid w:val="003F33E1"/>
    <w:rsid w:val="00415D20"/>
    <w:rsid w:val="00452609"/>
    <w:rsid w:val="00464037"/>
    <w:rsid w:val="00476D10"/>
    <w:rsid w:val="00477D4A"/>
    <w:rsid w:val="00485BA8"/>
    <w:rsid w:val="004B2487"/>
    <w:rsid w:val="00502F79"/>
    <w:rsid w:val="005269CC"/>
    <w:rsid w:val="00536899"/>
    <w:rsid w:val="005453B9"/>
    <w:rsid w:val="005615F6"/>
    <w:rsid w:val="00567AA4"/>
    <w:rsid w:val="00580171"/>
    <w:rsid w:val="00582FBF"/>
    <w:rsid w:val="005A1250"/>
    <w:rsid w:val="005E6BEE"/>
    <w:rsid w:val="00616ABF"/>
    <w:rsid w:val="00657188"/>
    <w:rsid w:val="00666F72"/>
    <w:rsid w:val="006725BB"/>
    <w:rsid w:val="00675B88"/>
    <w:rsid w:val="00677865"/>
    <w:rsid w:val="006804F2"/>
    <w:rsid w:val="00692574"/>
    <w:rsid w:val="006C5538"/>
    <w:rsid w:val="006F22C0"/>
    <w:rsid w:val="00763DD3"/>
    <w:rsid w:val="007B0744"/>
    <w:rsid w:val="007D6177"/>
    <w:rsid w:val="007E566B"/>
    <w:rsid w:val="007F3E3C"/>
    <w:rsid w:val="008076AC"/>
    <w:rsid w:val="00810257"/>
    <w:rsid w:val="008164B6"/>
    <w:rsid w:val="00817428"/>
    <w:rsid w:val="00817961"/>
    <w:rsid w:val="00860394"/>
    <w:rsid w:val="00863593"/>
    <w:rsid w:val="00865D48"/>
    <w:rsid w:val="00892124"/>
    <w:rsid w:val="008925C3"/>
    <w:rsid w:val="008C25DA"/>
    <w:rsid w:val="008C459A"/>
    <w:rsid w:val="008C482C"/>
    <w:rsid w:val="008D2B51"/>
    <w:rsid w:val="00974248"/>
    <w:rsid w:val="009B5B6A"/>
    <w:rsid w:val="009C3784"/>
    <w:rsid w:val="009D6335"/>
    <w:rsid w:val="00A0023B"/>
    <w:rsid w:val="00A2783D"/>
    <w:rsid w:val="00A65BFF"/>
    <w:rsid w:val="00A8010C"/>
    <w:rsid w:val="00A917B6"/>
    <w:rsid w:val="00A91D78"/>
    <w:rsid w:val="00AC35F0"/>
    <w:rsid w:val="00AD35F9"/>
    <w:rsid w:val="00B015FF"/>
    <w:rsid w:val="00B749BE"/>
    <w:rsid w:val="00B90240"/>
    <w:rsid w:val="00B93356"/>
    <w:rsid w:val="00BE1FF0"/>
    <w:rsid w:val="00BE55CC"/>
    <w:rsid w:val="00C17726"/>
    <w:rsid w:val="00C501F1"/>
    <w:rsid w:val="00C531ED"/>
    <w:rsid w:val="00C55D50"/>
    <w:rsid w:val="00C57E86"/>
    <w:rsid w:val="00CA662A"/>
    <w:rsid w:val="00CB464E"/>
    <w:rsid w:val="00CE3A6B"/>
    <w:rsid w:val="00D1531C"/>
    <w:rsid w:val="00D169E2"/>
    <w:rsid w:val="00D42684"/>
    <w:rsid w:val="00E0037A"/>
    <w:rsid w:val="00E07A2A"/>
    <w:rsid w:val="00E20C26"/>
    <w:rsid w:val="00E66E7D"/>
    <w:rsid w:val="00E77F74"/>
    <w:rsid w:val="00E904C2"/>
    <w:rsid w:val="00EA2D17"/>
    <w:rsid w:val="00F15121"/>
    <w:rsid w:val="00F64D1F"/>
    <w:rsid w:val="00F72B8C"/>
    <w:rsid w:val="00F749E5"/>
    <w:rsid w:val="00F827F4"/>
    <w:rsid w:val="00FA0846"/>
    <w:rsid w:val="00FC6C4B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204D"/>
  <w15:chartTrackingRefBased/>
  <w15:docId w15:val="{A9D8109B-12CF-4EA9-93FD-126EDE09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 Burke-Conte</dc:creator>
  <cp:keywords/>
  <dc:description/>
  <cp:lastModifiedBy>Zeb Burke-Conte</cp:lastModifiedBy>
  <cp:revision>2</cp:revision>
  <dcterms:created xsi:type="dcterms:W3CDTF">2023-07-24T22:47:00Z</dcterms:created>
  <dcterms:modified xsi:type="dcterms:W3CDTF">2023-07-24T22:47:00Z</dcterms:modified>
</cp:coreProperties>
</file>