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"/>
      </w:pPr>
      <w:r>
        <w:t xml:space="preserve"/>
      </w:r>
    </w:p>
    <w:p>
      <w:pPr>
        <w:spacing w:after="120" w:before="120"/>
      </w:pPr>
      <w:r>
        <w:t xml:space="preserve"/>
      </w:r>
    </w:p>
    <w:p>
      <w:pPr>
        <w:spacing w:after="120" w:before="120"/>
      </w:pPr>
      <w:r>
        <w:t xml:space="preserve"/>
      </w:r>
    </w:p>
    <w:p>
      <w:pPr>
        <w:spacing w:after="240" w:before="480"/>
        <w:jc w:val="center"/>
      </w:pPr>
      <w:r>
        <w:rPr>
          <w:rFonts w:ascii="Arial" w:cs="Arial" w:eastAsia="Arial" w:hAnsi="Arial"/>
          <w:b/>
          <w:bCs/>
          <w:color w:val="1F3864"/>
          <w:sz w:val="52"/>
          <w:szCs w:val="52"/>
        </w:rPr>
        <w:t xml:space="preserve">DreamDEX Campaign</w:t>
      </w:r>
    </w:p>
    <w:p>
      <w:pPr>
        <w:spacing w:after="480" w:before="0"/>
        <w:jc w:val="center"/>
      </w:pPr>
      <w:r>
        <w:rPr>
          <w:rFonts w:ascii="Arial" w:cs="Arial" w:eastAsia="Arial" w:hAnsi="Arial"/>
          <w:b/>
          <w:bCs/>
          <w:color w:val="2563EB"/>
          <w:sz w:val="40"/>
          <w:szCs w:val="40"/>
        </w:rPr>
        <w:t xml:space="preserve">Complete On-Chain Trade Analysis</w:t>
      </w:r>
    </w:p>
    <w:p>
      <w:pPr>
        <w:pBdr>
          <w:bottom w:val="single" w:color="2563EB" w:sz="4" w:space="1"/>
        </w:pBdr>
        <w:spacing w:after="160" w:before="160"/>
      </w:pPr>
      <w:r>
        <w:t xml:space="preserve"/>
      </w:r>
    </w:p>
    <w:p>
      <w:pPr>
        <w:spacing w:after="120" w:before="120"/>
      </w:pPr>
      <w:r>
        <w:t xml:space="preserve"/>
      </w:r>
    </w:p>
    <w:p>
      <w:pPr>
        <w:spacing w:after="80" w:before="120"/>
        <w:jc w:val="center"/>
      </w:pPr>
      <w:r>
        <w:rPr>
          <w:rFonts w:ascii="Arial" w:cs="Arial" w:eastAsia="Arial" w:hAnsi="Arial"/>
          <w:i/>
          <w:iCs/>
          <w:color w:val="374151"/>
          <w:sz w:val="28"/>
          <w:szCs w:val="28"/>
        </w:rPr>
        <w:t xml:space="preserve">Full dataset analysis</w:t>
      </w:r>
    </w:p>
    <w:p>
      <w:pPr>
        <w:spacing w:after="120" w:before="120"/>
      </w:pPr>
      <w:r>
        <w:t xml:space="preserve"/>
      </w:r>
    </w:p>
    <w:p>
      <w:pPr>
        <w:spacing w:after="80" w:before="80"/>
        <w:jc w:val="center"/>
      </w:pPr>
      <w:r>
        <w:rPr>
          <w:rFonts w:ascii="Arial" w:cs="Arial" w:eastAsia="Arial" w:hAnsi="Arial"/>
          <w:b/>
          <w:bCs/>
          <w:color w:val="374151"/>
          <w:sz w:val="22"/>
          <w:szCs w:val="22"/>
        </w:rPr>
        <w:t xml:space="preserve">Wallet:  </w:t>
      </w:r>
      <w:r>
        <w:rPr>
          <w:rFonts w:ascii="Courier New" w:cs="Courier New" w:eastAsia="Courier New" w:hAnsi="Courier New"/>
          <w:color w:val="111827"/>
          <w:sz w:val="20"/>
          <w:szCs w:val="20"/>
        </w:rPr>
        <w:t xml:space="preserve">0x0000000000000000000000000000000000000000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(trader-9)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color w:val="374151"/>
          <w:sz w:val="22"/>
          <w:szCs w:val="22"/>
        </w:rPr>
        <w:t xml:space="preserve">Network: 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Somnia mainnet  ·  Chain 5031</w:t>
      </w:r>
    </w:p>
    <w:p>
      <w:pPr>
        <w:spacing w:after="200" w:before="60"/>
        <w:jc w:val="center"/>
      </w:pPr>
      <w:r>
        <w:rPr>
          <w:rFonts w:ascii="Arial" w:cs="Arial" w:eastAsia="Arial" w:hAnsi="Arial"/>
          <w:b/>
          <w:bCs/>
          <w:color w:val="374151"/>
          <w:sz w:val="22"/>
          <w:szCs w:val="22"/>
        </w:rPr>
        <w:t xml:space="preserve">Dataset: 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63,569 txs  ·  2026-05-26 → 06-01</w:t>
      </w:r>
    </w:p>
    <w:p>
      <w:pPr>
        <w:pBdr>
          <w:bottom w:val="single" w:color="2563EB" w:sz="4" w:space="1"/>
        </w:pBdr>
        <w:spacing w:after="160" w:before="160"/>
      </w:pPr>
      <w:r>
        <w:t xml:space="preserve"/>
      </w:r>
    </w:p>
    <w:p>
      <w:r>
        <w:br w:type="page"/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rPr>
          <w:rFonts w:ascii="Arial" w:cs="Arial" w:eastAsia="Arial" w:hAnsi="Arial"/>
        </w:rPr>
        <w:t xml:space="preserve">Dataset Provenance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Wallet: 0x0000000000000000000000000000000000000000 (trader-9)  ·  Network: Somnia mainnet (chain 5031)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Dataset: 63,569 transactions, 2026-05-26 → 2026-06-01. Scraped from chain (Blockscout v2). Source: analysis/onchain_trades.db; regenerate via analysis/scrape_trades.py, analyse via analysis/analyze_full.py.</w:t>
      </w:r>
    </w:p>
    <w:p>
      <w:pPr>
        <w:spacing w:after="120" w:before="12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i/>
          <w:iCs/>
          <w:color w:val="374151"/>
          <w:sz w:val="20"/>
          <w:szCs w:val="20"/>
        </w:rPr>
        <w:t xml:space="preserve">The direct-burst engine fires raw RPC and never logged to the backend DB, so the chain is the only complete record. Computed filled notional (~204,475 USDso) matches the leaderboard (~205k) — confirming the dataset is complete.</w:t>
      </w:r>
    </w:p>
    <w:p>
      <w:pPr>
        <w:pBdr>
          <w:bottom w:val="single" w:color="2563EB" w:sz="4" w:space="1"/>
        </w:pBdr>
        <w:spacing w:after="160" w:before="16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</w:rPr>
        <w:t xml:space="preserve">1. Overview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Metric</w:t>
            </w:r>
          </w:p>
        </w:tc>
        <w:tc>
          <w:tcPr>
            <w:tcW w:type="dxa" w:w="468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Transactions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63,569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Order txs (buy/sell)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62,118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Other (approvals/setup)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1,451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First tx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2026-05-26 10:02:42 UTC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Last tx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2026-06-01 15:16:39 UTC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Calendar span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149.2 h (6.2 days)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Trading sessions (gap &gt;10 min)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48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Active trading time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~69.4 h</w:t>
            </w:r>
          </w:p>
        </w:tc>
      </w:tr>
    </w:tbl>
    <w:p>
      <w:pPr>
        <w:pBdr>
          <w:bottom w:val="single" w:color="2563EB" w:sz="4" w:space="1"/>
        </w:pBdr>
        <w:spacing w:after="160" w:before="16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</w:rPr>
        <w:t xml:space="preserve">2. By Pair — Where Volume and Reverts Came From</w:t>
      </w:r>
    </w:p>
    <w:tbl>
      <w:tblPr>
        <w:tblW w:type="dxa" w:w="8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900"/>
        <w:gridCol w:w="900"/>
        <w:gridCol w:w="800"/>
        <w:gridCol w:w="900"/>
        <w:gridCol w:w="1600"/>
        <w:gridCol w:w="1200"/>
      </w:tblGrid>
      <w:tr>
        <w:trPr>
          <w:tblHeader/>
        </w:trPr>
        <w:tc>
          <w:tcPr>
            <w:tcW w:type="dxa" w:w="17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Pair</w:t>
            </w:r>
          </w:p>
        </w:tc>
        <w:tc>
          <w:tcPr>
            <w:tcW w:type="dxa" w:w="9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Txs</w:t>
            </w:r>
          </w:p>
        </w:tc>
        <w:tc>
          <w:tcPr>
            <w:tcW w:type="dxa" w:w="9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Fills</w:t>
            </w:r>
          </w:p>
        </w:tc>
        <w:tc>
          <w:tcPr>
            <w:tcW w:type="dxa" w:w="8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Fill %</w:t>
            </w:r>
          </w:p>
        </w:tc>
        <w:tc>
          <w:tcPr>
            <w:tcW w:type="dxa" w:w="9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Reverts</w:t>
            </w:r>
          </w:p>
        </w:tc>
        <w:tc>
          <w:tcPr>
            <w:tcW w:type="dxa" w:w="16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Volume (USDso)</w:t>
            </w:r>
          </w:p>
        </w:tc>
        <w:tc>
          <w:tcPr>
            <w:tcW w:type="dxa" w:w="12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Gas (SOMI)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WETH:USDso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39,703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28,751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72.4%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4,635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124,789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82.93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SOMI:USDso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8,419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7,041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83.6%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815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64,406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18.55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USDC.e:USDso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13,836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13,761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99.5%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19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14,543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33.91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WBTC:USDso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160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91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56.9%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25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736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0.38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11827"/>
                <w:sz w:val="18"/>
                <w:szCs w:val="18"/>
              </w:rPr>
              <w:t xml:space="preserve">TOTAL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11827"/>
                <w:sz w:val="18"/>
                <w:szCs w:val="18"/>
              </w:rPr>
              <w:t xml:space="preserve">62,118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11827"/>
                <w:sz w:val="18"/>
                <w:szCs w:val="18"/>
              </w:rPr>
              <w:t xml:space="preserve">49,644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11827"/>
                <w:sz w:val="18"/>
                <w:szCs w:val="18"/>
              </w:rPr>
              <w:t xml:space="preserve">79.9%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11827"/>
                <w:sz w:val="18"/>
                <w:szCs w:val="18"/>
              </w:rPr>
              <w:t xml:space="preserve">5,494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11827"/>
                <w:sz w:val="18"/>
                <w:szCs w:val="18"/>
              </w:rPr>
              <w:t xml:space="preserve">~204,475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11827"/>
                <w:sz w:val="18"/>
                <w:szCs w:val="18"/>
              </w:rPr>
              <w:t xml:space="preserve">136.34</w:t>
            </w:r>
          </w:p>
        </w:tc>
      </w:tr>
    </w:tbl>
    <w:p>
      <w:pPr>
        <w:spacing w:after="120" w:before="12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Key reads: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WETH was the workhorse and the troublemaker — 61% of all volume, but 84% of all reverts (4,635) and 61% of gas.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USDC.e was the cleanest engine — 99.5% fills, only 19 reverts (the slip-0 + skip-sim era).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SOMI carried 64k volume off just 7k fills — early legs were large (~$9 notional vs ~$1 for USDC.e).</w:t>
      </w:r>
    </w:p>
    <w:p>
      <w:pPr>
        <w:spacing w:after="120" w:before="12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i w:val="false"/>
          <w:iCs w:val="false"/>
          <w:color w:val="374151"/>
          <w:sz w:val="20"/>
          <w:szCs w:val="20"/>
        </w:rPr>
        <w:t xml:space="preserve">Chart: Volume by Pair (USDso)</w:t>
      </w:r>
    </w:p>
    <w:p>
      <w:pPr>
        <w:spacing w:after="160" w:before="160"/>
        <w:jc w:val="center"/>
      </w:pPr>
      <w:r>
        <w:drawing>
          <wp:inline distT="0" distB="0" distL="0" distR="0">
            <wp:extent cx="5334000" cy="1981200"/>
            <wp:effectExtent t="0" r="0" b="0" l="0"/>
            <wp:docPr id="1" name="chart" descr="Bar chart" title="Char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80"/>
      </w:pPr>
      <w:r>
        <w:rPr>
          <w:rFonts w:ascii="Arial" w:cs="Arial" w:eastAsia="Arial" w:hAnsi="Arial"/>
          <w:b/>
          <w:bCs/>
          <w:i w:val="false"/>
          <w:iCs w:val="false"/>
          <w:color w:val="374151"/>
          <w:sz w:val="20"/>
          <w:szCs w:val="20"/>
        </w:rPr>
        <w:t xml:space="preserve">Chart: Gas Spent by Pair (SOMI)</w:t>
      </w:r>
    </w:p>
    <w:p>
      <w:pPr>
        <w:spacing w:after="160" w:before="160"/>
        <w:jc w:val="center"/>
      </w:pPr>
      <w:r>
        <w:drawing>
          <wp:inline distT="0" distB="0" distL="0" distR="0">
            <wp:extent cx="5334000" cy="1981200"/>
            <wp:effectExtent t="0" r="0" b="0" l="0"/>
            <wp:docPr id="1" name="chart" descr="Bar chart" title="Char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80"/>
      </w:pPr>
      <w:r>
        <w:rPr>
          <w:rFonts w:ascii="Arial" w:cs="Arial" w:eastAsia="Arial" w:hAnsi="Arial"/>
          <w:b/>
          <w:bCs/>
          <w:i w:val="false"/>
          <w:iCs w:val="false"/>
          <w:color w:val="374151"/>
          <w:sz w:val="20"/>
          <w:szCs w:val="20"/>
        </w:rPr>
        <w:t xml:space="preserve">Chart: Reverts by Pair</w:t>
      </w:r>
    </w:p>
    <w:p>
      <w:pPr>
        <w:spacing w:after="160" w:before="160"/>
        <w:jc w:val="center"/>
      </w:pPr>
      <w:r>
        <w:drawing>
          <wp:inline distT="0" distB="0" distL="0" distR="0">
            <wp:extent cx="5334000" cy="1981200"/>
            <wp:effectExtent t="0" r="0" b="0" l="0"/>
            <wp:docPr id="1" name="chart" descr="Bar chart" title="Char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2563EB" w:sz="4" w:space="1"/>
        </w:pBdr>
        <w:spacing w:after="160" w:before="16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</w:rPr>
        <w:t xml:space="preserve">3. Buy/Sell Balance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Side</w:t>
            </w:r>
          </w:p>
        </w:tc>
        <w:tc>
          <w:tcPr>
            <w:tcW w:type="dxa" w:w="234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Txs</w:t>
            </w:r>
          </w:p>
        </w:tc>
        <w:tc>
          <w:tcPr>
            <w:tcW w:type="dxa" w:w="234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Fills</w:t>
            </w:r>
          </w:p>
        </w:tc>
        <w:tc>
          <w:tcPr>
            <w:tcW w:type="dxa" w:w="234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Fill %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Buy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31,244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24,815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79.4%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Sell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30,874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24,829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80.4%</w:t>
            </w:r>
          </w:p>
        </w:tc>
      </w:tr>
    </w:tbl>
    <w:p>
      <w:pPr>
        <w:spacing w:after="120" w:before="12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Near-perfectly balanced — disciplined round-tripping, no lopsided inventory drift.</w:t>
      </w:r>
    </w:p>
    <w:p>
      <w:pPr>
        <w:pBdr>
          <w:bottom w:val="single" w:color="2563EB" w:sz="4" w:space="1"/>
        </w:pBdr>
        <w:spacing w:after="160" w:before="16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</w:rPr>
        <w:t xml:space="preserve">4. Status &amp; Gas Economics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Outcome</w:t>
            </w:r>
          </w:p>
        </w:tc>
        <w:tc>
          <w:tcPr>
            <w:tcW w:type="dxa" w:w="312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Count</w:t>
            </w:r>
          </w:p>
        </w:tc>
        <w:tc>
          <w:tcPr>
            <w:tcW w:type="dxa" w:w="312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Avg Gas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Filled order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49,644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419,222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No-fill order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6,980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185,238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Reverted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5,507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95,404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Status ok / reverted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58,062 / 5,507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Revert rate 8.7%</w:t>
            </w:r>
          </w:p>
        </w:tc>
      </w:tr>
    </w:tbl>
    <w:p>
      <w:pPr>
        <w:spacing w:after="120" w:before="12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Total gas burned: 136.34 SOMI — the true cost of the campaign. The clean gas separation (fill ≈19k, no-fill ≈185k, revert ≈95k) is what makes the gas-based fill classifier reliable.</w:t>
      </w:r>
    </w:p>
    <w:p>
      <w:pPr>
        <w:pBdr>
          <w:bottom w:val="single" w:color="2563EB" w:sz="4" w:space="1"/>
        </w:pBdr>
        <w:spacing w:after="160" w:before="16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</w:rPr>
        <w:t xml:space="preserve">5. Traded Price Ranges (Filled)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248"/>
        <w:gridCol w:w="1248"/>
        <w:gridCol w:w="1248"/>
        <w:gridCol w:w="3744"/>
      </w:tblGrid>
      <w:tr>
        <w:trPr>
          <w:tblHeader/>
        </w:trPr>
        <w:tc>
          <w:tcPr>
            <w:tcW w:type="dxa" w:w="1872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Pair</w:t>
            </w:r>
          </w:p>
        </w:tc>
        <w:tc>
          <w:tcPr>
            <w:tcW w:type="dxa" w:w="1248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Min</w:t>
            </w:r>
          </w:p>
        </w:tc>
        <w:tc>
          <w:tcPr>
            <w:tcW w:type="dxa" w:w="1248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Max</w:t>
            </w:r>
          </w:p>
        </w:tc>
        <w:tc>
          <w:tcPr>
            <w:tcW w:type="dxa" w:w="1248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Avg</w:t>
            </w:r>
          </w:p>
        </w:tc>
        <w:tc>
          <w:tcPr>
            <w:tcW w:type="dxa" w:w="3744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USDC.e:USDso</w:t>
            </w:r>
          </w:p>
        </w:tc>
        <w:tc>
          <w:tcPr>
            <w:tcW w:type="dxa" w:w="12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0.9996</w:t>
            </w:r>
          </w:p>
        </w:tc>
        <w:tc>
          <w:tcPr>
            <w:tcW w:type="dxa" w:w="12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1.0006</w:t>
            </w:r>
          </w:p>
        </w:tc>
        <w:tc>
          <w:tcPr>
            <w:tcW w:type="dxa" w:w="12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1.000</w:t>
            </w:r>
          </w:p>
        </w:tc>
        <w:tc>
          <w:tcPr>
            <w:tcW w:type="dxa" w:w="37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rock-stable peg → safe pair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SOMI:USDso</w:t>
            </w:r>
          </w:p>
        </w:tc>
        <w:tc>
          <w:tcPr>
            <w:tcW w:type="dxa" w:w="12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0.1457</w:t>
            </w:r>
          </w:p>
        </w:tc>
        <w:tc>
          <w:tcPr>
            <w:tcW w:type="dxa" w:w="12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0.171</w:t>
            </w:r>
          </w:p>
        </w:tc>
        <w:tc>
          <w:tcPr>
            <w:tcW w:type="dxa" w:w="12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0.153</w:t>
            </w:r>
          </w:p>
        </w:tc>
        <w:tc>
          <w:tcPr>
            <w:tcW w:type="dxa" w:w="37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~17% range → volatile, wide spread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WETH:USDso</w:t>
            </w:r>
          </w:p>
        </w:tc>
        <w:tc>
          <w:tcPr>
            <w:tcW w:type="dxa" w:w="12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1,975</w:t>
            </w:r>
          </w:p>
        </w:tc>
        <w:tc>
          <w:tcPr>
            <w:tcW w:type="dxa" w:w="12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2,089</w:t>
            </w:r>
          </w:p>
        </w:tc>
        <w:tc>
          <w:tcPr>
            <w:tcW w:type="dxa" w:w="12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2,020</w:t>
            </w:r>
          </w:p>
        </w:tc>
        <w:tc>
          <w:tcPr>
            <w:tcW w:type="dxa" w:w="37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WBTC:USDso</w:t>
            </w:r>
          </w:p>
        </w:tc>
        <w:tc>
          <w:tcPr>
            <w:tcW w:type="dxa" w:w="12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73,347</w:t>
            </w:r>
          </w:p>
        </w:tc>
        <w:tc>
          <w:tcPr>
            <w:tcW w:type="dxa" w:w="12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73,618</w:t>
            </w:r>
          </w:p>
        </w:tc>
        <w:tc>
          <w:tcPr>
            <w:tcW w:type="dxa" w:w="12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73,505</w:t>
            </w:r>
          </w:p>
        </w:tc>
        <w:tc>
          <w:tcPr>
            <w:tcW w:type="dxa" w:w="37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</w:tr>
    </w:tbl>
    <w:p>
      <w:pPr>
        <w:pBdr>
          <w:bottom w:val="single" w:color="2563EB" w:sz="4" w:space="1"/>
        </w:pBdr>
        <w:spacing w:after="160" w:before="16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</w:rPr>
        <w:t xml:space="preserve">6. Activity Over Time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Day</w:t>
            </w:r>
          </w:p>
        </w:tc>
        <w:tc>
          <w:tcPr>
            <w:tcW w:type="dxa" w:w="312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Order Txs</w:t>
            </w:r>
          </w:p>
        </w:tc>
        <w:tc>
          <w:tcPr>
            <w:tcW w:type="dxa" w:w="312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Fill %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2026-05-26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107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88%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2026-05-27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1,469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89%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2026-05-28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3,103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86%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2026-05-29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23,775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68%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2026-05-30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13,109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82%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2026-05-31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14,746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89%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2026-06-01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5,809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99%</w:t>
            </w:r>
          </w:p>
        </w:tc>
      </w:tr>
    </w:tbl>
    <w:p>
      <w:pPr>
        <w:spacing w:after="120" w:before="12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Fill rate climbed over the campaign — from ~68% on the heaviest day to 99% at the end — as skip-sim + slip-0 + USDC.e were dialled in.</w:t>
      </w:r>
    </w:p>
    <w:p>
      <w:pPr>
        <w:spacing w:after="120" w:before="12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Hour-of-day (UTC): activity peaked 12:00–16:00 (afternoon), bottomed overnight (22:00–00:00). Peak hour 15:00 (~5,200 txs); quietest 23:00 (~0).</w:t>
      </w:r>
    </w:p>
    <w:p>
      <w:pPr>
        <w:spacing w:after="120" w:before="12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i w:val="false"/>
          <w:iCs w:val="false"/>
          <w:color w:val="374151"/>
          <w:sz w:val="20"/>
          <w:szCs w:val="20"/>
        </w:rPr>
        <w:t xml:space="preserve">Chart: Daily Activity (Order Txs)</w:t>
      </w:r>
    </w:p>
    <w:p>
      <w:pPr>
        <w:spacing w:after="160" w:before="160"/>
        <w:jc w:val="center"/>
      </w:pPr>
      <w:r>
        <w:drawing>
          <wp:inline distT="0" distB="0" distL="0" distR="0">
            <wp:extent cx="5334000" cy="2590800"/>
            <wp:effectExtent t="0" r="0" b="0" l="0"/>
            <wp:docPr id="1" name="chart" descr="Bar chart" title="Char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2563EB" w:sz="4" w:space="1"/>
        </w:pBdr>
        <w:spacing w:after="160" w:before="16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</w:rPr>
        <w:t xml:space="preserve">7. Bot-Tuning Takeaways (Post-Contest Profit Bot)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USDC.e slip-0 is the engine — 99.5% fills, ~zero reverts, stable peg. Start here.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WETH is a revert trap — 84% of all reverts; only use with skip-sim + a strict balance guard, or avoid for reliability.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SOMI’s wide spread = high capital bleed; only for big-notional bursts, never for profit-making.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Fill classifier is solid — 419k/185k/95k gas tiers cleanly separate fill/no-fill/revert, so the dataset’s ‘filled’ flag is trustworthy for modeling.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8.7% reverts concentrate in empty-book windows + WETH — a smarter bot should gate on live book depth before firing (see evidence/LIQUIDITY-BLACKOUT.md).</w:t>
      </w:r>
    </w:p>
    <w:p>
      <w:pPr>
        <w:spacing w:after="120" w:before="12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i w:val="false"/>
          <w:iCs w:val="false"/>
          <w:color w:val="374151"/>
          <w:sz w:val="20"/>
          <w:szCs w:val="20"/>
        </w:rPr>
        <w:t xml:space="preserve">Chart: Fill Rate by Pair (%)</w:t>
      </w:r>
    </w:p>
    <w:p>
      <w:pPr>
        <w:spacing w:after="160" w:before="160"/>
        <w:jc w:val="center"/>
      </w:pPr>
      <w:r>
        <w:drawing>
          <wp:inline distT="0" distB="0" distL="0" distR="0">
            <wp:extent cx="5334000" cy="1981200"/>
            <wp:effectExtent t="0" r="0" b="0" l="0"/>
            <wp:docPr id="1" name="chart" descr="Bar chart" title="Char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2563EB" w:sz="4" w:space="1"/>
        </w:pBdr>
        <w:spacing w:after="160" w:before="16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1D5DB" w:sz="2" w:space="2"/>
      </w:pBdr>
      <w:jc w:val="center"/>
    </w:pPr>
    <w:r>
      <w:rPr>
        <w:rFonts w:ascii="Arial" w:cs="Arial" w:eastAsia="Arial" w:hAnsi="Arial"/>
        <w:color w:val="9CA3AF"/>
        <w:sz w:val="16"/>
        <w:szCs w:val="16"/>
      </w:rPr>
      <w:t xml:space="preserve">trader-9  ·  Somnia mainnet  ·  Page </w:t>
    </w:r>
    <w:r>
      <w:rPr>
        <w:rFonts w:ascii="Arial" w:cs="Arial" w:eastAsia="Arial" w:hAnsi="Arial"/>
        <w:color w:val="9CA3AF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9CA3AF"/>
        <w:sz w:val="16"/>
        <w:szCs w:val="16"/>
      </w:rPr>
      <w:t xml:space="preserve"> of </w:t>
    </w:r>
    <w:r>
      <w:rPr>
        <w:rFonts w:ascii="Arial" w:cs="Arial" w:eastAsia="Arial" w:hAnsi="Arial"/>
        <w:color w:val="9CA3AF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563EB" w:sz="4" w:space="2"/>
      </w:pBdr>
      <w:jc w:val="right"/>
    </w:pPr>
    <w:r>
      <w:rPr>
        <w:rFonts w:ascii="Arial" w:cs="Arial" w:eastAsia="Arial" w:hAnsi="Arial"/>
        <w:color w:val="6B7280"/>
        <w:sz w:val="16"/>
        <w:szCs w:val="16"/>
      </w:rPr>
      <w:t xml:space="preserve">DreamDEX Campaign — Complete On-Chain Trade Analysis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1E40AF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Arial" w:cs="Arial" w:eastAsia="Arial" w:hAnsi="Arial"/>
      <w:b/>
      <w:bCs/>
      <w:color w:val="374151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fd0eceea0067299fcc1213a6dda2b95756e3184.png"/><Relationship Id="rId10" Type="http://schemas.openxmlformats.org/officeDocument/2006/relationships/image" Target="media/263f327366f7ede49421f31ee59e3760bf02790c.png"/><Relationship Id="rId11" Type="http://schemas.openxmlformats.org/officeDocument/2006/relationships/image" Target="media/494c4694e3aa795da82cb07fb9b5e6572e574e59.png"/><Relationship Id="rId12" Type="http://schemas.openxmlformats.org/officeDocument/2006/relationships/image" Target="media/b8a9e39ec84693c88616f72cc1c577878753f90f.png"/><Relationship Id="rId13" Type="http://schemas.openxmlformats.org/officeDocument/2006/relationships/image" Target="media/65e396e97a6364991922d637beccd3d34961c5cd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2026-06-02T10:30:11.507Z</dcterms:created>
  <dcterms:modified xsi:type="dcterms:W3CDTF">2026-06-02T10:30:11.508Z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