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40"/>
      </w:pPr>
      <w:r>
        <w:rPr>
          <w:rFonts w:ascii="Calibri" w:cs="Calibri" w:eastAsia="Calibri" w:hAnsi="Calibri"/>
          <w:b/>
          <w:bCs/>
          <w:color w:val="5B3DF5"/>
          <w:sz w:val="26"/>
          <w:szCs w:val="26"/>
        </w:rPr>
        <w:t xml:space="preserve">DreamDEX</w:t>
      </w:r>
    </w:p>
    <w:p>
      <w:pPr>
        <w:spacing w:after="60"/>
      </w:pPr>
      <w:r>
        <w:rPr>
          <w:rFonts w:ascii="Calibri" w:cs="Calibri" w:eastAsia="Calibri" w:hAnsi="Calibri"/>
          <w:b/>
          <w:bCs/>
          <w:color w:val="1A1A2E"/>
          <w:sz w:val="40"/>
          <w:szCs w:val="40"/>
        </w:rPr>
        <w:t xml:space="preserve">Event Contracts — Test Report</w:t>
      </w:r>
    </w:p>
    <w:p>
      <w:pPr>
        <w:pBdr>
          <w:bottom w:val="single" w:color="E4E4EC" w:sz="8" w:space="6"/>
        </w:pBdr>
        <w:spacing w:after="60"/>
      </w:pPr>
      <w:r>
        <w:rPr>
          <w:rFonts w:ascii="Calibri" w:cs="Calibri" w:eastAsia="Calibri" w:hAnsi="Calibri"/>
          <w:i/>
          <w:iCs/>
          <w:color w:val="6B7280"/>
          <w:sz w:val="19"/>
          <w:szCs w:val="19"/>
        </w:rPr>
        <w:t xml:space="preserve">Hands-on test of docs, SDK, app UI, and the full on-chain trading path. Retested 2026-08-11 · Somnia Shannon testnet · SDK 0.25.0. Every matrix row was executed live and recorded.</w:t>
      </w:r>
    </w:p>
    <w:p>
      <w:pPr>
        <w:pBdr>
          <w:top w:val="single" w:color="F0D9B5" w:sz="6" w:space="4"/>
          <w:bottom w:val="single" w:color="F0D9B5" w:sz="6" w:space="4"/>
          <w:left w:val="single" w:color="B25E09" w:sz="18" w:space="8"/>
          <w:right w:val="single" w:color="F0D9B5" w:sz="6" w:space="4"/>
        </w:pBdr>
        <w:shd w:fill="FFF6E9" w:color="auto" w:val="clear"/>
        <w:spacing w:after="120" w:before="140"/>
      </w:pPr>
      <w:r>
        <w:rPr>
          <w:rFonts w:ascii="Calibri" w:cs="Calibri" w:eastAsia="Calibri" w:hAnsi="Calibri"/>
          <w:b/>
          <w:bCs/>
          <w:color w:val="1A1A2E"/>
          <w:sz w:val="19"/>
          <w:szCs w:val="19"/>
        </w:rPr>
        <w:t xml:space="preserve">Indexer note: </w:t>
      </w:r>
      <w:r>
        <w:rPr>
          <w:rFonts w:ascii="Calibri" w:cs="Calibri" w:eastAsia="Calibri" w:hAnsi="Calibri"/>
          <w:color w:val="1A1A2E"/>
          <w:sz w:val="19"/>
          <w:szCs w:val="19"/>
        </w:rPr>
        <w:t xml:space="preserve">during this test the SDK's documented testnet indexer was unreachable (HTTP 000) while the app and RPC were up. Indexer-backed reads fail here; discovery was done from chain logs. This is a real availability finding, not a venue failure — the venue trades fine (matrix below).</w:t>
      </w:r>
    </w:p>
    <w:p>
      <w:pPr>
        <w:pBdr>
          <w:bottom w:val="single" w:color="5B3DF5" w:sz="14" w:space="6"/>
        </w:pBdr>
        <w:spacing w:after="140" w:before="340"/>
      </w:pPr>
      <w:r>
        <w:rPr>
          <w:rFonts w:ascii="Calibri" w:cs="Calibri" w:eastAsia="Calibri" w:hAnsi="Calibri"/>
          <w:b/>
          <w:bCs/>
          <w:color w:val="1A1A2E"/>
          <w:sz w:val="30"/>
          <w:szCs w:val="30"/>
        </w:rPr>
        <w:t xml:space="preserve">Test matrix — what we tested and whether it works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E4E4EC" w:sz="6"/>
          <w:insideV w:val="single" w:color="E4E4EC" w:sz="6"/>
        </w:tblBorders>
      </w:tblPr>
      <w:tblGrid>
        <w:gridCol w:w="100"/>
        <w:gridCol w:w="100"/>
        <w:gridCol w:w="100"/>
        <w:gridCol w:w="100"/>
        <w:gridCol w:w="100"/>
      </w:tblGrid>
      <w:tr>
        <w:trPr>
          <w:tblHeader/>
        </w:trPr>
        <w:tc>
          <w:tcPr>
            <w:tcW w:type="pct" w:w="5%"/>
            <w:shd w:fill="1A1A2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#</w:t>
            </w:r>
          </w:p>
        </w:tc>
        <w:tc>
          <w:tcPr>
            <w:tcW w:type="pct" w:w="13%"/>
            <w:shd w:fill="1A1A2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Area</w:t>
            </w:r>
          </w:p>
        </w:tc>
        <w:tc>
          <w:tcPr>
            <w:tcW w:type="pct" w:w="42%"/>
            <w:shd w:fill="1A1A2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What we tested</w:t>
            </w:r>
          </w:p>
        </w:tc>
        <w:tc>
          <w:tcPr>
            <w:tcW w:type="pct" w:w="15%"/>
            <w:shd w:fill="1A1A2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Works?</w:t>
            </w:r>
          </w:p>
        </w:tc>
        <w:tc>
          <w:tcPr>
            <w:tcW w:type="pct" w:w="25%"/>
            <w:shd w:fill="1A1A2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Evidence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discovery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Market discovery from chain logs (no indexer)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12 events; BTC+ETH; 15m/1h/4h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2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read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Market status on-chain (getMarketOnchain)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status/finalized/winner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3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read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Order book on-chain (getAllOpenOrdersOnchain)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3 bids + 3 asks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4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read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Outcome balances on-chain (getOutcomeBalance)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ERC-6909 Up/Down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5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helper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probabilityToPrice / priceToProbability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0.62→620000→0.62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6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write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faucet TestUSDC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0xeab04b…54b1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7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write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mintSet — 1 collateral → 1 Up + 1 Down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ΔUp+6 ΔDown+6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8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write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burnSet — merge Up + Down → collateral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ΔUp−2 ΔDown−2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9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write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Maker order rests (PostOnly SELL Up)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orderId returned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10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read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Own resting orders on-chain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1 resting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11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write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Taker order fills (IOC BUY Up crosses)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filled 1 @ 0.368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12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write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cancelOrder (cancel resting maker)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18"/>
                <w:szCs w:val="18"/>
              </w:rPr>
              <w:t xml:space="preserve">✔ Yes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0xf0e282…3afe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13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write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Settle → redeem winner after resolution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5E09"/>
                <w:sz w:val="18"/>
                <w:szCs w:val="18"/>
              </w:rPr>
              <w:t xml:space="preserve">⏳ Pending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market settling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14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bug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PostOnly crossing order rejected SILENTLY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25E09"/>
                <w:sz w:val="18"/>
                <w:szCs w:val="18"/>
              </w:rPr>
              <w:t xml:space="preserve">⚠ Repro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success + orderId undefined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15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packaging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import under native Node (node bot.mjs)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42318"/>
                <w:sz w:val="18"/>
                <w:szCs w:val="18"/>
              </w:rPr>
              <w:t xml:space="preserve">✘ No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ERR_MODULE_NOT_FOUND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16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indexer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loadMarkets / unified createOrder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42318"/>
                <w:sz w:val="18"/>
                <w:szCs w:val="18"/>
              </w:rPr>
              <w:t xml:space="preserve">✘ Down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indexer HTTP 000</w:t>
            </w:r>
          </w:p>
        </w:tc>
      </w:tr>
      <w:tr>
        <w:tc>
          <w:tcPr>
            <w:tcW w:type="pct" w:w="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17</w:t>
            </w:r>
          </w:p>
        </w:tc>
        <w:tc>
          <w:tcPr>
            <w:tcW w:type="pct" w:w="13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6B7280"/>
                <w:sz w:val="20"/>
                <w:szCs w:val="20"/>
              </w:rPr>
              <w:t xml:space="preserve">indexer</w:t>
            </w:r>
          </w:p>
        </w:tc>
        <w:tc>
          <w:tcPr>
            <w:tcW w:type="pct" w:w="42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listBinaryMarkets (indexer discovery)</w:t>
            </w:r>
          </w:p>
        </w:tc>
        <w:tc>
          <w:tcPr>
            <w:tcW w:type="pct" w:w="1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B42318"/>
                <w:sz w:val="18"/>
                <w:szCs w:val="18"/>
              </w:rPr>
              <w:t xml:space="preserve">✘ Down</w:t>
            </w:r>
          </w:p>
        </w:tc>
        <w:tc>
          <w:tcPr>
            <w:tcW w:type="pct" w:w="25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indexer HTTP 000</w:t>
            </w:r>
          </w:p>
        </w:tc>
      </w:tr>
    </w:tbl>
    <w:p>
      <w:pPr>
        <w:spacing w:after="60" w:before="120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Programmatic matrix (rows 1–12, 14) passed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13/15 in one automated run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 (methodology/matrix.mjs). The two non-passes are both the indexer outage. Legend: ✔ works · ⏳ pending settlement · ⚠ works-but-a-bug · ✘ broken/unavailable.</w:t>
      </w:r>
    </w:p>
    <w:p>
      <w:pPr>
        <w:pBdr>
          <w:bottom w:val="single" w:color="5B3DF5" w:sz="14" w:space="6"/>
        </w:pBdr>
        <w:spacing w:after="140" w:before="340"/>
      </w:pPr>
      <w:r>
        <w:rPr>
          <w:rFonts w:ascii="Calibri" w:cs="Calibri" w:eastAsia="Calibri" w:hAnsi="Calibri"/>
          <w:b/>
          <w:bCs/>
          <w:color w:val="1A1A2E"/>
          <w:sz w:val="30"/>
          <w:szCs w:val="30"/>
        </w:rPr>
        <w:t xml:space="preserve">UI issues from the first review — now FIXED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The app was updated since the first review; every UI issue reported is resolved. Verified live (before → after screenshots below).</w:t>
      </w:r>
    </w:p>
    <w:tbl>
      <w:tblPr>
        <w:tblW w:type="pct" w:w="100%"/>
        <w:tblBorders>
          <w:top w:val="none"/>
          <w:left w:val="none"/>
          <w:bottom w:val="none"/>
          <w:right w:val="none"/>
          <w:insideH w:val="single" w:color="E4E4EC" w:sz="6"/>
          <w:insideV w:val="single" w:color="E4E4EC" w:sz="6"/>
        </w:tblBorders>
      </w:tblPr>
      <w:tblGrid>
        <w:gridCol w:w="100"/>
        <w:gridCol w:w="100"/>
        <w:gridCol w:w="100"/>
      </w:tblGrid>
      <w:tr>
        <w:trPr>
          <w:tblHeader/>
        </w:trPr>
        <w:tc>
          <w:tcPr>
            <w:tcW w:type="pct" w:w="46%"/>
            <w:shd w:fill="1A1A2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Issue (first review)</w:t>
            </w:r>
          </w:p>
        </w:tc>
        <w:tc>
          <w:tcPr>
            <w:tcW w:type="pct" w:w="34%"/>
            <w:shd w:fill="1A1A2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Status now</w:t>
            </w:r>
          </w:p>
        </w:tc>
        <w:tc>
          <w:tcPr>
            <w:tcW w:type="pct" w:w="20%"/>
            <w:shd w:fill="1A1A2E" w:color="auto" w:val="clear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r>
              <w:rPr>
                <w:rFonts w:ascii="Calibri" w:cs="Calibri" w:eastAsia="Calibri" w:hAnsi="Calibri"/>
                <w:b/>
                <w:bCs/>
                <w:color w:val="FFFFFF"/>
                <w:sz w:val="16"/>
                <w:szCs w:val="16"/>
              </w:rPr>
              <w:t xml:space="preserve">Evidence</w:t>
            </w:r>
          </w:p>
        </w:tc>
      </w:tr>
      <w:tr>
        <w:tc>
          <w:tcPr>
            <w:tcW w:type="pct" w:w="4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Selector showed “No event markets”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20"/>
                <w:szCs w:val="20"/>
              </w:rPr>
              <w:t xml:space="preserve">Fixed</w:t>
            </w: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 — BTC market loads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01 → RETEST-01</w:t>
            </w:r>
          </w:p>
        </w:tc>
      </w:tr>
      <w:tr>
        <w:tc>
          <w:tcPr>
            <w:tcW w:type="pct" w:w="4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Chart plotted SOMI on an ETH/BTC page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20"/>
                <w:szCs w:val="20"/>
              </w:rPr>
              <w:t xml:space="preserve">Fixed</w:t>
            </w: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 — BTC price + strike line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02 → RETEST-02</w:t>
            </w:r>
          </w:p>
        </w:tc>
      </w:tr>
      <w:tr>
        <w:tc>
          <w:tcPr>
            <w:tcW w:type="pct" w:w="4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Both sides “no liquidity”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20"/>
                <w:szCs w:val="20"/>
              </w:rPr>
              <w:t xml:space="preserve">Fixed</w:t>
            </w: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 — full book, spread 3¢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03 → RETEST-02</w:t>
            </w:r>
          </w:p>
        </w:tc>
      </w:tr>
      <w:tr>
        <w:tc>
          <w:tcPr>
            <w:tcW w:type="pct" w:w="4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“Max: -- USDso” wouldn’t compute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20"/>
                <w:szCs w:val="20"/>
              </w:rPr>
              <w:t xml:space="preserve">Fixed</w:t>
            </w: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 — Max 1.01 USDso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RETEST-01</w:t>
            </w:r>
          </w:p>
        </w:tc>
      </w:tr>
      <w:tr>
        <w:tc>
          <w:tcPr>
            <w:tcW w:type="pct" w:w="4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Asset never labelled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20"/>
                <w:szCs w:val="20"/>
              </w:rPr>
              <w:t xml:space="preserve">Fixed</w:t>
            </w: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 — “BTC” + full question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RETEST-01</w:t>
            </w:r>
          </w:p>
        </w:tc>
      </w:tr>
      <w:tr>
        <w:tc>
          <w:tcPr>
            <w:tcW w:type="pct" w:w="46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Balance showed 1.02 trillion USDso</w:t>
            </w:r>
          </w:p>
        </w:tc>
        <w:tc>
          <w:tcPr>
            <w:tcW w:type="pct" w:w="34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alibri" w:cs="Calibri" w:eastAsia="Calibri" w:hAnsi="Calibri"/>
                <w:b/>
                <w:bCs/>
                <w:color w:val="0B7A46"/>
                <w:sz w:val="20"/>
                <w:szCs w:val="20"/>
              </w:rPr>
              <w:t xml:space="preserve">Fixed</w:t>
            </w:r>
            <w:r>
              <w:rPr>
                <w:rFonts w:ascii="Calibri" w:cs="Calibri" w:eastAsia="Calibri" w:hAnsi="Calibri"/>
                <w:color w:val="1A1A2E"/>
                <w:sz w:val="20"/>
                <w:szCs w:val="20"/>
              </w:rPr>
              <w:t xml:space="preserve"> — now 1.02 (decimals bug)</w:t>
            </w:r>
          </w:p>
        </w:tc>
        <w:tc>
          <w:tcPr>
            <w:tcW w:type="pct" w:w="20%"/>
            <w:tcMar>
              <w:top w:type="dxa" w:w="60"/>
              <w:left w:type="dxa" w:w="90"/>
              <w:bottom w:type="dxa" w:w="60"/>
              <w:right w:type="dxa" w:w="90"/>
            </w:tcMar>
          </w:tcPr>
          <w:p>
            <w:pPr>
              <w:spacing w:after="0"/>
            </w:pPr>
            <w:r>
              <w:rPr>
                <w:rFonts w:ascii="Consolas" w:cs="Consolas" w:eastAsia="Consolas" w:hAnsi="Consolas"/>
                <w:color w:val="3A3A50"/>
                <w:sz w:val="15"/>
                <w:szCs w:val="15"/>
              </w:rPr>
              <w:t xml:space="preserve">RETEST-01</w:t>
            </w:r>
          </w:p>
        </w:tc>
      </w:tr>
    </w:tbl>
    <w:p>
      <w:pPr>
        <w:spacing w:after="30" w:before="100"/>
        <w:jc w:val="center"/>
      </w:pPr>
      <w:r>
        <w:drawing>
          <wp:inline distT="0" distB="0" distL="0" distR="0">
            <wp:extent cx="495300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AFTER: order book (bids 70–72¢ / asks 75–76¢, spread 3¢), BTC chart with strike line and Up/Down zones, clear question.</w:t>
      </w:r>
    </w:p>
    <w:p>
      <w:pPr>
        <w:spacing w:after="30" w:before="100"/>
        <w:jc w:val="center"/>
      </w:pPr>
      <w:r>
        <w:drawing>
          <wp:inline distT="0" distB="0" distL="0" distR="0">
            <wp:extent cx="4953000" cy="28384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953000" cy="28384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50"/>
        <w:jc w:val="center"/>
      </w:pPr>
      <w:r>
        <w:rPr>
          <w:rFonts w:ascii="Calibri" w:cs="Calibri" w:eastAsia="Calibri" w:hAnsi="Calibri"/>
          <w:i/>
          <w:iCs/>
          <w:color w:val="6B7280"/>
          <w:sz w:val="16"/>
          <w:szCs w:val="16"/>
        </w:rPr>
        <w:t xml:space="preserve">BEFORE: “No event markets” + “no liquidity”, shown while an on-chain book existed.</w:t>
      </w:r>
    </w:p>
    <w:p>
      <w:pPr>
        <w:pBdr>
          <w:bottom w:val="single" w:color="5B3DF5" w:sz="14" w:space="6"/>
        </w:pBdr>
        <w:spacing w:after="140" w:before="340"/>
      </w:pPr>
      <w:r>
        <w:rPr>
          <w:rFonts w:ascii="Calibri" w:cs="Calibri" w:eastAsia="Calibri" w:hAnsi="Calibri"/>
          <w:b/>
          <w:bCs/>
          <w:color w:val="1A1A2E"/>
          <w:sz w:val="30"/>
          <w:szCs w:val="30"/>
        </w:rPr>
        <w:t xml:space="preserve">Open issues (still worth fixing)</w:t>
      </w:r>
    </w:p>
    <w:p>
      <w:pPr>
        <w:spacing w:after="100" w:line="272"/>
      </w:pPr>
      <w:r>
        <w:rPr>
          <w:rFonts w:ascii="Calibri" w:cs="Calibri" w:eastAsia="Calibri" w:hAnsi="Calibri"/>
          <w:b/>
          <w:bCs/>
          <w:color w:val="5B3DF5"/>
          <w:sz w:val="20"/>
          <w:szCs w:val="20"/>
        </w:rPr>
        <w:t xml:space="preserve">1. 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SDK won’t import under native Node.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“type”:”module” + extensionless relative imports → node bot.mjs fails with ERR_MODULE_NOT_FOUND. Runs only via a bundler or tsx.</w:t>
      </w:r>
    </w:p>
    <w:p>
      <w:pPr>
        <w:spacing w:after="100" w:line="272"/>
      </w:pPr>
      <w:r>
        <w:rPr>
          <w:rFonts w:ascii="Calibri" w:cs="Calibri" w:eastAsia="Calibri" w:hAnsi="Calibri"/>
          <w:b/>
          <w:bCs/>
          <w:color w:val="5B3DF5"/>
          <w:sz w:val="20"/>
          <w:szCs w:val="20"/>
        </w:rPr>
        <w:t xml:space="preserve">2. 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Documented testnet indexer is unreliable.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Fully down during this test (HTTP 000) while app + RPC were up; a raw-IP nip.io URL with no stable DNS. Breaks loadMarkets, listBinaryMarkets, unified createOrder, getOutcomeBalances.</w:t>
      </w:r>
    </w:p>
    <w:p>
      <w:pPr>
        <w:spacing w:after="100" w:line="272"/>
      </w:pPr>
      <w:r>
        <w:rPr>
          <w:rFonts w:ascii="Calibri" w:cs="Calibri" w:eastAsia="Calibri" w:hAnsi="Calibri"/>
          <w:b/>
          <w:bCs/>
          <w:color w:val="5B3DF5"/>
          <w:sz w:val="20"/>
          <w:szCs w:val="20"/>
        </w:rPr>
        <w:t xml:space="preserve">3. 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PostOnly rejection is silent.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A crossing PostOnly order returns success with orderId undefined, fills 0, and no error — detectable only by null-checking orderId.</w:t>
      </w:r>
    </w:p>
    <w:p>
      <w:pPr>
        <w:spacing w:after="100" w:line="272"/>
      </w:pPr>
      <w:r>
        <w:rPr>
          <w:rFonts w:ascii="Calibri" w:cs="Calibri" w:eastAsia="Calibri" w:hAnsi="Calibri"/>
          <w:b/>
          <w:bCs/>
          <w:color w:val="5B3DF5"/>
          <w:sz w:val="20"/>
          <w:szCs w:val="20"/>
        </w:rPr>
        <w:t xml:space="preserve">4. 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Docs mismatch on getOutcomeBalance.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README shows positional (token, address, id); the real signature is an object { outcomeToken, account, id }. The plural getOutcomeBalances reads the (down) indexer; the singular reads on-chain.</w:t>
      </w:r>
    </w:p>
    <w:p>
      <w:pPr>
        <w:spacing w:after="100" w:line="272"/>
      </w:pPr>
      <w:r>
        <w:rPr>
          <w:rFonts w:ascii="Calibri" w:cs="Calibri" w:eastAsia="Calibri" w:hAnsi="Calibri"/>
          <w:b/>
          <w:bCs/>
          <w:color w:val="5B3DF5"/>
          <w:sz w:val="20"/>
          <w:szCs w:val="20"/>
        </w:rPr>
        <w:t xml:space="preserve">5. 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Carried over: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getBinaryOrderBook wants a pool address (not marketId); the README binary example uses a fixed-strike symbol that finds nothing; tick/lot grid unpublished; window list says 15m/1h but 4h exists.</w:t>
      </w:r>
    </w:p>
    <w:p>
      <w:pPr>
        <w:spacing w:before="60"/>
      </w:pP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Credit: </w:t>
      </w:r>
      <w:r>
        <w:rPr>
          <w:rFonts w:ascii="Calibri" w:cs="Calibri" w:eastAsia="Calibri" w:hAnsi="Calibri"/>
          <w:color w:val="1A1A2E"/>
          <w:sz w:val="20"/>
          <w:szCs w:val="20"/>
        </w:rPr>
        <w:t xml:space="preserve">the raw trader.placeOrder correctly throws on revert (it replays to recover the reason) — the “reverts don’t throw” caveat applies only to the higher-level unified verbs.</w:t>
      </w:r>
    </w:p>
    <w:p>
      <w:pPr>
        <w:pBdr>
          <w:bottom w:val="single" w:color="5B3DF5" w:sz="14" w:space="6"/>
        </w:pBdr>
        <w:spacing w:after="140" w:before="340"/>
      </w:pPr>
      <w:r>
        <w:rPr>
          <w:rFonts w:ascii="Calibri" w:cs="Calibri" w:eastAsia="Calibri" w:hAnsi="Calibri"/>
          <w:b/>
          <w:bCs/>
          <w:color w:val="1A1A2E"/>
          <w:sz w:val="30"/>
          <w:szCs w:val="30"/>
        </w:rPr>
        <w:t xml:space="preserve">Fresh transactions from this retest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Full trade re-run on BTC-60min (marketId 0x…3f04), RPC-only (indexer bypassed):</w:t>
      </w:r>
    </w:p>
    <w:p>
      <w:pPr>
        <w:pBdr>
          <w:top w:val="single" w:color="E4E4EC" w:sz="6" w:space="4"/>
          <w:bottom w:val="single" w:color="E4E4EC" w:sz="6" w:space="4"/>
          <w:left w:val="single" w:color="5B3DF5" w:sz="18" w:space="8"/>
          <w:right w:val="single" w:color="E4E4EC" w:sz="6" w:space="4"/>
        </w:pBdr>
        <w:shd w:fill="F4F4F8" w:color="auto" w:val="clear"/>
        <w:spacing w:after="140" w:before="60"/>
      </w:pPr>
      <w:r>
        <w:rPr>
          <w:rFonts w:ascii="Consolas" w:cs="Consolas" w:eastAsia="Consolas" w:hAnsi="Consolas"/>
          <w:color w:val="3A3A50"/>
          <w:sz w:val="15"/>
          <w:szCs w:val="15"/>
        </w:rPr>
        <w:t xml:space="preserve">faucet                 0xcfaddaa5de777bda5887a4089be15e6665c5940c02944108fef4b18d01f9a062</w:t>
      </w:r>
      <w:r>
        <w:br/>
      </w:r>
      <w:r>
        <w:rPr>
          <w:rFonts w:ascii="Consolas" w:cs="Consolas" w:eastAsia="Consolas" w:hAnsi="Consolas"/>
          <w:color w:val="3A3A50"/>
          <w:sz w:val="15"/>
          <w:szCs w:val="15"/>
        </w:rPr>
        <w:t xml:space="preserve">mintSet                0xa80c0949cc4498613aa5a69c553371dc8a5c90c6376c432b01448ff5f8fdb6ab</w:t>
      </w:r>
      <w:r>
        <w:br/>
      </w:r>
      <w:r>
        <w:rPr>
          <w:rFonts w:ascii="Consolas" w:cs="Consolas" w:eastAsia="Consolas" w:hAnsi="Consolas"/>
          <w:color w:val="3A3A50"/>
          <w:sz w:val="15"/>
          <w:szCs w:val="15"/>
        </w:rPr>
        <w:t xml:space="preserve">maker rest (SELL Up)   0xf211d5aad05af43a189210a62149de841fd5a594f1677eaa256940ef7d95153c</w:t>
      </w:r>
      <w:r>
        <w:br/>
      </w:r>
      <w:r>
        <w:rPr>
          <w:rFonts w:ascii="Consolas" w:cs="Consolas" w:eastAsia="Consolas" w:hAnsi="Consolas"/>
          <w:color w:val="3A3A50"/>
          <w:sz w:val="15"/>
          <w:szCs w:val="15"/>
        </w:rPr>
        <w:t xml:space="preserve">taker fill (BUY Up, 2) 0x9e5f9c286247af357ae8928e63bf8ca8f980285555ecf4cdba12f0472d1120b9</w:t>
      </w:r>
    </w:p>
    <w:p>
      <w:pPr>
        <w:spacing w:after="120" w:line="276"/>
      </w:pPr>
      <w:r>
        <w:rPr>
          <w:rFonts w:ascii="Calibri" w:cs="Calibri" w:eastAsia="Calibri" w:hAnsi="Calibri"/>
          <w:color w:val="1A1A2E"/>
          <w:sz w:val="20"/>
          <w:szCs w:val="20"/>
        </w:rPr>
        <w:t xml:space="preserve">The maker on the book (0x789f…) quoted a two-sided market around 50/50 with a ~0.03 spread — tighter than the maker in the first review. </w:t>
      </w:r>
      <w:r>
        <w:rPr>
          <w:rFonts w:ascii="Calibri" w:cs="Calibri" w:eastAsia="Calibri" w:hAnsi="Calibri"/>
          <w:b/>
          <w:bCs/>
          <w:color w:val="1A1A2E"/>
          <w:sz w:val="20"/>
          <w:szCs w:val="20"/>
        </w:rPr>
        <w:t xml:space="preserve">Bottom line: the team fixed the UI issues; the venue trades end-to-end; the remaining gaps are SDK packaging and an unreliable documented indexer.</w:t>
      </w:r>
    </w:p>
    <w:sectPr>
      <w:pgSz w:w="11906" w:h="16838" w:orient="portrait"/>
      <w:pgMar w:top="1000" w:right="1000" w:bottom="1000" w:left="10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1A2E"/>
        <w:sz w:val="20"/>
        <w:szCs w:val="20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598b0412a1a368f2ce9ce3cee98bf264e2cc6953.jpg"/><Relationship Id="rId8" Type="http://schemas.openxmlformats.org/officeDocument/2006/relationships/image" Target="media/6243e71f6fb72f23fce47f0347d3f840fed419c1.jpg"/><Relationship Id="rId9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2026-08-11T16:46:56.970Z</dcterms:created>
  <dcterms:modified xsi:type="dcterms:W3CDTF">2026-08-11T16:46:56.971Z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