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DreamDEX Campaign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Complete On-Chain Trade Analysis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Full dataset analysis</w:t>
      </w:r>
    </w:p>
    <w:p>
      <w:pPr>
        <w:spacing w:after="12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Wallet:  </w:t>
      </w:r>
      <w:r>
        <w:rPr>
          <w:rFonts w:ascii="Courier New" w:cs="Courier New" w:eastAsia="Courier New" w:hAnsi="Courier New"/>
          <w:color w:val="111827"/>
          <w:sz w:val="20"/>
          <w:szCs w:val="20"/>
        </w:rPr>
        <w:t xml:space="preserve">0xF4c825F3C2970153d78B407CF190861dd4E2b905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(trader-9)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Network: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Somnia mainnet  ·  Chain 5031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Dataset: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63,569 txs  ·  2026-05-26 → 06-01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Dataset Provenance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Wallet: 0xF4c825F3C2970153d78B407CF190861dd4E2b905 (trader-9)  ·  Network: Somnia mainnet (chain 5031)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Dataset: 63,569 transactions, 2026-05-26 → 2026-06-01. Scraped from chain (Blockscout v2). Source: analysis/onchain_trades.db; regenerate via analysis/scrape_trades.py, analyse via analysis/analyze_full.py.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The direct-burst engine fires raw RPC and never logged to the backend DB, so the chain is the only complete record. Computed filled notional (~204,475 USDso) matches the leaderboard (~205k) — confirming the dataset is complete.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63,569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Order txs (buy/sell)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62,118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Other (approvals/setup)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1,451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First tx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2026-05-26 10:02:42 UTC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Last tx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2026-06-01 15:16:39 UTC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Calendar span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149.2 h (6.2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Trading sessions (gap &gt;10 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 trading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~69.4 h</w:t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By Pair — Where Volume and Reverts Came From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800"/>
        <w:gridCol w:w="900"/>
        <w:gridCol w:w="16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Txs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%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Reverts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(USDso)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(SOMI)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WETH:USDso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39,703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28,751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72.4%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4,635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124,789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82.93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SOMI:USDso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8,419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7,041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83.6%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64,406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18.55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USDC.e:USDso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13,836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13,761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99.5%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14,543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33.91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WBTC:USDso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56.9%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62,118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49,644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79.9%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5,494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~204,475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136.34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Key reads: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WETH was the workhorse and the troublemaker — 61% of all volume, but 84% of all reverts (4,635) and 61% of gas.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USDC.e was the cleanest engine — 99.5% fills, only 19 reverts (the slip-0 + skip-sim era).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SOMI carried 64k volume off just 7k fills — early legs were large (~$9 notional vs ~$1 for USDC.e).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Chart: Volume by Pair (USDso)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chart" descr="Bar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Chart: Gas Spent by Pair (SOMI)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chart" descr="Bar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Chart: Reverts by Pair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chart" descr="Bar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Buy/Sell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31,244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24,815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79.4%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30,874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24,829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80.4%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Near-perfectly balanced — disciplined round-tripping, no lopsided inventory drift.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Status &amp; Gas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Filled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49,644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419,222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No-fill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6,980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185,238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5,507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95,404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 ok / reverted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58,062 / 5,507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Revert rate 8.7%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Total gas burned: 136.34 SOMI — the true cost of the campaign. The clean gas separation (fill ≈19k, no-fill ≈185k, revert ≈95k) is what makes the gas-based fill classifier reliable.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Traded Price Ranges (Filled)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248"/>
        <w:gridCol w:w="1248"/>
        <w:gridCol w:w="1248"/>
        <w:gridCol w:w="3744"/>
      </w:tblGrid>
      <w:tr>
        <w:trPr>
          <w:tblHeader/>
        </w:trP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124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24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48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  <w:tc>
          <w:tcPr>
            <w:tcW w:type="dxa" w:w="374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USDC.e:USDso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0.9996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1.0006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1.000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rock-stable peg → safe pair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SOMI:USDso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0.1457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0.171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0.153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~17% range → volatile, wide spread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WETH:USDso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1,975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2,089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2,020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WBTC:USDso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73,347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73,618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73,505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Activity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Txs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1,469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3,103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23,775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13,109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2026-05-31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14,746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2026-06-01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5,809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99%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Fill rate climbed over the campaign — from ~68% on the heaviest day to 99% at the end — as skip-sim + slip-0 + USDC.e were dialled in.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Hour-of-day (UTC): activity peaked 12:00–16:00 (afternoon), bottomed overnight (22:00–00:00). Peak hour 15:00 (~5,200 txs); quietest 23:00 (~0).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Chart: Daily Activity (Order Txs)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chart" descr="Bar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Bot-Tuning Takeaways (Post-Contest Profit 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USDC.e slip-0 is the engine — 99.5% fills, ~zero reverts, stable peg. Start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WETH is a revert trap — 84% of all reverts; only use with skip-sim + a strict balance guard, or avoid for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SOMI’s wide spread = high capital bleed; only for big-notional bursts, never for profit-making.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Fill classifier is solid — 419k/185k/95k gas tiers cleanly separate fill/no-fill/revert, so the dataset’s ‘filled’ flag is trustworthy for modeling.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8.7% reverts concentrate in empty-book windows + WETH — a smarter bot should gate on live book depth before firing (see evidence/LIQUIDITY-BLACKOUT.md).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Chart: Fill Rate by Pair (%)</w:t>
      </w:r>
    </w:p>
    <w:p>
      <w:pPr>
        <w:spacing w:after="160" w:before="16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chart" descr="Bar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trader-9  ·  Somnia mainnet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DreamDEX Campaign — Complete On-Chain Trade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d0eceea0067299fcc1213a6dda2b95756e3184.png"/><Relationship Id="rId10" Type="http://schemas.openxmlformats.org/officeDocument/2006/relationships/image" Target="media/263f327366f7ede49421f31ee59e3760bf02790c.png"/><Relationship Id="rId11" Type="http://schemas.openxmlformats.org/officeDocument/2006/relationships/image" Target="media/494c4694e3aa795da82cb07fb9b5e6572e574e59.png"/><Relationship Id="rId12" Type="http://schemas.openxmlformats.org/officeDocument/2006/relationships/image" Target="media/b8a9e39ec84693c88616f72cc1c577878753f90f.png"/><Relationship Id="rId13" Type="http://schemas.openxmlformats.org/officeDocument/2006/relationships/image" Target="media/65e396e97a6364991922d637beccd3d34961c5c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2026-06-02T10:30:11.507Z</dcterms:created>
  <dcterms:modified xsi:type="dcterms:W3CDTF">2026-06-02T10:30:11.508Z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