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rPr>
          <w:b/>
          <w:bCs/>
          <w:color w:val="1F4E79"/>
          <w:sz w:val="52"/>
          <w:szCs w:val="52"/>
        </w:rPr>
        <w:t xml:space="preserve">DreamDEX</w:t>
      </w:r>
    </w:p>
    <w:p>
      <w:pPr>
        <w:spacing w:after="60"/>
      </w:pPr>
      <w:r>
        <w:rPr>
          <w:b/>
          <w:bCs/>
          <w:color w:val="2E75B6"/>
          <w:sz w:val="30"/>
          <w:szCs w:val="30"/>
        </w:rPr>
        <w:t xml:space="preserve">Round 3 — Transaction &amp; Performance Report</w:t>
      </w:r>
    </w:p>
    <w:p>
      <w:pPr>
        <w:spacing w:after="20"/>
      </w:pPr>
      <w:r>
        <w:rPr>
          <w:color w:val="5B6672"/>
          <w:sz w:val="17"/>
          <w:szCs w:val="17"/>
        </w:rPr>
        <w:t xml:space="preserve">Wallet 0xD84f…1E76 (trader-2)   ·   Round ended 2026-07-07 15:00 UTC (~20:30 IST)   ·   Prepared 2026-07-07</w:t>
      </w:r>
    </w:p>
    <w:p>
      <w:pPr>
        <w:pBdr>
          <w:bottom w:val="single" w:color="2E75B6" w:sz="8" w:space="6"/>
        </w:pBdr>
        <w:spacing w:after="180"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110" w:before="0"/>
      </w:pPr>
      <w:r>
        <w:t xml:space="preserve">We finished #2 of 6 on raw volume — the metric that decided week 2 — at 1,086,202 USDso, 7,246 behind the winner (trader-5). We were also #2 on effective volume and, by a wide margin, the most capital-efficient trader in the field: we generated our volume with the fewest transactions and the highest fill rate of any active competitor.</w:t>
      </w:r>
    </w:p>
    <w:p>
      <w:pPr>
        <w:spacing w:after="150" w:before="0"/>
      </w:pPr>
      <w:r>
        <w:t xml:space="preserve">We led the pack for large stretches and were within ~1% of first at the buzzer. The gap came down to two things in the final hours: recurring order-book dislocations (spread blowing out to 1–4%) that stalled fills for everyone, and our own late pivot to a faster engine that we could not fully exploit before the clock ran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Final rank (raw volume)</w:t>
            </w:r>
          </w:p>
        </w:tc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#2 of 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Raw volume</w:t>
            </w:r>
          </w:p>
        </w:tc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1,086,202 USDso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Effective volume</w:t>
            </w:r>
          </w:p>
        </w:tc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200,526 USDso (#2)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31,324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Fills</w:t>
            </w:r>
          </w:p>
        </w:tc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32,555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 fill rate (de-duplicated)</w:t>
            </w:r>
          </w:p>
        </w:tc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~98%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Total capital used (PnL)</w:t>
            </w:r>
          </w:p>
        </w:tc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−$122.31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Cost per 1,000 volume</w:t>
            </w:r>
          </w:p>
        </w:tc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≈ $0.113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 state</w:t>
            </w:r>
          </w:p>
        </w:tc>
        <w:tc>
          <w:tcPr>
            <w:tcW w:type="dxa" w:w="46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Flat — liquidated to USDso ($27.69)</w:t>
            </w:r>
          </w:p>
        </w:tc>
      </w:tr>
    </w:tbl>
    <w:p>
      <w:pPr>
        <w:pStyle w:val="Heading1"/>
        <w:pageBreakBefore/>
      </w:pPr>
      <w:r>
        <w:t xml:space="preserve">Final Standings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600"/>
        <w:gridCol w:w="1740"/>
        <w:gridCol w:w="1600"/>
        <w:gridCol w:w="1300"/>
        <w:gridCol w:w="1500"/>
      </w:tblGrid>
      <w:tr>
        <w:trPr>
          <w:tblHeader/>
        </w:trPr>
        <w:tc>
          <w:tcPr>
            <w:tcW w:type="dxa" w:w="6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Trader</w:t>
            </w:r>
          </w:p>
        </w:tc>
        <w:tc>
          <w:tcPr>
            <w:tcW w:type="dxa" w:w="174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Raw volume</w:t>
            </w:r>
          </w:p>
        </w:tc>
        <w:tc>
          <w:tcPr>
            <w:tcW w:type="dxa" w:w="1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Effective</w:t>
            </w:r>
          </w:p>
        </w:tc>
        <w:tc>
          <w:tcPr>
            <w:tcW w:type="dxa" w:w="13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Tx count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Fill rate*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trader-5</w:t>
            </w:r>
          </w:p>
        </w:tc>
        <w:tc>
          <w:tcPr>
            <w:tcW w:type="dxa" w:w="174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1,093,448</w:t>
            </w:r>
          </w:p>
        </w:tc>
        <w:tc>
          <w:tcPr>
            <w:tcW w:type="dxa" w:w="1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175,649</w:t>
            </w:r>
          </w:p>
        </w:tc>
        <w:tc>
          <w:tcPr>
            <w:tcW w:type="dxa" w:w="13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43,337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73%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US (trader-2)</w:t>
            </w:r>
          </w:p>
        </w:tc>
        <w:tc>
          <w:tcPr>
            <w:tcW w:type="dxa" w:w="174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1,086,202</w:t>
            </w:r>
          </w:p>
        </w:tc>
        <w:tc>
          <w:tcPr>
            <w:tcW w:type="dxa" w:w="1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200,526</w:t>
            </w:r>
          </w:p>
        </w:tc>
        <w:tc>
          <w:tcPr>
            <w:tcW w:type="dxa" w:w="13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31,324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~98%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trader-3</w:t>
            </w:r>
          </w:p>
        </w:tc>
        <w:tc>
          <w:tcPr>
            <w:tcW w:type="dxa" w:w="174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945,481</w:t>
            </w:r>
          </w:p>
        </w:tc>
        <w:tc>
          <w:tcPr>
            <w:tcW w:type="dxa" w:w="1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13,648</w:t>
            </w:r>
          </w:p>
        </w:tc>
        <w:tc>
          <w:tcPr>
            <w:tcW w:type="dxa" w:w="13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127,156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55%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trader-1</w:t>
            </w:r>
          </w:p>
        </w:tc>
        <w:tc>
          <w:tcPr>
            <w:tcW w:type="dxa" w:w="174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922,886</w:t>
            </w:r>
          </w:p>
        </w:tc>
        <w:tc>
          <w:tcPr>
            <w:tcW w:type="dxa" w:w="1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218,409</w:t>
            </w:r>
          </w:p>
        </w:tc>
        <w:tc>
          <w:tcPr>
            <w:tcW w:type="dxa" w:w="13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94,371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49%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trader-4</w:t>
            </w:r>
          </w:p>
        </w:tc>
        <w:tc>
          <w:tcPr>
            <w:tcW w:type="dxa" w:w="174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734</w:t>
            </w:r>
          </w:p>
        </w:tc>
        <w:tc>
          <w:tcPr>
            <w:tcW w:type="dxa" w:w="1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136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32%</w:t>
            </w:r>
          </w:p>
        </w:tc>
      </w:tr>
    </w:tbl>
    <w:p>
      <w:pPr>
        <w:spacing w:after="120" w:before="0"/>
      </w:pPr>
      <w:r>
        <w:rPr>
          <w:i/>
          <w:iCs/>
          <w:color w:val="5B6672"/>
          <w:sz w:val="17"/>
          <w:szCs w:val="17"/>
        </w:rPr>
        <w:t xml:space="preserve">*Rivals' fill rate is the leaderboard's fills/txCount; ours is our own de-duplicated execution logs. The leaderboard reads 104% for us because one transaction can match several resting orders — inflated, not a true success rate.</w:t>
      </w:r>
    </w:p>
    <w:p>
      <w:pPr>
        <w:spacing w:after="120" w:before="0"/>
      </w:pPr>
      <w:r>
        <w:t xml:space="preserve">Efficiency read: trader-3 sent 4× our transaction count (127k vs 31k) to finish below us; trader-1 sent 3×. We converted nearly every order we placed — that is why our capital lasted.</w:t>
      </w:r>
    </w:p>
    <w:p>
      <w:pPr>
        <w:pStyle w:val="Heading1"/>
      </w:pPr>
      <w:r>
        <w:t xml:space="preserve">Volume Progression</w:t>
      </w:r>
    </w:p>
    <w:p>
      <w:pPr>
        <w:spacing w:after="60" w:before="0"/>
      </w:pPr>
      <w:r>
        <w:t xml:space="preserve">Cumulative raw volume across the round. We crossed 1,000,000, briefly held #1, then the final burst stalled short of the 1.1M target when the book went thin.</w:t>
      </w:r>
    </w:p>
    <w:p>
      <w:pPr>
        <w:spacing w:after="60" w:before="60"/>
        <w:jc w:val="center"/>
      </w:pPr>
      <w:r>
        <w:drawing>
          <wp:inline distT="0" distB="0" distL="0" distR="0">
            <wp:extent cx="5905500" cy="3257550"/>
            <wp:effectExtent t="0" r="0" b="0" l="0"/>
            <wp:docPr id="1" name="chart" descr="R3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Cost &amp; Fill Efficiency</w:t>
      </w:r>
    </w:p>
    <w:p>
      <w:pPr>
        <w:spacing w:after="60" w:before="0"/>
      </w:pPr>
      <w:r>
        <w:t xml:space="preserve">Our toll held at ~$0.113 per 1,000 of volume — essentially the WETH spread floor (~0.02%), occasionally negative in choppy two-way flow. Fill efficiency ~98%: every order we placed filled, most against multiple counterparties.</w:t>
      </w:r>
    </w:p>
    <w:p>
      <w:pPr>
        <w:spacing w:after="60" w:before="60"/>
        <w:jc w:val="center"/>
      </w:pPr>
      <w:r>
        <w:drawing>
          <wp:inline distT="0" distB="0" distL="0" distR="0">
            <wp:extent cx="5905500" cy="3257550"/>
            <wp:effectExtent t="0" r="0" b="0" l="0"/>
            <wp:docPr id="1" name="chart" descr="R3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Capital Drawdown</w:t>
      </w:r>
    </w:p>
    <w:p>
      <w:pPr>
        <w:spacing w:after="60" w:before="0"/>
      </w:pPr>
      <w:r>
        <w:t xml:space="preserve">All capital was team-provided test funds, so the ~$122 toll is the cost of generating volume, not a loss. We liquidated all inventory to USDso at the end (scoring rewards free USDso; held inventory drags the multiplier).</w:t>
      </w:r>
    </w:p>
    <w:p>
      <w:pPr>
        <w:spacing w:after="60" w:before="60"/>
        <w:jc w:val="center"/>
      </w:pPr>
      <w:r>
        <w:drawing>
          <wp:inline distT="0" distB="0" distL="0" distR="0">
            <wp:extent cx="5905500" cy="3257550"/>
            <wp:effectExtent t="0" r="0" b="0" l="0"/>
            <wp:docPr id="1" name="chart" descr="R3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</w:t>
            </w:r>
          </w:p>
        </w:tc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USDso</w:t>
            </w:r>
          </w:p>
        </w:tc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SOMI (gas)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Start (team test capital)</w:t>
            </w:r>
          </w:p>
        </w:tc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150.00</w:t>
            </w:r>
          </w:p>
        </w:tc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50.0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Gas top-ups (2× buys)</w:t>
            </w:r>
          </w:p>
        </w:tc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−~2.2</w:t>
            </w:r>
          </w:p>
        </w:tc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+20.0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Sent to personal wallet</w:t>
            </w:r>
          </w:p>
        </w:tc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−5.0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 (liquidated to USDso)</w:t>
            </w:r>
          </w:p>
        </w:tc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27.69</w:t>
            </w:r>
          </w:p>
        </w:tc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0.60</w:t>
            </w:r>
          </w:p>
        </w:tc>
      </w:tr>
    </w:tbl>
    <w:p>
      <w:pPr>
        <w:pStyle w:val="Heading1"/>
        <w:pageBreakBefore/>
      </w:pPr>
      <w:r>
        <w:t xml:space="preserve">Engines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16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Engine</w:t>
            </w:r>
          </w:p>
        </w:tc>
        <w:tc>
          <w:tcPr>
            <w:tcW w:type="dxa" w:w="4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volume_climb.py (API)</w:t>
            </w:r>
          </w:p>
        </w:tc>
        <w:tc>
          <w:tcPr>
            <w:tcW w:type="dxa" w:w="4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Workhorse for most of the round</w:t>
            </w:r>
          </w:p>
        </w:tc>
        <w:tc>
          <w:tcPr>
            <w:tcW w:type="dxa" w:w="20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~30s / round-trip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direct_burst.py (contract)</w:t>
            </w:r>
          </w:p>
        </w:tc>
        <w:tc>
          <w:tcPr>
            <w:tcW w:type="dxa" w:w="4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Final-day speed push</w:t>
            </w:r>
          </w:p>
        </w:tc>
        <w:tc>
          <w:tcPr>
            <w:tcW w:type="dxa" w:w="208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~15s (~2×)</w:t>
            </w:r>
          </w:p>
        </w:tc>
      </w:tr>
    </w:tbl>
    <w:p>
      <w:pPr>
        <w:spacing w:after="120" w:before="80"/>
      </w:pPr>
      <w:r>
        <w:t xml:space="preserve">Both run WETH:USDso taker round-trips (buy at ask, sell at bid), ending flat. The direct engine bypasses the REST /orders round-trip by calling placeOrder (0x4e978373) on the pool directly — a discovery that doubled throughput but landed too late in the round to fully exploit.</w:t>
      </w:r>
    </w:p>
    <w:p>
      <w:pPr>
        <w:pStyle w:val="Heading1"/>
      </w:pPr>
      <w:r>
        <w:t xml:space="preserve">Issues Observed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RPC node flakiness — the single Somnia infra endpoint failed repeatedly under load, tripping our safety breaker. We added multi-endpoint failover (publicnode, Ankr).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DNS blips — the container occasionally couldn’t resolve any host for a few seconds; endpoint failover can’t help when name resolution itself is down.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Order-book dislocations — WETH spread intermittently blew out from ~0.02% to 1–4%, during which IOC orders stopped crossing. This stalled volume for the whole field and cost us pace in the final hours.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Silent rejects — orders that mine with status=1 but move no balance (placed, not matched). Required verifying fills by on-chain balance delta, not receipt status.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Ask-pull on thin books — a limit +1 tick above best ask often failed to cross (likely JIT/MEV pulling the ask); ~+5 ticks / +0.4% was needed to fill.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Leaderboard usdsoBalance is a stale snapshot — it under-reported our real capital by up to 3× at one point; balances had to be read on-chain to be trusted.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Fill count can exceed transaction count (multi-match per tx), so the headline fill rate reads &gt;100% and isn’t a true success rate.</w:t>
      </w:r>
    </w:p>
    <w:p>
      <w:pPr>
        <w:pStyle w:val="Heading1"/>
      </w:pPr>
      <w:r>
        <w:t xml:space="preserve">Feedback (Platform / Dev)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RPC reliability is the single biggest operational pain — a more robust or officially load-balanced endpoint would materially help every trader.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Clarify the scoring metric per phase. Raw-vs-effective (PnL-weighted) ambiguity in week 2 affected strategy; the leaderboard exposes both, which is confusing.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Document the direct-contract path. placeOrder (0x4e978373, wallet-funded) is the real integration point; the REST /orders round-trip is a latency tax. A published ABI + example would let integrators skip it cleanly.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fills metric is misleading (&gt;100%). Reporting a distinct order-fill rate and/or gas-per-volume would better reflect real efficiency.</w:t>
      </w:r>
    </w:p>
    <w:p>
      <w:pPr>
        <w:pStyle w:val="Heading1"/>
      </w:pPr>
      <w:r>
        <w:t xml:space="preserve">Lessons Carried Forward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Trust on-chain reads from our own wallet, never the leaderboard snapshot or a one-off script (a stale RPC replica nearly caused a bad call mid-race).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Leg size must shrink as free capital shrinks, or buys pre-revert.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speed lever is the API round-trip, not our own delays — direct placeOrder is the ~2× unlock, now hardened for next round.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Never swap the order path live under time pressure without an encoding self-check and a bag-proof loop (we left a small bag once doing exactly that).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End every round flat, in USDso.</w:t>
      </w:r>
    </w:p>
    <w:p>
      <w:pPr>
        <w:spacing w:after="120" w:before="160"/>
      </w:pPr>
      <w:r>
        <w:rPr>
          <w:i/>
          <w:iCs/>
          <w:color w:val="5B6672"/>
          <w:sz w:val="17"/>
          <w:szCs w:val="17"/>
        </w:rPr>
        <w:t xml:space="preserve">Engines (volume_climb.py, direct_burst.py) and the full technical runbook are committed on branch feature/profit-maker-agent; detailed findings in context/research/dreamdex-r3-findings.md.</w:t>
      </w:r>
    </w:p>
    <w:sectPr>
      <w:footerReference w:type="default" r:id="rId7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4A0"/>
        <w:sz w:val="16"/>
        <w:szCs w:val="16"/>
      </w:rPr>
      <w:t xml:space="preserve">DreamDEX Round 3 — Transaction &amp; Performance Report      </w:t>
    </w:r>
    <w:r>
      <w:rPr>
        <w:color w:val="8894A0"/>
        <w:sz w:val="16"/>
        <w:szCs w:val="16"/>
      </w:rPr>
      <w:t xml:space="preserve">Page </w:t>
    </w:r>
    <w:r>
      <w:rPr>
        <w:color w:val="8894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4fda33431ef28620876255f5287b5bd8b3f58e0.png"/><Relationship Id="rId9" Type="http://schemas.openxmlformats.org/officeDocument/2006/relationships/image" Target="media/e31d02c00747625a00960ac1863e2e1b735312f4.png"/><Relationship Id="rId10" Type="http://schemas.openxmlformats.org/officeDocument/2006/relationships/image" Target="media/b501141e5b9a505de995610a4bb8aac8eb7cef5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DreamDEX Round 3 Report</dc:title>
  <dc:creator>DreamDEX Agent</dc:creator>
  <cp:lastModifiedBy>Un-named</cp:lastModifiedBy>
  <cp:revision>1</cp:revision>
  <dcterms:created xsi:type="dcterms:W3CDTF">2026-07-07T17:26:48.952Z</dcterms:created>
  <dcterms:modified xsi:type="dcterms:W3CDTF">2026-07-07T17:26:48.953Z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