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3457C5"/>
          <w:spacing w:val="34"/>
          <w:sz w:val="16"/>
          <w:szCs w:val="16"/>
        </w:rPr>
        <w:t xml:space="preserve">DREAMDEX · SOMNIA MAINNET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41824"/>
          <w:sz w:val="44"/>
          <w:szCs w:val="44"/>
        </w:rPr>
        <w:t xml:space="preserve">Round 4 — Builder Feedback</w:t>
      </w:r>
    </w:p>
    <w:p>
      <w:pPr>
        <w:pBdr>
          <w:bottom w:val="single" w:color="3457C5" w:sz="12" w:space="10"/>
        </w:pBdr>
        <w:spacing w:after="120"/>
      </w:pPr>
      <w:r>
        <w:rPr>
          <w:rFonts w:ascii="Arial" w:cs="Arial" w:eastAsia="Arial" w:hAnsi="Arial"/>
          <w:color w:val="5A6072"/>
          <w:sz w:val="20"/>
          <w:szCs w:val="20"/>
        </w:rPr>
        <w:t xml:space="preserve">Feedback on the DreamDEX protocol — mechanics, execution, and docs — from building and running an autonomous trading agent through the Round 4 volume contest.</w:t>
      </w:r>
    </w:p>
    <w:p>
      <w:pPr>
        <w:spacing w:after="14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5EE" w:sz="4"/>
              <w:left w:val="single" w:color="E2E5EE" w:sz="4"/>
              <w:bottom w:val="single" w:color="E2E5EE" w:sz="4"/>
              <w:right w:val="single" w:color="E2E5EE" w:sz="4"/>
            </w:tcBorders>
            <w:shd w:fill="FAFBFE" w:val="clear"/>
            <w:tcMar>
              <w:top w:type="dxa" w:w="150"/>
              <w:left w:type="dxa" w:w="120"/>
              <w:bottom w:type="dxa" w:w="150"/>
              <w:right w:type="dxa" w:w="12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3457C5"/>
                <w:sz w:val="32"/>
                <w:szCs w:val="32"/>
              </w:rPr>
              <w:t xml:space="preserve">1,501,818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A6072"/>
                <w:spacing w:val="8"/>
                <w:sz w:val="15"/>
                <w:szCs w:val="15"/>
              </w:rPr>
              <w:t xml:space="preserve">USDSO VOLUME</w:t>
            </w:r>
          </w:p>
        </w:tc>
        <w:tc>
          <w:tcPr>
            <w:tcW w:type="dxa" w:w="3120"/>
            <w:tcBorders>
              <w:top w:val="single" w:color="E2E5EE" w:sz="4"/>
              <w:left w:val="single" w:color="E2E5EE" w:sz="4"/>
              <w:bottom w:val="single" w:color="E2E5EE" w:sz="4"/>
              <w:right w:val="single" w:color="E2E5EE" w:sz="4"/>
            </w:tcBorders>
            <w:shd w:fill="FAFBFE" w:val="clear"/>
            <w:tcMar>
              <w:top w:type="dxa" w:w="150"/>
              <w:left w:type="dxa" w:w="120"/>
              <w:bottom w:type="dxa" w:w="150"/>
              <w:right w:type="dxa" w:w="12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3457C5"/>
                <w:sz w:val="32"/>
                <w:szCs w:val="32"/>
              </w:rPr>
              <w:t xml:space="preserve">~$130k/hr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A6072"/>
                <w:spacing w:val="8"/>
                <w:sz w:val="15"/>
                <w:szCs w:val="15"/>
              </w:rPr>
              <w:t xml:space="preserve">PEAK THROUGHPUT</w:t>
            </w:r>
          </w:p>
        </w:tc>
        <w:tc>
          <w:tcPr>
            <w:tcW w:type="dxa" w:w="3120"/>
            <w:tcBorders>
              <w:top w:val="single" w:color="E2E5EE" w:sz="4"/>
              <w:left w:val="single" w:color="E2E5EE" w:sz="4"/>
              <w:bottom w:val="single" w:color="E2E5EE" w:sz="4"/>
              <w:right w:val="single" w:color="E2E5EE" w:sz="4"/>
            </w:tcBorders>
            <w:shd w:fill="FAFBFE" w:val="clear"/>
            <w:tcMar>
              <w:top w:type="dxa" w:w="150"/>
              <w:left w:type="dxa" w:w="120"/>
              <w:bottom w:type="dxa" w:w="150"/>
              <w:right w:type="dxa" w:w="12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3457C5"/>
                <w:sz w:val="32"/>
                <w:szCs w:val="32"/>
              </w:rPr>
              <w:t xml:space="preserve">~3×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A6072"/>
                <w:spacing w:val="8"/>
                <w:sz w:val="15"/>
                <w:szCs w:val="15"/>
              </w:rPr>
              <w:t xml:space="preserve">GAS EFFICIENCY VS 2-TX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Arial" w:cs="Arial" w:eastAsia="Arial" w:hAnsi="Arial"/>
        </w:rPr>
        <w:t xml:space="preserve">The round in one paragraph</w:t>
      </w:r>
    </w:p>
    <w:p>
      <w:r>
        <w:rPr>
          <w:rFonts w:ascii="Arial" w:cs="Arial" w:eastAsia="Arial" w:hAnsi="Arial"/>
        </w:rPr>
        <w:t xml:space="preserve">Reached </w:t>
      </w:r>
      <w:r>
        <w:rPr>
          <w:rFonts w:ascii="Arial" w:cs="Arial" w:eastAsia="Arial" w:hAnsi="Arial"/>
          <w:b/>
          <w:bCs/>
        </w:rPr>
        <w:t xml:space="preserve">1,501,818 USDso</w:t>
      </w:r>
      <w:r>
        <w:rPr>
          <w:rFonts w:ascii="Arial" w:cs="Arial" w:eastAsia="Arial" w:hAnsi="Arial"/>
        </w:rPr>
        <w:t xml:space="preserve"> of volume. The engineering focus was an </w:t>
      </w:r>
      <w:r>
        <w:rPr>
          <w:rFonts w:ascii="Arial" w:cs="Arial" w:eastAsia="Arial" w:hAnsi="Arial"/>
          <w:b/>
          <w:bCs/>
        </w:rPr>
        <w:t xml:space="preserve">atomic (EIP-7702) taker</w:t>
      </w:r>
      <w:r>
        <w:rPr>
          <w:rFonts w:ascii="Arial" w:cs="Arial" w:eastAsia="Arial" w:hAnsi="Arial"/>
        </w:rPr>
        <w:t xml:space="preserve"> that places a buy and a sell in a single transaction, plus </w:t>
      </w:r>
      <w:r>
        <w:rPr>
          <w:rFonts w:ascii="Arial" w:cs="Arial" w:eastAsia="Arial" w:hAnsi="Arial"/>
          <w:b/>
          <w:bCs/>
        </w:rPr>
        <w:t xml:space="preserve">depth-aware leg sizing</w:t>
      </w:r>
      <w:r>
        <w:rPr>
          <w:rFonts w:ascii="Arial" w:cs="Arial" w:eastAsia="Arial" w:hAnsi="Arial"/>
        </w:rPr>
        <w:t xml:space="preserve"> that fits each round-trip to the top-of-book depth. With zero protocol fees, the only costs are the </w:t>
      </w:r>
      <w:r>
        <w:rPr>
          <w:rFonts w:ascii="Arial" w:cs="Arial" w:eastAsia="Arial" w:hAnsi="Arial"/>
          <w:b/>
          <w:bCs/>
        </w:rPr>
        <w:t xml:space="preserve">spread crossed</w:t>
      </w:r>
      <w:r>
        <w:rPr>
          <w:rFonts w:ascii="Arial" w:cs="Arial" w:eastAsia="Arial" w:hAnsi="Arial"/>
        </w:rPr>
        <w:t xml:space="preserve"> (the toll) and </w:t>
      </w:r>
      <w:r>
        <w:rPr>
          <w:rFonts w:ascii="Arial" w:cs="Arial" w:eastAsia="Arial" w:hAnsi="Arial"/>
          <w:b/>
          <w:bCs/>
        </w:rPr>
        <w:t xml:space="preserve">gas</w:t>
      </w:r>
      <w:r>
        <w:rPr>
          <w:rFonts w:ascii="Arial" w:cs="Arial" w:eastAsia="Arial" w:hAnsi="Arial"/>
        </w:rPr>
        <w:t xml:space="preserve"> — the toll is ~fixed per $1k of volume, gas is ~fixed per transaction. So the efficient move is fewer, larger transactions on the deepest book. On a deep book the atomic engine sustained </w:t>
      </w:r>
      <w:r>
        <w:rPr>
          <w:rFonts w:ascii="Arial" w:cs="Arial" w:eastAsia="Arial" w:hAnsi="Arial"/>
          <w:b/>
          <w:bCs/>
        </w:rPr>
        <w:t xml:space="preserve">~$130k/hr</w:t>
      </w:r>
      <w:r>
        <w:rPr>
          <w:rFonts w:ascii="Arial" w:cs="Arial" w:eastAsia="Arial" w:hAnsi="Arial"/>
        </w:rPr>
        <w:t xml:space="preserve"> at close to the spread floor.</w:t>
      </w:r>
    </w:p>
    <w:p>
      <w:pPr>
        <w:pStyle w:val="Heading1"/>
      </w:pPr>
      <w:r>
        <w:rPr>
          <w:rFonts w:ascii="Arial" w:cs="Arial" w:eastAsia="Arial" w:hAnsi="Arial"/>
        </w:rPr>
        <w:t xml:space="preserve">What worked well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rFonts w:ascii="Arial" w:cs="Arial" w:eastAsia="Arial" w:hAnsi="Arial"/>
          <w:b/>
          <w:bCs/>
          <w:color w:val="1A8A4F"/>
        </w:rPr>
        <w:t xml:space="preserve">EIP-7702 atomic execution</w:t>
      </w:r>
      <w:r>
        <w:rPr>
          <w:rFonts w:ascii="Arial" w:cs="Arial" w:eastAsia="Arial" w:hAnsi="Arial"/>
        </w:rPr>
        <w:t xml:space="preserve"> is the standout. Bundling buy+sell into one transaction removed leftover-inventory risk entirely and roughly </w:t>
      </w:r>
      <w:r>
        <w:rPr>
          <w:rFonts w:ascii="Arial" w:cs="Arial" w:eastAsia="Arial" w:hAnsi="Arial"/>
          <w:b/>
          <w:bCs/>
        </w:rPr>
        <w:t xml:space="preserve">tripled gas efficiency</w:t>
      </w:r>
      <w:r>
        <w:rPr>
          <w:rFonts w:ascii="Arial" w:cs="Arial" w:eastAsia="Arial" w:hAnsi="Arial"/>
        </w:rPr>
        <w:t xml:space="preserve"> versus two separate transactions — a great primitive on an L1 CLOB, making round-trip strategies both cheaper and safer.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rFonts w:ascii="Arial" w:cs="Arial" w:eastAsia="Arial" w:hAnsi="Arial"/>
          <w:b/>
          <w:bCs/>
          <w:color w:val="1A8A4F"/>
        </w:rPr>
        <w:t xml:space="preserve">Zero protocol fees</w:t>
      </w:r>
      <w:r>
        <w:rPr>
          <w:rFonts w:ascii="Arial" w:cs="Arial" w:eastAsia="Arial" w:hAnsi="Arial"/>
        </w:rPr>
        <w:t xml:space="preserve"> make the cost model clean: spread plus gas, nothing hidden. It rewards good execution rather than fee arbitrage.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rFonts w:ascii="Arial" w:cs="Arial" w:eastAsia="Arial" w:hAnsi="Arial"/>
          <w:b/>
          <w:bCs/>
          <w:color w:val="1A8A4F"/>
        </w:rPr>
        <w:t xml:space="preserve">Deep books absorbed large legs</w:t>
      </w:r>
      <w:r>
        <w:rPr>
          <w:rFonts w:ascii="Arial" w:cs="Arial" w:eastAsia="Arial" w:hAnsi="Arial"/>
        </w:rPr>
        <w:t xml:space="preserve"> with negligible price impact — $198 legs on the deep pair moved at ~the quoted spread.</w:t>
      </w:r>
    </w:p>
    <w:p>
      <w:pPr>
        <w:pStyle w:val="Heading1"/>
      </w:pPr>
      <w:r>
        <w:rPr>
          <w:rFonts w:ascii="Arial" w:cs="Arial" w:eastAsia="Arial" w:hAnsi="Arial"/>
        </w:rPr>
        <w:t xml:space="preserve">Protocol notes &amp; suggestions</w:t>
      </w:r>
    </w:p>
    <w:p>
      <w:pPr>
        <w:pStyle w:val="Heading2"/>
      </w:pPr>
      <w:r>
        <w:rPr>
          <w:rFonts w:ascii="Arial" w:cs="Arial" w:eastAsia="Arial" w:hAnsi="Arial"/>
        </w:rPr>
        <w:t xml:space="preserve">1. Collateral is reserved at the limit price, not mid</w:t>
      </w:r>
    </w:p>
    <w:p>
      <w:r>
        <w:rPr>
          <w:rFonts w:ascii="Arial" w:cs="Arial" w:eastAsia="Arial" w:hAnsi="Arial"/>
        </w:rPr>
        <w:t xml:space="preserve">A buy reserves collateral sized at the </w:t>
      </w:r>
      <w:r>
        <w:rPr>
          <w:rFonts w:ascii="Arial" w:cs="Arial" w:eastAsia="Arial" w:hAnsi="Arial"/>
          <w:b/>
          <w:bCs/>
        </w:rPr>
        <w:t xml:space="preserve">limit</w:t>
      </w:r>
      <w:r>
        <w:rPr>
          <w:rFonts w:ascii="Arial" w:cs="Arial" w:eastAsia="Arial" w:hAnsi="Arial"/>
        </w:rPr>
        <w:t xml:space="preserve"> price (above mid by the slip), so a leg whose notional equals the free balance pre-reverts on the very first order. We cap legs at ~0.95× free balance to avoid it. Defensible behavior, but not obvious from the docs — a one-line note (“orders reserve collateral at the limit price, not mid”) would save integrators a debugging session.</w:t>
      </w:r>
    </w:p>
    <w:p>
      <w:pPr>
        <w:pStyle w:val="Heading2"/>
      </w:pPr>
      <w:r>
        <w:rPr>
          <w:rFonts w:ascii="Arial" w:cs="Arial" w:eastAsia="Arial" w:hAnsi="Arial"/>
        </w:rPr>
        <w:t xml:space="preserve">2. Per-pair book depth varies wildly</w:t>
      </w:r>
    </w:p>
    <w:p>
      <w:r>
        <w:rPr>
          <w:rFonts w:ascii="Arial" w:cs="Arial" w:eastAsia="Arial" w:hAnsi="Arial"/>
        </w:rPr>
        <w:t xml:space="preserve">Top-of-book depth on one pair was ~$8k while another pair’s bid side was ~$100 at the same instant. Depth-aware sizing handles this, but a naive fixed-leg taker will silently walk the thin book and pay far more than the quoted spread. Not a bug — just worth surfacing that per-pair depth is highly uneven, so integrators size to the touch rather than to a fixed notional.</w:t>
      </w:r>
    </w:p>
    <w:p>
      <w:pPr>
        <w:pStyle w:val="Heading2"/>
      </w:pPr>
      <w:r>
        <w:rPr>
          <w:rFonts w:ascii="Arial" w:cs="Arial" w:eastAsia="Arial" w:hAnsi="Arial"/>
        </w:rPr>
        <w:t xml:space="preserve">3. Endpoint availability</w:t>
      </w:r>
    </w:p>
    <w:p>
      <w:r>
        <w:rPr>
          <w:rFonts w:ascii="Arial" w:cs="Arial" w:eastAsia="Arial" w:hAnsi="Arial"/>
        </w:rPr>
        <w:t xml:space="preserve">During the round, every public Somnia RPC endpoint we use went unreachable at the same time for a stretch (our failover cycled through all of them and exhausted). Our engine handled it — it self-stops cleanly and flattens — but a synchronized outage is a real availability risk for anything automated against the exchange. Documented rate limits and at least one more independent endpoint would reduce the blast radius.</w:t>
      </w:r>
    </w:p>
    <w:p>
      <w:pPr>
        <w:pStyle w:val="Heading1"/>
      </w:pPr>
      <w:r>
        <w:rPr>
          <w:rFonts w:ascii="Arial" w:cs="Arial" w:eastAsia="Arial" w:hAnsi="Arial"/>
        </w:rPr>
        <w:t xml:space="preserve">Carry-over from Round 1 findings</w:t>
      </w:r>
    </w:p>
    <w:p>
      <w:r>
        <w:rPr>
          <w:rFonts w:ascii="Arial" w:cs="Arial" w:eastAsia="Arial" w:hAnsi="Arial"/>
        </w:rPr>
        <w:t xml:space="preserve">The protocol findings filed in Round 1 (</w:t>
      </w:r>
      <w:r>
        <w:rPr>
          <w:rFonts w:ascii="Consolas" w:cs="Consolas" w:eastAsia="Consolas" w:hAnsi="Consolas"/>
          <w:color w:val="8A2B5E"/>
          <w:sz w:val="19"/>
          <w:szCs w:val="19"/>
        </w:rPr>
        <w:t xml:space="preserve">reports/FINDINGS.md</w:t>
      </w:r>
      <w:r>
        <w:rPr>
          <w:rFonts w:ascii="Arial" w:cs="Arial" w:eastAsia="Arial" w:hAnsi="Arial"/>
        </w:rPr>
        <w:t xml:space="preserve">) still make useful regression targets — a few were confirmed and fixed by the team. The pre-trade </w:t>
      </w:r>
      <w:r>
        <w:rPr>
          <w:rFonts w:ascii="Consolas" w:cs="Consolas" w:eastAsia="Consolas" w:hAnsi="Consolas"/>
          <w:color w:val="8A2B5E"/>
          <w:sz w:val="19"/>
          <w:szCs w:val="19"/>
        </w:rPr>
        <w:t xml:space="preserve">eth_call</w:t>
      </w:r>
      <w:r>
        <w:rPr>
          <w:rFonts w:ascii="Arial" w:cs="Arial" w:eastAsia="Arial" w:hAnsi="Arial"/>
        </w:rPr>
        <w:t xml:space="preserve"> false-negative rate and the </w:t>
      </w:r>
      <w:r>
        <w:rPr>
          <w:rFonts w:ascii="Consolas" w:cs="Consolas" w:eastAsia="Consolas" w:hAnsi="Consolas"/>
          <w:color w:val="8A2B5E"/>
          <w:sz w:val="19"/>
          <w:szCs w:val="19"/>
        </w:rPr>
        <w:t xml:space="preserve">OrderPlaced filled=0</w:t>
      </w:r>
      <w:r>
        <w:rPr>
          <w:rFonts w:ascii="Arial" w:cs="Arial" w:eastAsia="Arial" w:hAnsi="Arial"/>
        </w:rPr>
        <w:t xml:space="preserve"> event semantics are the two most worth double-checking still hold after recent changes.</w:t>
      </w:r>
    </w:p>
    <w:sectPr>
      <w:footerReference w:type="default" r:id="rId7"/>
      <w:pgSz w:w="12240" w:h="15840" w:orient="portrait"/>
      <w:pgMar w:top="1300" w:right="1400" w:bottom="12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5EE" w:sz="4" w:space="8"/>
      </w:pBdr>
      <w:jc w:val="center"/>
    </w:pPr>
    <w:r>
      <w:rPr>
        <w:rFonts w:ascii="Arial" w:cs="Arial" w:eastAsia="Arial" w:hAnsi="Arial"/>
        <w:color w:val="5A6072"/>
        <w:sz w:val="15"/>
        <w:szCs w:val="15"/>
      </w:rPr>
      <w:t xml:space="preserve">DreamDEX Round 4 · Builder Feedback     page </w:t>
    </w:r>
    <w:r>
      <w:rPr>
        <w:color w:val="5A6072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43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2E5EE" w:sz="4" w:space="6"/>
      </w:pBdr>
      <w:spacing w:after="120" w:before="320"/>
      <w:outlineLvl w:val="0"/>
    </w:pPr>
    <w:rPr>
      <w:rFonts w:ascii="Arial" w:cs="Arial" w:eastAsia="Arial" w:hAnsi="Arial"/>
      <w:b/>
      <w:bCs/>
      <w:color w:val="14182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70" w:before="220"/>
      <w:outlineLvl w:val="1"/>
    </w:pPr>
    <w:rPr>
      <w:rFonts w:ascii="Arial" w:cs="Arial" w:eastAsia="Arial" w:hAnsi="Arial"/>
      <w:b/>
      <w:bCs/>
      <w:color w:val="3457C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2026-08-03T13:23:39.780Z</dcterms:created>
  <dcterms:modified xsi:type="dcterms:W3CDTF">2026-08-03T13:23:39.781Z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