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X8a601b0ee07c323e33c2c12653b806cb7217a85"/>
    <w:p>
      <w:pPr>
        <w:pStyle w:val="Heading1"/>
      </w:pPr>
      <w:r>
        <w:t xml:space="preserve">RAG and Agentic AI Canvases for ILCE and Your Framework</w:t>
      </w:r>
    </w:p>
    <w:bookmarkStart w:id="23" w:name="X4019243c3b3a8ebf223ce0b0ea3645b423b7cfe"/>
    <w:p>
      <w:pPr>
        <w:pStyle w:val="Heading2"/>
      </w:pPr>
      <w:r>
        <w:t xml:space="preserve">Retrieval-Augmented Generation explained in plain terms</w:t>
      </w:r>
    </w:p>
    <w:p>
      <w:pPr>
        <w:pStyle w:val="FirstParagraph"/>
      </w:pPr>
      <w:r>
        <w:rPr>
          <w:b/>
          <w:bCs/>
        </w:rPr>
        <w:t xml:space="preserve">Retrieval-Augmented Generation (RAG)</w:t>
      </w:r>
      <w:r>
        <w:t xml:space="preserve"> </w:t>
      </w:r>
      <w:r>
        <w:t xml:space="preserve">is a system design pattern that makes a generative model answer using</w:t>
      </w:r>
      <w:r>
        <w:t xml:space="preserve"> </w:t>
      </w:r>
      <w:r>
        <w:rPr>
          <w:b/>
          <w:bCs/>
        </w:rPr>
        <w:t xml:space="preserve">retrieved external information</w:t>
      </w:r>
      <w:r>
        <w:t xml:space="preserve"> </w:t>
      </w:r>
      <w:r>
        <w:t xml:space="preserve">in addition to its internal (trained) knowledge. In practice, this means you take “external data” (documents, databases, repositories, logs, APIs), retrieve the most relevant pieces at question-time, and</w:t>
      </w:r>
      <w:r>
        <w:t xml:space="preserve"> </w:t>
      </w:r>
      <w:r>
        <w:rPr>
          <w:b/>
          <w:bCs/>
        </w:rPr>
        <w:t xml:space="preserve">augment the model’s prompt</w:t>
      </w:r>
      <w:r>
        <w:t xml:space="preserve"> </w:t>
      </w:r>
      <w:r>
        <w:t xml:space="preserve">with those pieces so the model can produce a grounded response.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Your intuition (“collection of unstructured data across multi-modal sources”) is partially right: RAG often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from unstructured or semi-structured sources, and can span multiple repositories. But RAG is not the</w:t>
      </w:r>
      <w:r>
        <w:t xml:space="preserve"> </w:t>
      </w:r>
      <w:r>
        <w:rPr>
          <w:i/>
          <w:iCs/>
        </w:rPr>
        <w:t xml:space="preserve">collection itself</w:t>
      </w:r>
      <w:r>
        <w:t xml:space="preserve">; it is the</w:t>
      </w:r>
      <w:r>
        <w:t xml:space="preserve"> </w:t>
      </w:r>
      <w:r>
        <w:rPr>
          <w:b/>
          <w:bCs/>
        </w:rPr>
        <w:t xml:space="preserve">retrieval + grounded generation workflow</w:t>
      </w:r>
      <w:r>
        <w:t xml:space="preserve"> </w:t>
      </w:r>
      <w:r>
        <w:t xml:space="preserve">that sits on top of that collection.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A key way to think about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LLM-only</w:t>
      </w:r>
      <w:r>
        <w:t xml:space="preserve"> </w:t>
      </w:r>
      <w:r>
        <w:t xml:space="preserve">answers: “Generate from internal memory (weights).”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answers</w:t>
      </w:r>
      <w:r>
        <w:t xml:space="preserve">: “Retrieve evidence first, then generate using that evidence.”</w:t>
      </w:r>
    </w:p>
    <w:p>
      <w:pPr>
        <w:pStyle w:val="FirstParagraph"/>
      </w:pPr>
      <w:r>
        <w:t xml:space="preserve">The original RAG paper frames this as combining</w:t>
      </w:r>
      <w:r>
        <w:t xml:space="preserve"> </w:t>
      </w:r>
      <w:r>
        <w:rPr>
          <w:b/>
          <w:bCs/>
        </w:rPr>
        <w:t xml:space="preserve">parametric memory</w:t>
      </w:r>
      <w:r>
        <w:t xml:space="preserve"> </w:t>
      </w:r>
      <w:r>
        <w:t xml:space="preserve">(the model) with</w:t>
      </w:r>
      <w:r>
        <w:t xml:space="preserve"> </w:t>
      </w:r>
      <w:r>
        <w:rPr>
          <w:b/>
          <w:bCs/>
        </w:rPr>
        <w:t xml:space="preserve">non-parametric memory</w:t>
      </w:r>
      <w:r>
        <w:t xml:space="preserve"> </w:t>
      </w:r>
      <w:r>
        <w:t xml:space="preserve">(a retrievable index), accessed via a neural retriever.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bookmarkEnd w:id="23"/>
    <w:bookmarkStart w:id="31" w:name="rag-architecture-deep-dive"/>
    <w:p>
      <w:pPr>
        <w:pStyle w:val="Heading2"/>
      </w:pPr>
      <w:r>
        <w:t xml:space="preserve">RAG architecture deep dive</w:t>
      </w:r>
    </w:p>
    <w:p>
      <w:pPr>
        <w:pStyle w:val="FirstParagraph"/>
      </w:pPr>
      <w:r>
        <w:t xml:space="preserve">This section answers your core questions:</w:t>
      </w:r>
      <w:r>
        <w:t xml:space="preserve"> </w:t>
      </w:r>
      <w:r>
        <w:t xml:space="preserve">- What components are involved?</w:t>
      </w:r>
      <w:r>
        <w:t xml:space="preserve"> </w:t>
      </w:r>
      <w:r>
        <w:t xml:space="preserve">- How does it “learn” from unstructured data?</w:t>
      </w:r>
      <w:r>
        <w:t xml:space="preserve"> </w:t>
      </w:r>
      <w:r>
        <w:t xml:space="preserve">- How are decisions made?</w:t>
      </w:r>
      <w:r>
        <w:t xml:space="preserve"> </w:t>
      </w:r>
      <w:r>
        <w:t xml:space="preserve">- Are LLM</w:t>
      </w:r>
      <w:hyperlink r:id="rId24">
        <w:r>
          <w:rPr>
            <w:rStyle w:val="Hyperlink"/>
          </w:rPr>
          <w:t xml:space="preserve">[4]</w:t>
        </w:r>
      </w:hyperlink>
      <w:r>
        <w:t xml:space="preserve">s involved?</w:t>
      </w:r>
    </w:p>
    <w:bookmarkStart w:id="27" w:name="X248cdca6e823bec846a82b5307f15a2314f3ab6"/>
    <w:p>
      <w:pPr>
        <w:pStyle w:val="Heading3"/>
      </w:pPr>
      <w:r>
        <w:t xml:space="preserve">Core components in a production RAG system</w:t>
      </w:r>
    </w:p>
    <w:p>
      <w:pPr>
        <w:pStyle w:val="FirstParagraph"/>
      </w:pPr>
      <w:r>
        <w:t xml:space="preserve">A good reference point is Amazon Web Services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Prescriptive Guidance, which lists the practical building blocks required for production RAG: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Connectors</w:t>
      </w:r>
      <w:r>
        <w:t xml:space="preserve"> </w:t>
      </w:r>
      <w:r>
        <w:t xml:space="preserve">to data sources (structured and unstructured)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processing</w:t>
      </w:r>
      <w:r>
        <w:t xml:space="preserve"> </w:t>
      </w:r>
      <w:r>
        <w:t xml:space="preserve">(extract/clean/prepare content for indexing)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</w:t>
      </w:r>
      <w:r>
        <w:t xml:space="preserve"> </w:t>
      </w:r>
      <w:r>
        <w:t xml:space="preserve">(numeric representations for documents + queries)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database</w:t>
      </w:r>
      <w:r>
        <w:t xml:space="preserve"> </w:t>
      </w:r>
      <w:r>
        <w:t xml:space="preserve">(index of embeddings + text + metadata)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Retriever</w:t>
      </w:r>
      <w:r>
        <w:t xml:space="preserve"> </w:t>
      </w:r>
      <w:r>
        <w:t xml:space="preserve">(fetch + rank relevant context)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Foundation model</w:t>
      </w:r>
      <w:r>
        <w:t xml:space="preserve"> </w:t>
      </w:r>
      <w:r>
        <w:t xml:space="preserve">(typically an LLM) that generates the response from prompt + retrieved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Guardrails</w:t>
      </w:r>
      <w:r>
        <w:t xml:space="preserve"> </w:t>
      </w:r>
      <w:r>
        <w:t xml:space="preserve">(reduce hallucinations, ensure responsible output)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Orchestrator</w:t>
      </w:r>
      <w:r>
        <w:t xml:space="preserve"> </w:t>
      </w:r>
      <w:r>
        <w:t xml:space="preserve">(manages end-to-end workflow)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experience + identity/access control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Microsoft</w:t>
      </w:r>
      <w:hyperlink r:id="rId21">
        <w:r>
          <w:rPr>
            <w:rStyle w:val="Hyperlink"/>
          </w:rPr>
          <w:t xml:space="preserve">[7]</w:t>
        </w:r>
      </w:hyperlink>
      <w:r>
        <w:t xml:space="preserve">’s RAG documentation uses slightly different labels but matches the same idea:</w:t>
      </w:r>
      <w:r>
        <w:t xml:space="preserve"> </w:t>
      </w:r>
      <w:r>
        <w:rPr>
          <w:b/>
          <w:bCs/>
        </w:rPr>
        <w:t xml:space="preserve">grounding data</w:t>
      </w:r>
      <w:r>
        <w:t xml:space="preserve">,</w:t>
      </w:r>
      <w:r>
        <w:t xml:space="preserve"> </w:t>
      </w:r>
      <w:r>
        <w:rPr>
          <w:b/>
          <w:bCs/>
        </w:rPr>
        <w:t xml:space="preserve">index</w:t>
      </w:r>
      <w:r>
        <w:t xml:space="preserve">,</w:t>
      </w:r>
      <w:r>
        <w:t xml:space="preserve"> </w:t>
      </w:r>
      <w:r>
        <w:rPr>
          <w:b/>
          <w:bCs/>
        </w:rPr>
        <w:t xml:space="preserve">embeddings</w:t>
      </w:r>
      <w:r>
        <w:t xml:space="preserve">, and</w:t>
      </w:r>
      <w:r>
        <w:t xml:space="preserve"> </w:t>
      </w:r>
      <w:r>
        <w:rPr>
          <w:b/>
          <w:bCs/>
        </w:rPr>
        <w:t xml:space="preserve">system prompts</w:t>
      </w:r>
      <w:r>
        <w:t xml:space="preserve"> </w:t>
      </w:r>
      <w:r>
        <w:t xml:space="preserve">to guide how retrieved content is used.</w:t>
      </w:r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</w:p>
    <w:bookmarkEnd w:id="27"/>
    <w:bookmarkStart w:id="28" w:name="Xde7f9a495b37141eb6463fa694490821a50542b"/>
    <w:p>
      <w:pPr>
        <w:pStyle w:val="Heading3"/>
      </w:pPr>
      <w:r>
        <w:t xml:space="preserve">The two-phase pipeline: ingestion and inference</w:t>
      </w:r>
    </w:p>
    <w:p>
      <w:pPr>
        <w:pStyle w:val="FirstParagraph"/>
      </w:pPr>
      <w:r>
        <w:t xml:space="preserve">A practical way to “see” RAG is as two pipelines that meet at query time:</w:t>
      </w:r>
    </w:p>
    <w:p>
      <w:pPr>
        <w:pStyle w:val="BodyText"/>
      </w:pPr>
      <w:r>
        <w:rPr>
          <w:b/>
          <w:bCs/>
        </w:rPr>
        <w:t xml:space="preserve">Ingestion phase (build the retrievable memory)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Collect external data</w:t>
      </w:r>
      <w:r>
        <w:t xml:space="preserve"> </w:t>
      </w:r>
      <w:r>
        <w:t xml:space="preserve">(docs, tables, wiki pages, logs, etc.).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Process + chunk</w:t>
      </w:r>
      <w:r>
        <w:t xml:space="preserve"> </w:t>
      </w:r>
      <w:r>
        <w:t xml:space="preserve">it into retrievable units (paragraphs, sections, log windows, records).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Embed</w:t>
      </w:r>
      <w:r>
        <w:t xml:space="preserve"> </w:t>
      </w:r>
      <w:r>
        <w:t xml:space="preserve">each chunk (turn text/content into vectors) and store them.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4. Build 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(vector, keyword, semantic, or hybrid).</w:t>
      </w:r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Inference pipeline phase (answer a user question)</w:t>
      </w:r>
      <w:r>
        <w:t xml:space="preserve"> </w:t>
      </w:r>
      <w:r>
        <w:t xml:space="preserve">1. Convert the</w:t>
      </w:r>
      <w:r>
        <w:t xml:space="preserve"> </w:t>
      </w:r>
      <w:r>
        <w:rPr>
          <w:b/>
          <w:bCs/>
        </w:rPr>
        <w:t xml:space="preserve">user query</w:t>
      </w:r>
      <w:r>
        <w:t xml:space="preserve"> </w:t>
      </w:r>
      <w:r>
        <w:t xml:space="preserve">into a vector representation.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Retrieve</w:t>
      </w:r>
      <w:r>
        <w:t xml:space="preserve"> </w:t>
      </w:r>
      <w:r>
        <w:t xml:space="preserve">the top‑K most relevant chunks from the index using vector similarity/relevancy scoring.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Augment the prompt</w:t>
      </w:r>
      <w:r>
        <w:t xml:space="preserve"> </w:t>
      </w:r>
      <w:r>
        <w:t xml:space="preserve">by adding retrieved content as grounding context.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4. The</w:t>
      </w:r>
      <w:r>
        <w:t xml:space="preserve"> </w:t>
      </w:r>
      <w:r>
        <w:rPr>
          <w:b/>
          <w:bCs/>
        </w:rPr>
        <w:t xml:space="preserve">foundation model/LLM</w:t>
      </w:r>
      <w:r>
        <w:t xml:space="preserve"> </w:t>
      </w:r>
      <w:r>
        <w:t xml:space="preserve">generates the response conditioned on (question + retrieved evidence + instructions).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This “ingestion + inference” framing also appears in Microsoft</w:t>
      </w:r>
      <w:hyperlink r:id="rId21">
        <w:r>
          <w:rPr>
            <w:rStyle w:val="Hyperlink"/>
          </w:rPr>
          <w:t xml:space="preserve">[7]</w:t>
        </w:r>
      </w:hyperlink>
      <w:r>
        <w:t xml:space="preserve">’s “advanced RAG” guidance, which explicitly separates ingestion from the inference pipeline and emphasizes that real systems add preprocessing/postprocessing and evaluation.</w:t>
      </w:r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</w:p>
    <w:bookmarkEnd w:id="28"/>
    <w:bookmarkStart w:id="29" w:name="Xcd9f96da947cbe125f6cc8f94f752e986394d3c"/>
    <w:p>
      <w:pPr>
        <w:pStyle w:val="Heading3"/>
      </w:pPr>
      <w:r>
        <w:t xml:space="preserve">How does RAG “learn” from unstructured data?</w:t>
      </w:r>
    </w:p>
    <w:p>
      <w:pPr>
        <w:pStyle w:val="FirstParagraph"/>
      </w:pPr>
      <w:r>
        <w:t xml:space="preserve">This is the subtle part, and your question is exactly right.</w:t>
      </w:r>
    </w:p>
    <w:p>
      <w:pPr>
        <w:pStyle w:val="BodyText"/>
      </w:pPr>
      <w:r>
        <w:t xml:space="preserve">RAG can “learn” in two different senses:</w:t>
      </w:r>
    </w:p>
    <w:p>
      <w:pPr>
        <w:pStyle w:val="BodyText"/>
      </w:pPr>
      <w:r>
        <w:rPr>
          <w:b/>
          <w:bCs/>
        </w:rPr>
        <w:t xml:space="preserve">Sense A: No weight updates (most common in production)</w:t>
      </w:r>
      <w:r>
        <w:br/>
      </w:r>
      <w:r>
        <w:t xml:space="preserve">In the common enterprise RAG pattern, nothing about the LLM’s weights changes when you add new documents. Instead:</w:t>
      </w:r>
      <w:r>
        <w:t xml:space="preserve"> </w:t>
      </w:r>
      <w:r>
        <w:t xml:space="preserve">- You add</w:t>
      </w:r>
      <w:r>
        <w:t xml:space="preserve"> </w:t>
      </w:r>
      <w:r>
        <w:rPr>
          <w:b/>
          <w:bCs/>
        </w:rPr>
        <w:t xml:space="preserve">external data</w:t>
      </w:r>
      <w:r>
        <w:t xml:space="preserve">.</w:t>
      </w:r>
      <w:r>
        <w:t xml:space="preserve"> </w:t>
      </w:r>
      <w:r>
        <w:t xml:space="preserve">- You embed it and store it in an index (“knowledge library”).</w:t>
      </w:r>
      <w:r>
        <w:t xml:space="preserve"> </w:t>
      </w:r>
      <w:r>
        <w:t xml:space="preserve">- At question-time, retrieval brings the right evidence into context.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So the system “learns” operationally by</w:t>
      </w:r>
      <w:r>
        <w:t xml:space="preserve"> </w:t>
      </w:r>
      <w:r>
        <w:rPr>
          <w:b/>
          <w:bCs/>
        </w:rPr>
        <w:t xml:space="preserve">updating the retrievable memory</w:t>
      </w:r>
      <w:r>
        <w:t xml:space="preserve">, not by retraining the model.</w:t>
      </w:r>
    </w:p>
    <w:p>
      <w:pPr>
        <w:pStyle w:val="BodyText"/>
      </w:pPr>
      <w:r>
        <w:rPr>
          <w:b/>
          <w:bCs/>
        </w:rPr>
        <w:t xml:space="preserve">Sense B: Weight updates (possible, but optional)</w:t>
      </w:r>
      <w:r>
        <w:br/>
      </w:r>
      <w:r>
        <w:t xml:space="preserve">The original RAG research model treats RAG as a trainable architecture: it combines a pretrained generator with a dense vector index accessed by a neural retriever, and it can be fine-tuned on tasks.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In other words, 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train parts of (retriever + generator) to improve performance, but you don’t have to in order to get value.</w:t>
      </w:r>
    </w:p>
    <w:bookmarkEnd w:id="29"/>
    <w:bookmarkStart w:id="30" w:name="X2bbd300686670443fd0199a6263bb0549a48b18"/>
    <w:p>
      <w:pPr>
        <w:pStyle w:val="Heading3"/>
      </w:pPr>
      <w:r>
        <w:t xml:space="preserve">How are decisions made inside a RAG system?</w:t>
      </w:r>
    </w:p>
    <w:p>
      <w:pPr>
        <w:pStyle w:val="FirstParagraph"/>
      </w:pPr>
      <w:r>
        <w:t xml:space="preserve">There are three decision layers:</w:t>
      </w:r>
    </w:p>
    <w:p>
      <w:pPr>
        <w:pStyle w:val="BodyText"/>
      </w:pPr>
      <w:r>
        <w:rPr>
          <w:b/>
          <w:bCs/>
        </w:rPr>
        <w:t xml:space="preserve">Retrieval decisions</w:t>
      </w:r>
      <w:r>
        <w:t xml:space="preserve"> </w:t>
      </w:r>
      <w:r>
        <w:t xml:space="preserve">- What data is eligible to be retrieved?</w:t>
      </w:r>
      <w:r>
        <w:t xml:space="preserve"> </w:t>
      </w:r>
      <w:r>
        <w:t xml:space="preserve">- How are chunks defined and embedded?</w:t>
      </w:r>
      <w:r>
        <w:t xml:space="preserve"> </w:t>
      </w:r>
      <w:r>
        <w:t xml:space="preserve">- Which index type (vector vs hybrid)?</w:t>
      </w:r>
      <w:r>
        <w:t xml:space="preserve"> </w:t>
      </w:r>
      <w:r>
        <w:t xml:space="preserve">- Which K results are selected and in what order?</w:t>
      </w:r>
      <w:r>
        <w:br/>
      </w:r>
      <w:r>
        <w:t xml:space="preserve">In Amazon Web Services</w:t>
      </w:r>
      <w:hyperlink r:id="rId21">
        <w:r>
          <w:rPr>
            <w:rStyle w:val="Hyperlink"/>
          </w:rPr>
          <w:t xml:space="preserve">[5]</w:t>
        </w:r>
      </w:hyperlink>
      <w:r>
        <w:t xml:space="preserve">’s description, the retriever “fetches relevant context” and “ranks the responses based on business requirements.”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Prompting/grounding decisions</w:t>
      </w:r>
      <w:r>
        <w:t xml:space="preserve"> </w:t>
      </w:r>
      <w:r>
        <w:t xml:space="preserve">- How much retrieved context is included?</w:t>
      </w:r>
      <w:r>
        <w:t xml:space="preserve"> </w:t>
      </w:r>
      <w:r>
        <w:t xml:space="preserve">- What instructions constrain the model’s use of context?</w:t>
      </w:r>
      <w:r>
        <w:br/>
      </w:r>
      <w:r>
        <w:t xml:space="preserve">Microsoft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explicitly calls out “system message and prompts” as the control surface that guides how the model uses retrieved content.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Generation decisions</w:t>
      </w:r>
      <w:r>
        <w:t xml:space="preserve"> </w:t>
      </w:r>
      <w:r>
        <w:t xml:space="preserve">- The LLM generates tokens conditioned on prompt + evidence.</w:t>
      </w:r>
      <w:r>
        <w:t xml:space="preserve"> </w:t>
      </w:r>
      <w:r>
        <w:t xml:space="preserve">- In the original RAG formulation, there are two canonical styles:</w:t>
      </w:r>
      <w:r>
        <w:t xml:space="preserve"> </w:t>
      </w:r>
      <w:r>
        <w:t xml:space="preserve">- condition on the same retrieved passages across the whole generation, or</w:t>
      </w:r>
      <w:r>
        <w:t xml:space="preserve"> </w:t>
      </w:r>
      <w:r>
        <w:t xml:space="preserve">- allow different passages per token.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The key idea:</w:t>
      </w:r>
      <w:r>
        <w:t xml:space="preserve"> </w:t>
      </w:r>
      <w:r>
        <w:rPr>
          <w:b/>
          <w:bCs/>
        </w:rPr>
        <w:t xml:space="preserve">retrieval primarily decides what evidence is shown; generation decides how to use it.</w:t>
      </w:r>
    </w:p>
    <w:bookmarkEnd w:id="30"/>
    <w:bookmarkEnd w:id="31"/>
    <w:bookmarkStart w:id="34" w:name="what-rag-is-good-at-and-where-it-fails"/>
    <w:p>
      <w:pPr>
        <w:pStyle w:val="Heading2"/>
      </w:pPr>
      <w:r>
        <w:t xml:space="preserve">What RAG is good at and where it fails</w:t>
      </w:r>
    </w:p>
    <w:p>
      <w:pPr>
        <w:pStyle w:val="FirstParagraph"/>
      </w:pPr>
      <w:r>
        <w:t xml:space="preserve">Because you’re mapping this to ILCE, it matters to be brutally honest about RAG’s strengths and failure modes.</w:t>
      </w:r>
    </w:p>
    <w:bookmarkStart w:id="32" w:name="what-rag-is-excellent-for"/>
    <w:p>
      <w:pPr>
        <w:pStyle w:val="Heading3"/>
      </w:pPr>
      <w:r>
        <w:t xml:space="preserve">What RAG is excellent for</w:t>
      </w:r>
    </w:p>
    <w:p>
      <w:pPr>
        <w:pStyle w:val="FirstParagraph"/>
      </w:pPr>
      <w:r>
        <w:rPr>
          <w:b/>
          <w:bCs/>
        </w:rPr>
        <w:t xml:space="preserve">Fast knowledge refresh without retraining.</w:t>
      </w:r>
      <w:r>
        <w:br/>
      </w:r>
      <w:r>
        <w:t xml:space="preserve">You can update the external corpus (new docs, new runbooks, new log schemas) and the system answers with that updated information, because external data is retrieved at inference time.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Grounding answers in provided evidence (when retrieval is correct).</w:t>
      </w:r>
      <w:r>
        <w:br/>
      </w:r>
      <w:r>
        <w:t xml:space="preserve">The RAG prompt is explicitly augmented with retrieved context to improve the accuracy of the generated answer.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32"/>
    <w:bookmarkStart w:id="33" w:name="Xaafac244af7df5f936807ab5f226c96efea9085"/>
    <w:p>
      <w:pPr>
        <w:pStyle w:val="Heading3"/>
      </w:pPr>
      <w:r>
        <w:t xml:space="preserve">Failure modes that matter for diagnostic domains</w:t>
      </w:r>
    </w:p>
    <w:p>
      <w:pPr>
        <w:pStyle w:val="FirstParagraph"/>
      </w:pPr>
      <w:r>
        <w:rPr>
          <w:b/>
          <w:bCs/>
        </w:rPr>
        <w:t xml:space="preserve">Retrieval miss = wrong answer with confidence.</w:t>
      </w:r>
      <w:r>
        <w:br/>
      </w:r>
      <w:r>
        <w:t xml:space="preserve">If the right evidence doesn’t get retrieved (bad chunking, wrong embeddings, missing metadata), the LLM will still answer, but it will be answering from weaker context.</w:t>
      </w:r>
    </w:p>
    <w:p>
      <w:pPr>
        <w:pStyle w:val="BodyText"/>
      </w:pPr>
      <w:r>
        <w:rPr>
          <w:b/>
          <w:bCs/>
        </w:rPr>
        <w:t xml:space="preserve">Evidence conflict.</w:t>
      </w:r>
      <w:r>
        <w:br/>
      </w:r>
      <w:r>
        <w:t xml:space="preserve">If multiple retrieved chunks disagree (e.g., two versions of a config spec), the model can synthesize incorrectly unless your prompts/logic force source selection.</w:t>
      </w:r>
    </w:p>
    <w:p>
      <w:pPr>
        <w:pStyle w:val="BodyText"/>
      </w:pPr>
      <w:r>
        <w:rPr>
          <w:b/>
          <w:bCs/>
        </w:rPr>
        <w:t xml:space="preserve">Over-reliance on unstructured text for causality.</w:t>
      </w:r>
      <w:r>
        <w:br/>
      </w:r>
      <w:r>
        <w:t xml:space="preserve">RAG is not inherently a causal inference engine; it’s a grounding pattern. For incident root-cause ranking, you typically want deterministic signal extraction + correlation first, then use RAG/LLM for explanation and interactive investigation.</w:t>
      </w:r>
    </w:p>
    <w:p>
      <w:pPr>
        <w:pStyle w:val="BodyText"/>
      </w:pPr>
      <w:r>
        <w:t xml:space="preserve">This is why Amazon Web Services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includes “guardrails” and “orchestrator” as first-class production components—because a working RAG system is as much</w:t>
      </w:r>
      <w:r>
        <w:t xml:space="preserve"> </w:t>
      </w:r>
      <w:r>
        <w:rPr>
          <w:i/>
          <w:iCs/>
        </w:rPr>
        <w:t xml:space="preserve">systems engineering</w:t>
      </w:r>
      <w:r>
        <w:t xml:space="preserve"> </w:t>
      </w:r>
      <w:r>
        <w:t xml:space="preserve">as it is “LLM prompting.”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33"/>
    <w:bookmarkEnd w:id="34"/>
    <w:bookmarkStart w:id="42" w:name="X51069af030d75ac3ba801d227feb51c0de4cc02"/>
    <w:p>
      <w:pPr>
        <w:pStyle w:val="Heading2"/>
      </w:pPr>
      <w:r>
        <w:t xml:space="preserve">Agentic AI explained and grounded in the literature</w:t>
      </w:r>
    </w:p>
    <w:p>
      <w:pPr>
        <w:pStyle w:val="FirstParagraph"/>
      </w:pPr>
      <w:r>
        <w:t xml:space="preserve">“Agentic AI” has a lot of marketing noise around it, so here’s a research‑consistent definition that matches what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mean by “planner + behavior matrix + skills.”</w:t>
      </w:r>
    </w:p>
    <w:bookmarkStart w:id="36" w:name="what-an-agent-is-in-the-classic-sense"/>
    <w:p>
      <w:pPr>
        <w:pStyle w:val="Heading3"/>
      </w:pPr>
      <w:r>
        <w:t xml:space="preserve">What an agent is, in the classic sense</w:t>
      </w:r>
    </w:p>
    <w:p>
      <w:pPr>
        <w:pStyle w:val="FirstParagraph"/>
      </w:pPr>
      <w:r>
        <w:t xml:space="preserve">A widely-cited definition (quoted in an LLM agent survey) describes an autonomous agent as a system situated in an environment that</w:t>
      </w:r>
      <w:r>
        <w:t xml:space="preserve"> </w:t>
      </w:r>
      <w:r>
        <w:rPr>
          <w:b/>
          <w:bCs/>
        </w:rPr>
        <w:t xml:space="preserve">senses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acts</w:t>
      </w:r>
      <w:r>
        <w:t xml:space="preserve"> </w:t>
      </w:r>
      <w:r>
        <w:t xml:space="preserve">over time in pursuit of its agenda.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Agentic AI, in today’s LLM era, usually means:</w:t>
      </w:r>
    </w:p>
    <w:p>
      <w:pPr>
        <w:pStyle w:val="BodyText"/>
      </w:pPr>
      <w:r>
        <w:t xml:space="preserve">A system where an LLM (or multiple models) is placed in a</w:t>
      </w:r>
      <w:r>
        <w:t xml:space="preserve"> </w:t>
      </w:r>
      <w:r>
        <w:rPr>
          <w:b/>
          <w:bCs/>
        </w:rPr>
        <w:t xml:space="preserve">control loop</w:t>
      </w:r>
      <w:r>
        <w:t xml:space="preserve"> </w:t>
      </w:r>
      <w:r>
        <w:t xml:space="preserve">that can:</w:t>
      </w:r>
      <w:r>
        <w:t xml:space="preserve"> </w:t>
      </w:r>
      <w:r>
        <w:t xml:space="preserve">- interpret goals,</w:t>
      </w:r>
      <w:r>
        <w:t xml:space="preserve"> </w:t>
      </w:r>
      <w:r>
        <w:t xml:space="preserve">- plan steps,</w:t>
      </w:r>
      <w:r>
        <w:t xml:space="preserve"> </w:t>
      </w:r>
      <w:r>
        <w:t xml:space="preserve">- call tools,</w:t>
      </w:r>
      <w:r>
        <w:t xml:space="preserve"> </w:t>
      </w:r>
      <w:r>
        <w:t xml:space="preserve">- observe results,</w:t>
      </w:r>
      <w:r>
        <w:t xml:space="preserve"> </w:t>
      </w:r>
      <w:r>
        <w:t xml:space="preserve">- update plans,</w:t>
      </w:r>
      <w:r>
        <w:t xml:space="preserve"> </w:t>
      </w:r>
      <w:r>
        <w:t xml:space="preserve">- and continue until completion.</w:t>
      </w:r>
    </w:p>
    <w:bookmarkEnd w:id="36"/>
    <w:bookmarkStart w:id="38" w:name="are-llms-involved-in-agentic-systems"/>
    <w:p>
      <w:pPr>
        <w:pStyle w:val="Heading3"/>
      </w:pPr>
      <w:r>
        <w:t xml:space="preserve">Are LLMs involved in agentic systems?</w:t>
      </w:r>
    </w:p>
    <w:p>
      <w:pPr>
        <w:pStyle w:val="FirstParagraph"/>
      </w:pPr>
      <w:r>
        <w:t xml:space="preserve">In the modern wave: yes, typically. The recent survey “Understanding the planning of LLM agents” explicitly frames LLMs as a “cognitive core” used for planning and decision-making in agents.</w:t>
      </w:r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br/>
      </w:r>
      <w:r>
        <w:t xml:space="preserve">Another survey of LLM-based autonomous agents emphasizes that researchers enhance LLM agents with human-like capabilities such as</w:t>
      </w:r>
      <w:r>
        <w:t xml:space="preserve"> </w:t>
      </w:r>
      <w:r>
        <w:rPr>
          <w:b/>
          <w:bCs/>
        </w:rPr>
        <w:t xml:space="preserve">memory and planning</w:t>
      </w:r>
      <w:r>
        <w:t xml:space="preserve"> </w:t>
      </w:r>
      <w:r>
        <w:t xml:space="preserve">so they can complete tasks effectively.</w:t>
      </w:r>
      <w:r>
        <w:t xml:space="preserve"> </w:t>
      </w:r>
      <w:hyperlink r:id="rId35">
        <w:r>
          <w:rPr>
            <w:rStyle w:val="Hyperlink"/>
          </w:rPr>
          <w:t xml:space="preserve">[12]</w:t>
        </w:r>
      </w:hyperlink>
    </w:p>
    <w:bookmarkEnd w:id="38"/>
    <w:bookmarkStart w:id="41" w:name="X41e6398cde3ad83a57f3784f69574dde3bdd1e5"/>
    <w:p>
      <w:pPr>
        <w:pStyle w:val="Heading3"/>
      </w:pPr>
      <w:r>
        <w:t xml:space="preserve">Agentic architecture: the essential modules</w:t>
      </w:r>
    </w:p>
    <w:p>
      <w:pPr>
        <w:pStyle w:val="FirstParagraph"/>
      </w:pPr>
      <w:r>
        <w:t xml:space="preserve">Different papers use different names, but the stable core looks like this:</w:t>
      </w:r>
    </w:p>
    <w:p>
      <w:pPr>
        <w:pStyle w:val="BodyText"/>
      </w:pPr>
      <w:r>
        <w:rPr>
          <w:b/>
          <w:bCs/>
        </w:rPr>
        <w:t xml:space="preserve">Perception (inputs)</w:t>
      </w:r>
      <w:r>
        <w:t xml:space="preserve"> </w:t>
      </w:r>
      <w:r>
        <w:t xml:space="preserve">- user requests</w:t>
      </w:r>
      <w:r>
        <w:t xml:space="preserve"> </w:t>
      </w:r>
      <w:r>
        <w:t xml:space="preserve">- environment state</w:t>
      </w:r>
      <w:r>
        <w:t xml:space="preserve"> </w:t>
      </w:r>
      <w:r>
        <w:t xml:space="preserve">- logs/data</w:t>
      </w:r>
    </w:p>
    <w:p>
      <w:pPr>
        <w:pStyle w:val="BodyText"/>
      </w:pPr>
      <w:r>
        <w:rPr>
          <w:b/>
          <w:bCs/>
        </w:rPr>
        <w:t xml:space="preserve">Memory</w:t>
      </w:r>
      <w:r>
        <w:t xml:space="preserve"> </w:t>
      </w:r>
      <w:r>
        <w:t xml:space="preserve">- short-term: working context for the current task</w:t>
      </w:r>
      <w:r>
        <w:t xml:space="preserve"> </w:t>
      </w:r>
      <w:r>
        <w:t xml:space="preserve">- long-term: persistent records, docs, prior incidents, learned heuristics</w:t>
      </w:r>
      <w:r>
        <w:br/>
      </w:r>
      <w:r>
        <w:t xml:space="preserve">(LLM agent work frequently focuses on memory/feedback loops as core differentiators.)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Planning</w:t>
      </w:r>
      <w:r>
        <w:t xml:space="preserve"> </w:t>
      </w:r>
      <w:r>
        <w:t xml:space="preserve">- break down tasks</w:t>
      </w:r>
      <w:r>
        <w:t xml:space="preserve"> </w:t>
      </w:r>
      <w:r>
        <w:t xml:space="preserve">- select actions/tools</w:t>
      </w:r>
      <w:r>
        <w:t xml:space="preserve"> </w:t>
      </w:r>
      <w:r>
        <w:t xml:space="preserve">- manage dependencies</w:t>
      </w:r>
      <w:r>
        <w:br/>
      </w:r>
      <w:r>
        <w:t xml:space="preserve">The planning survey provides a taxonomy of planning improvements:</w:t>
      </w:r>
      <w:r>
        <w:t xml:space="preserve"> </w:t>
      </w:r>
      <w:r>
        <w:rPr>
          <w:b/>
          <w:bCs/>
        </w:rPr>
        <w:t xml:space="preserve">task decomposition, plan selection, external module, reflection, and memory.</w:t>
      </w:r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Action / Tools</w:t>
      </w:r>
      <w:r>
        <w:t xml:space="preserve"> </w:t>
      </w:r>
      <w:r>
        <w:t xml:space="preserve">- execute API calls</w:t>
      </w:r>
      <w:r>
        <w:t xml:space="preserve"> </w:t>
      </w:r>
      <w:r>
        <w:t xml:space="preserve">- run analysis code</w:t>
      </w:r>
      <w:r>
        <w:t xml:space="preserve"> </w:t>
      </w:r>
      <w:r>
        <w:t xml:space="preserve">- query indexes</w:t>
      </w:r>
      <w:r>
        <w:t xml:space="preserve"> </w:t>
      </w:r>
      <w:r>
        <w:t xml:space="preserve">- manipulate files</w:t>
      </w:r>
      <w:r>
        <w:t xml:space="preserve"> </w:t>
      </w:r>
      <w:r>
        <w:t xml:space="preserve">- run searches</w:t>
      </w:r>
    </w:p>
    <w:p>
      <w:pPr>
        <w:pStyle w:val="BodyText"/>
      </w:pPr>
      <w:r>
        <w:rPr>
          <w:b/>
          <w:bCs/>
        </w:rPr>
        <w:t xml:space="preserve">Control loop / Orchestration</w:t>
      </w:r>
      <w:r>
        <w:t xml:space="preserve"> </w:t>
      </w:r>
      <w:r>
        <w:t xml:space="preserve">- a loop that alternates between “think → act → observe → update”</w:t>
      </w:r>
    </w:p>
    <w:p>
      <w:pPr>
        <w:pStyle w:val="BodyText"/>
      </w:pPr>
      <w:r>
        <w:t xml:space="preserve">Two research landmarks are especially relevant to your framework language: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(reasoning + acting): prompts LLMs to generate</w:t>
      </w:r>
      <w:r>
        <w:t xml:space="preserve"> </w:t>
      </w:r>
      <w:r>
        <w:rPr>
          <w:b/>
          <w:bCs/>
        </w:rPr>
        <w:t xml:space="preserve">reasoning traces and actions in an interleaved manner</w:t>
      </w:r>
      <w:r>
        <w:t xml:space="preserve">, so reasoning updates action plans and actions fetch more information to improve reasoning.</w:t>
      </w:r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Toolformer</w:t>
      </w:r>
      <w:r>
        <w:t xml:space="preserve">: a training approach where models learn to decide</w:t>
      </w:r>
      <w:r>
        <w:t xml:space="preserve"> </w:t>
      </w:r>
      <w:r>
        <w:rPr>
          <w:b/>
          <w:bCs/>
        </w:rPr>
        <w:t xml:space="preserve">which APIs to call, when, and with what arguments</w:t>
      </w:r>
      <w:r>
        <w:t xml:space="preserve">, and incorporate tool results into future prediction.</w:t>
      </w:r>
      <w:r>
        <w:t xml:space="preserve"> </w:t>
      </w:r>
      <w:hyperlink r:id="rId40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t xml:space="preserve">These are not the same thing (ReAct is a prompting/control pattern; Toolformer is a training method), but together they define the conceptual space of “agentic.”</w:t>
      </w:r>
    </w:p>
    <w:bookmarkEnd w:id="41"/>
    <w:bookmarkEnd w:id="42"/>
    <w:bookmarkStart w:id="47" w:name="X49898886be702868fcda694c85c934d355362c9"/>
    <w:p>
      <w:pPr>
        <w:pStyle w:val="Heading2"/>
      </w:pPr>
      <w:r>
        <w:t xml:space="preserve">Canvas one: RAG + Agentic AI mapped to ILCE and your framework</w:t>
      </w:r>
    </w:p>
    <w:p>
      <w:pPr>
        <w:pStyle w:val="FirstParagraph"/>
      </w:pPr>
      <w:r>
        <w:rPr>
          <w:b/>
          <w:bCs/>
        </w:rPr>
        <w:t xml:space="preserve">Canvas title:</w:t>
      </w:r>
      <w:r>
        <w:t xml:space="preserve"> </w:t>
      </w:r>
      <w:r>
        <w:t xml:space="preserve">“ILCE as an Agentic Diagnostic System with RAG Grounding”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2026-02-20</w:t>
      </w:r>
    </w:p>
    <w:bookmarkStart w:id="43" w:name="core-assertion"/>
    <w:p>
      <w:pPr>
        <w:pStyle w:val="Heading3"/>
      </w:pPr>
      <w:r>
        <w:t xml:space="preserve">Core assertion</w:t>
      </w:r>
    </w:p>
    <w:p>
      <w:pPr>
        <w:pStyle w:val="FirstParagraph"/>
      </w:pPr>
      <w:r>
        <w:t xml:space="preserve">ILCE can be engineered as two layers:</w:t>
      </w:r>
    </w:p>
    <w:p>
      <w:pPr>
        <w:pStyle w:val="BodyText"/>
      </w:pPr>
      <w:r>
        <w:rPr>
          <w:b/>
          <w:bCs/>
        </w:rPr>
        <w:t xml:space="preserve">Layer 1: Deterministic diagnostic computation (the engine)</w:t>
      </w:r>
      <w:r>
        <w:br/>
      </w:r>
      <w:r>
        <w:t xml:space="preserve">- parse logs</w:t>
      </w:r>
      <w:r>
        <w:br/>
      </w:r>
      <w:r>
        <w:t xml:space="preserve">- normalize timestamps</w:t>
      </w:r>
      <w:r>
        <w:br/>
      </w:r>
      <w:r>
        <w:t xml:space="preserve">- identify event clusters</w:t>
      </w:r>
      <w:r>
        <w:br/>
      </w:r>
      <w:r>
        <w:t xml:space="preserve">- compute correlation and responsibility scores</w:t>
      </w:r>
      <w:r>
        <w:br/>
      </w:r>
      <w:r>
        <w:t xml:space="preserve">- output ranked hypotheses (probabilities)</w:t>
      </w:r>
    </w:p>
    <w:p>
      <w:pPr>
        <w:pStyle w:val="BodyText"/>
      </w:pPr>
      <w:r>
        <w:rPr>
          <w:b/>
          <w:bCs/>
        </w:rPr>
        <w:t xml:space="preserve">Layer 2: Agentic workflow + explanation (the agent)</w:t>
      </w:r>
      <w:r>
        <w:br/>
      </w:r>
      <w:r>
        <w:t xml:space="preserve">- chooses which diagnostic skills to run</w:t>
      </w:r>
      <w:r>
        <w:t xml:space="preserve"> </w:t>
      </w:r>
      <w:r>
        <w:t xml:space="preserve">- explains hypotheses using evidence</w:t>
      </w:r>
      <w:r>
        <w:t xml:space="preserve"> </w:t>
      </w:r>
      <w:r>
        <w:t xml:space="preserve">- retrieves system knowledge/runbooks via RAG</w:t>
      </w:r>
      <w:r>
        <w:t xml:space="preserve"> </w:t>
      </w:r>
      <w:r>
        <w:t xml:space="preserve">- asks targeted clarifying questions</w:t>
      </w:r>
      <w:r>
        <w:t xml:space="preserve"> </w:t>
      </w:r>
      <w:r>
        <w:t xml:space="preserve">- produces “next investigations” suggestions</w:t>
      </w:r>
    </w:p>
    <w:p>
      <w:pPr>
        <w:pStyle w:val="BodyText"/>
      </w:pPr>
      <w:r>
        <w:t xml:space="preserve">This allows your framework to remain central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letting LLM fuzziness contaminate the causal core.</w:t>
      </w:r>
    </w:p>
    <w:bookmarkEnd w:id="43"/>
    <w:bookmarkStart w:id="44" w:name="Xd7dc41bfee8dac7c9d06a46c3da28e97e97c58a"/>
    <w:p>
      <w:pPr>
        <w:pStyle w:val="Heading3"/>
      </w:pPr>
      <w:r>
        <w:t xml:space="preserve">RAG’s role inside ILCE (what it should and should not do)</w:t>
      </w:r>
    </w:p>
    <w:p>
      <w:pPr>
        <w:pStyle w:val="FirstParagraph"/>
      </w:pPr>
      <w:r>
        <w:rPr>
          <w:b/>
          <w:bCs/>
        </w:rPr>
        <w:t xml:space="preserve">RAG should do</w:t>
      </w:r>
      <w:r>
        <w:t xml:space="preserve"> </w:t>
      </w:r>
      <w:r>
        <w:t xml:space="preserve">- Provide grounding knowledge about:</w:t>
      </w:r>
      <w:r>
        <w:t xml:space="preserve"> </w:t>
      </w:r>
      <w:r>
        <w:t xml:space="preserve">- AVEVA module/component descriptions</w:t>
      </w:r>
      <w:r>
        <w:t xml:space="preserve"> </w:t>
      </w:r>
      <w:r>
        <w:t xml:space="preserve">- log field meanings and severity semantics</w:t>
      </w:r>
      <w:r>
        <w:t xml:space="preserve"> </w:t>
      </w:r>
      <w:r>
        <w:t xml:space="preserve">- known failure patterns</w:t>
      </w:r>
      <w:r>
        <w:t xml:space="preserve"> </w:t>
      </w:r>
      <w:r>
        <w:t xml:space="preserve">- runbook steps (“if middleware trace shows X, check Y”)</w:t>
      </w:r>
      <w:r>
        <w:t xml:space="preserve"> </w:t>
      </w:r>
      <w:r>
        <w:t xml:space="preserve">- mapping tables (error codes → candidate subsystems)</w:t>
      </w:r>
    </w:p>
    <w:p>
      <w:pPr>
        <w:pStyle w:val="BodyText"/>
      </w:pPr>
      <w:r>
        <w:t xml:space="preserve">This matches the documented idea that “grounding data” reduces guessing.</w:t>
      </w:r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RAG should not do</w:t>
      </w:r>
      <w:r>
        <w:t xml:space="preserve"> </w:t>
      </w:r>
      <w:r>
        <w:t xml:space="preserve">- Compute causality from scratch</w:t>
      </w:r>
      <w:r>
        <w:t xml:space="preserve"> </w:t>
      </w:r>
      <w:r>
        <w:t xml:space="preserve">- Make probability assignments without extracted signals</w:t>
      </w:r>
      <w:r>
        <w:t xml:space="preserve"> </w:t>
      </w:r>
      <w:r>
        <w:t xml:space="preserve">- “Free-form interpret” raw logs without structure</w:t>
      </w:r>
    </w:p>
    <w:p>
      <w:pPr>
        <w:pStyle w:val="BodyText"/>
      </w:pPr>
      <w:r>
        <w:t xml:space="preserve">RAG is strong at grounding and explanation, not at being your root-cause engine.</w:t>
      </w:r>
    </w:p>
    <w:bookmarkEnd w:id="44"/>
    <w:bookmarkStart w:id="45" w:name="X318d35676b0f9c6ab6a840b6cc6d8792dd0c663"/>
    <w:p>
      <w:pPr>
        <w:pStyle w:val="Heading3"/>
      </w:pPr>
      <w:r>
        <w:t xml:space="preserve">Your framework mapping (planner + behavior matrix + skills)</w:t>
      </w:r>
    </w:p>
    <w:p>
      <w:pPr>
        <w:pStyle w:val="FirstParagraph"/>
      </w:pPr>
      <w:r>
        <w:t xml:space="preserve">Your language maps cleanly onto a standard agent decomposition that research surveys repeatedly converge 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Behavior matrix / skill library</w:t>
      </w:r>
      <w:r>
        <w:br/>
      </w:r>
      <w:r>
        <w:t xml:space="preserve">A catalog of callable tools: “Parse ArchestrA export,” “Extract SQL call trace,” “Compute time-offset alignment,” “Cluster errors,” etc.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Planner</w:t>
      </w:r>
      <w:r>
        <w:br/>
      </w:r>
      <w:r>
        <w:t xml:space="preserve">Uses task decomposition and plan selection ideas (explicitly called out as major planning directions in the LLM agent planning survey).</w:t>
      </w:r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Memory</w:t>
      </w:r>
    </w:p>
    <w:p>
      <w:pPr>
        <w:pStyle w:val="Compact"/>
        <w:numPr>
          <w:ilvl w:val="0"/>
          <w:numId w:val="1004"/>
        </w:numPr>
      </w:pPr>
      <w:r>
        <w:t xml:space="preserve">Short-term: incident case state, intermediate results, chosen hypotheses</w:t>
      </w:r>
    </w:p>
    <w:p>
      <w:pPr>
        <w:numPr>
          <w:ilvl w:val="0"/>
          <w:numId w:val="1004"/>
        </w:numPr>
      </w:pPr>
      <w:r>
        <w:t xml:space="preserve">Long-term: incident templates, prior solved cases, system topology knowledge</w:t>
      </w:r>
      <w:r>
        <w:br/>
      </w:r>
      <w:r>
        <w:t xml:space="preserve">(Memory is also repeatedly emphasized as a core agent construction theme.)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External module usage</w:t>
      </w:r>
      <w:r>
        <w:t xml:space="preserve"> </w:t>
      </w:r>
      <w:r>
        <w:t xml:space="preserve">RAG retriever is itself an “external module” that supplies evidence/knowledge into the planner loop.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Reason-Act loop</w:t>
      </w:r>
      <w:r>
        <w:t xml:space="preserve"> </w:t>
      </w:r>
      <w:r>
        <w:t xml:space="preserve">For interactive diagnostics, ReAct’s “interleaved reasoning and acting” is directly aligned with: “inspect → choose next tool → incorporate result → update plan.”</w:t>
      </w:r>
      <w:r>
        <w:t xml:space="preserve"> </w:t>
      </w:r>
      <w:hyperlink r:id="rId39">
        <w:r>
          <w:rPr>
            <w:rStyle w:val="Hyperlink"/>
          </w:rPr>
          <w:t xml:space="preserve">[15]</w:t>
        </w:r>
      </w:hyperlink>
    </w:p>
    <w:bookmarkEnd w:id="45"/>
    <w:bookmarkStart w:id="46" w:name="Xaa75095ed56cde0b5bb4e0b9aa3c14c0d206ac8"/>
    <w:p>
      <w:pPr>
        <w:pStyle w:val="Heading3"/>
      </w:pPr>
      <w:r>
        <w:t xml:space="preserve">Research questions that fall directly out of this architecture</w:t>
      </w:r>
    </w:p>
    <w:p>
      <w:pPr>
        <w:pStyle w:val="FirstParagraph"/>
      </w:pPr>
      <w:r>
        <w:t xml:space="preserve">These are the highest-value “unknowns” to resolve while building ILCE under your framework: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is the minimal evidence schema for deterministic causality scoring?</w:t>
      </w:r>
      <w:r>
        <w:br/>
      </w:r>
      <w:r>
        <w:t xml:space="preserve">(You already identified this as the blocker: no schema → no UI → no engine.)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knowledge belongs in RAG vs in code?</w:t>
      </w:r>
      <w:r>
        <w:br/>
      </w:r>
      <w:r>
        <w:t xml:space="preserve">If it’s stable and algorithmic (timestamp correction), it belongs in code.</w:t>
      </w:r>
      <w:r>
        <w:br/>
      </w:r>
      <w:r>
        <w:t xml:space="preserve">If it’s changing and explanatory (log field meaning), it belongs in RAG.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How do you prevent RAG from hallucinating “facts” about the incident?</w:t>
      </w:r>
      <w:r>
        <w:br/>
      </w:r>
      <w:r>
        <w:t xml:space="preserve">The system should cite raw evidence excerpts and derived features.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What’s the stepwise “skill choreography” that senior engineers follow?</w:t>
      </w:r>
      <w:r>
        <w:br/>
      </w:r>
      <w:r>
        <w:t xml:space="preserve">This becomes your skill library. The planner selects and sequences those skills.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When do you ask the engineer for input?</w:t>
      </w:r>
      <w:r>
        <w:br/>
      </w:r>
      <w:r>
        <w:t xml:space="preserve">Agentic systems often require parameter completion. Your UI can become an explicit “clarify step” rather than guesses.</w:t>
      </w:r>
    </w:p>
    <w:bookmarkEnd w:id="46"/>
    <w:bookmarkEnd w:id="47"/>
    <w:bookmarkStart w:id="53" w:name="Xb9287cee641d23367c5210ed88871838be5e9e8"/>
    <w:p>
      <w:pPr>
        <w:pStyle w:val="Heading2"/>
      </w:pPr>
      <w:r>
        <w:t xml:space="preserve">Canvas two: your motivation and what it implies for product strategy and exit</w:t>
      </w:r>
    </w:p>
    <w:p>
      <w:pPr>
        <w:pStyle w:val="FirstParagraph"/>
      </w:pPr>
      <w:r>
        <w:rPr>
          <w:b/>
          <w:bCs/>
        </w:rPr>
        <w:t xml:space="preserve">Canvas title:</w:t>
      </w:r>
      <w:r>
        <w:t xml:space="preserve"> </w:t>
      </w:r>
      <w:r>
        <w:t xml:space="preserve">“Builder Motivation Profile and Strategy Fit”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2026-02-20</w:t>
      </w:r>
    </w:p>
    <w:bookmarkStart w:id="48" w:name="what-your-own-words-are-telling-us"/>
    <w:p>
      <w:pPr>
        <w:pStyle w:val="Heading3"/>
      </w:pPr>
      <w:r>
        <w:t xml:space="preserve">What your own words are telling us</w:t>
      </w:r>
    </w:p>
    <w:p>
      <w:pPr>
        <w:pStyle w:val="FirstParagraph"/>
      </w:pPr>
      <w:r>
        <w:t xml:space="preserve">You said (paraphrasing directly from your message):</w:t>
      </w:r>
      <w:r>
        <w:t xml:space="preserve"> </w:t>
      </w:r>
      <w:r>
        <w:t xml:space="preserve">- Motivation order:</w:t>
      </w:r>
      <w:r>
        <w:t xml:space="preserve"> </w:t>
      </w:r>
      <w:r>
        <w:rPr>
          <w:b/>
          <w:bCs/>
        </w:rPr>
        <w:t xml:space="preserve">knowledge/theory first</w:t>
      </w:r>
      <w:r>
        <w:t xml:space="preserve">,</w:t>
      </w:r>
      <w:r>
        <w:t xml:space="preserve"> </w:t>
      </w:r>
      <w:r>
        <w:rPr>
          <w:b/>
          <w:bCs/>
        </w:rPr>
        <w:t xml:space="preserve">utility second</w:t>
      </w:r>
      <w:r>
        <w:t xml:space="preserve">,</w:t>
      </w:r>
      <w:r>
        <w:t xml:space="preserve"> </w:t>
      </w:r>
      <w:r>
        <w:rPr>
          <w:b/>
          <w:bCs/>
        </w:rPr>
        <w:t xml:space="preserve">money third</w:t>
      </w:r>
      <w:r>
        <w:t xml:space="preserve"> </w:t>
      </w:r>
      <w:r>
        <w:t xml:space="preserve">- You enjoy development; you dislike maintenance/support (“that is work”)</w:t>
      </w:r>
      <w:r>
        <w:t xml:space="preserve"> </w:t>
      </w:r>
      <w:r>
        <w:t xml:space="preserve">- You’re energized by “useful and novel” systems like ILCE</w:t>
      </w:r>
      <w:r>
        <w:t xml:space="preserve"> </w:t>
      </w:r>
      <w:r>
        <w:t xml:space="preserve">- You want to keep building products serially</w:t>
      </w:r>
      <w:r>
        <w:t xml:space="preserve"> </w:t>
      </w:r>
      <w:r>
        <w:t xml:space="preserve">- Therefore: products need an</w:t>
      </w:r>
      <w:r>
        <w:t xml:space="preserve"> </w:t>
      </w:r>
      <w:r>
        <w:rPr>
          <w:b/>
          <w:bCs/>
        </w:rPr>
        <w:t xml:space="preserve">exit strategy</w:t>
      </w:r>
      <w:r>
        <w:t xml:space="preserve"> </w:t>
      </w:r>
      <w:r>
        <w:t xml:space="preserve">(sell, license, or open-source)</w:t>
      </w:r>
    </w:p>
    <w:p>
      <w:pPr>
        <w:pStyle w:val="BodyText"/>
      </w:pPr>
      <w:r>
        <w:t xml:space="preserve">That is not a weakness. It’s a design constraint.</w:t>
      </w:r>
    </w:p>
    <w:bookmarkEnd w:id="48"/>
    <w:bookmarkStart w:id="49" w:name="Xbcda478455aeed1d2f6186c4108c1687dc38b94"/>
    <w:p>
      <w:pPr>
        <w:pStyle w:val="Heading3"/>
      </w:pPr>
      <w:r>
        <w:t xml:space="preserve">The key mismatch you already surfaced: SaaS vs your temperament</w:t>
      </w:r>
    </w:p>
    <w:p>
      <w:pPr>
        <w:pStyle w:val="FirstParagraph"/>
      </w:pPr>
      <w:r>
        <w:t xml:space="preserve">SaaS is fundamentally:</w:t>
      </w:r>
      <w:r>
        <w:t xml:space="preserve"> </w:t>
      </w:r>
      <w:r>
        <w:t xml:space="preserve">- onboarding</w:t>
      </w:r>
      <w:r>
        <w:t xml:space="preserve"> </w:t>
      </w:r>
      <w:r>
        <w:t xml:space="preserve">- uptime</w:t>
      </w:r>
      <w:r>
        <w:t xml:space="preserve"> </w:t>
      </w:r>
      <w:r>
        <w:t xml:space="preserve">- security reviews</w:t>
      </w:r>
      <w:r>
        <w:t xml:space="preserve"> </w:t>
      </w:r>
      <w:r>
        <w:t xml:space="preserve">- customer support</w:t>
      </w:r>
      <w:r>
        <w:t xml:space="preserve"> </w:t>
      </w:r>
      <w:r>
        <w:t xml:space="preserve">- roadmap pressure</w:t>
      </w:r>
    </w:p>
    <w:p>
      <w:pPr>
        <w:pStyle w:val="BodyText"/>
      </w:pPr>
      <w:r>
        <w:t xml:space="preserve">Those are “maintenance-shaped.”</w:t>
      </w:r>
    </w:p>
    <w:p>
      <w:pPr>
        <w:pStyle w:val="BodyText"/>
      </w:pPr>
      <w:r>
        <w:t xml:space="preserve">So if you insist on SaaS, you’ll either:</w:t>
      </w:r>
      <w:r>
        <w:t xml:space="preserve"> </w:t>
      </w:r>
      <w:r>
        <w:t xml:space="preserve">- suffer, or</w:t>
      </w:r>
      <w:r>
        <w:t xml:space="preserve"> </w:t>
      </w:r>
      <w:r>
        <w:t xml:space="preserve">- hire/partner for support, or</w:t>
      </w:r>
      <w:r>
        <w:t xml:space="preserve"> </w:t>
      </w:r>
      <w:r>
        <w:t xml:space="preserve">- stall after building the fun part.</w:t>
      </w:r>
    </w:p>
    <w:p>
      <w:pPr>
        <w:pStyle w:val="BodyText"/>
      </w:pPr>
      <w:r>
        <w:t xml:space="preserve">Your own text strongly indicates you want a model where:</w:t>
      </w:r>
      <w:r>
        <w:t xml:space="preserve"> </w:t>
      </w:r>
      <w:r>
        <w:t xml:space="preserve">- building the system is the main value,</w:t>
      </w:r>
      <w:r>
        <w:t xml:space="preserve"> </w:t>
      </w:r>
      <w:r>
        <w:t xml:space="preserve">- and ongoing obligations are minimized.</w:t>
      </w:r>
    </w:p>
    <w:bookmarkEnd w:id="49"/>
    <w:bookmarkStart w:id="50" w:name="strategies-that-fit-your-motivation"/>
    <w:p>
      <w:pPr>
        <w:pStyle w:val="Heading3"/>
      </w:pPr>
      <w:r>
        <w:t xml:space="preserve">Strategies that fit your motivation</w:t>
      </w:r>
    </w:p>
    <w:p>
      <w:pPr>
        <w:pStyle w:val="FirstParagraph"/>
      </w:pPr>
      <w:r>
        <w:rPr>
          <w:b/>
          <w:bCs/>
        </w:rPr>
        <w:t xml:space="preserve">Technology asset strategy (build → validate → sell)</w:t>
      </w:r>
      <w:r>
        <w:br/>
      </w:r>
      <w:r>
        <w:t xml:space="preserve">- Build ILCE as a demonstrable technology asset.</w:t>
      </w:r>
      <w:r>
        <w:t xml:space="preserve"> </w:t>
      </w:r>
      <w:r>
        <w:t xml:space="preserve">- Validate with a pilot case study.</w:t>
      </w:r>
      <w:r>
        <w:t xml:space="preserve"> </w:t>
      </w:r>
      <w:r>
        <w:t xml:space="preserve">- Sell IP (source + docs + demo + tests) to:</w:t>
      </w:r>
      <w:r>
        <w:t xml:space="preserve"> </w:t>
      </w:r>
      <w:r>
        <w:t xml:space="preserve">- an integrator,</w:t>
      </w:r>
      <w:r>
        <w:t xml:space="preserve"> </w:t>
      </w:r>
      <w:r>
        <w:t xml:space="preserve">- an industrial software vendor,</w:t>
      </w:r>
      <w:r>
        <w:t xml:space="preserve"> </w:t>
      </w:r>
      <w:r>
        <w:t xml:space="preserve">- or a manufacturer with a large internal software org.</w:t>
      </w:r>
    </w:p>
    <w:p>
      <w:pPr>
        <w:pStyle w:val="BodyText"/>
      </w:pPr>
      <w:r>
        <w:t xml:space="preserve">This aligns with “development is fun; support is not.”</w:t>
      </w:r>
    </w:p>
    <w:p>
      <w:pPr>
        <w:pStyle w:val="BodyText"/>
      </w:pPr>
      <w:r>
        <w:rPr>
          <w:b/>
          <w:bCs/>
        </w:rPr>
        <w:t xml:space="preserve">License-to-one-customer strategy (the Virtual COBOL pattern, modern version)</w:t>
      </w:r>
      <w:r>
        <w:br/>
      </w:r>
      <w:r>
        <w:t xml:space="preserve">- One high-value deal where you deliver a complete package:</w:t>
      </w:r>
      <w:r>
        <w:t xml:space="preserve"> </w:t>
      </w:r>
      <w:r>
        <w:t xml:space="preserve">- engine + UI + ingestion adapters + documentation</w:t>
      </w:r>
      <w:r>
        <w:t xml:space="preserve"> </w:t>
      </w:r>
      <w:r>
        <w:t xml:space="preserve">- One-time fee + limited warranty window</w:t>
      </w:r>
      <w:r>
        <w:t xml:space="preserve"> </w:t>
      </w:r>
      <w:r>
        <w:t xml:space="preserve">- Customer internalizes ownership thereafter</w:t>
      </w:r>
    </w:p>
    <w:p>
      <w:pPr>
        <w:pStyle w:val="BodyText"/>
      </w:pPr>
      <w:r>
        <w:rPr>
          <w:b/>
          <w:bCs/>
        </w:rPr>
        <w:t xml:space="preserve">Open-source + sponsorship (if “knowledge/theory” dominates)</w:t>
      </w:r>
      <w:r>
        <w:br/>
      </w:r>
      <w:r>
        <w:t xml:space="preserve">If money truly is third, open-sourcing can be a legitimate end state:</w:t>
      </w:r>
      <w:r>
        <w:t xml:space="preserve"> </w:t>
      </w:r>
      <w:r>
        <w:t xml:space="preserve">- you publish the work,</w:t>
      </w:r>
      <w:r>
        <w:t xml:space="preserve"> </w:t>
      </w:r>
      <w:r>
        <w:t xml:space="preserve">- gain reputation,</w:t>
      </w:r>
      <w:r>
        <w:t xml:space="preserve"> </w:t>
      </w:r>
      <w:r>
        <w:t xml:space="preserve">- keep moving to the next build.</w:t>
      </w:r>
    </w:p>
    <w:p>
      <w:pPr>
        <w:pStyle w:val="BodyText"/>
      </w:pPr>
      <w:r>
        <w:t xml:space="preserve">But the practical warning: open source still has maintenance pressure unless you explicitly set boundaries (no support, only PRs, or community-driven).</w:t>
      </w:r>
    </w:p>
    <w:bookmarkEnd w:id="50"/>
    <w:bookmarkStart w:id="51" w:name="X4c66ae64be07edc5bd3f8c61fba684820124d53"/>
    <w:p>
      <w:pPr>
        <w:pStyle w:val="Heading3"/>
      </w:pPr>
      <w:r>
        <w:t xml:space="preserve">A product brainstorm list that matches your pattern</w:t>
      </w:r>
    </w:p>
    <w:p>
      <w:pPr>
        <w:pStyle w:val="FirstParagraph"/>
      </w:pPr>
      <w:r>
        <w:t xml:space="preserve">These are “builder-friendly” product types—high intellectual content, bounded support:</w:t>
      </w:r>
    </w:p>
    <w:p>
      <w:pPr>
        <w:pStyle w:val="Compact"/>
        <w:numPr>
          <w:ilvl w:val="0"/>
          <w:numId w:val="1006"/>
        </w:numPr>
      </w:pPr>
      <w:r>
        <w:t xml:space="preserve">Offline diagnostic engines (ILCE class) that ingest exported evidence packages</w:t>
      </w:r>
    </w:p>
    <w:p>
      <w:pPr>
        <w:pStyle w:val="Compact"/>
        <w:numPr>
          <w:ilvl w:val="0"/>
          <w:numId w:val="1006"/>
        </w:numPr>
      </w:pPr>
      <w:r>
        <w:t xml:space="preserve">Domain-specific “analysis appliances” (your 1U/2U idea) where deployment is physically bounded</w:t>
      </w:r>
    </w:p>
    <w:p>
      <w:pPr>
        <w:pStyle w:val="Compact"/>
        <w:numPr>
          <w:ilvl w:val="0"/>
          <w:numId w:val="1006"/>
        </w:numPr>
      </w:pPr>
      <w:r>
        <w:t xml:space="preserve">Developer tools for industrial integrations: schema normalizers, log parsers, exporters</w:t>
      </w:r>
    </w:p>
    <w:p>
      <w:pPr>
        <w:pStyle w:val="Compact"/>
        <w:numPr>
          <w:ilvl w:val="0"/>
          <w:numId w:val="1006"/>
        </w:numPr>
      </w:pPr>
      <w:r>
        <w:t xml:space="preserve">Simulation/test harnesses for incident reproduction and correlation benchmarking</w:t>
      </w:r>
    </w:p>
    <w:p>
      <w:pPr>
        <w:pStyle w:val="Compact"/>
        <w:numPr>
          <w:ilvl w:val="0"/>
          <w:numId w:val="1006"/>
        </w:numPr>
      </w:pPr>
      <w:r>
        <w:t xml:space="preserve">Small “knowledge systems” (RAG corpora + tooling) for niche engineering domains</w:t>
      </w:r>
    </w:p>
    <w:p>
      <w:pPr>
        <w:pStyle w:val="Compact"/>
        <w:numPr>
          <w:ilvl w:val="0"/>
          <w:numId w:val="1006"/>
        </w:numPr>
      </w:pPr>
      <w:r>
        <w:t xml:space="preserve">Specialized “agent skills” libraries that plug into existing orchestration stacks</w:t>
      </w:r>
    </w:p>
    <w:p>
      <w:pPr>
        <w:pStyle w:val="FirstParagraph"/>
      </w:pPr>
      <w:r>
        <w:t xml:space="preserve">The pattern across all of these:</w:t>
      </w:r>
      <w:r>
        <w:t xml:space="preserve"> </w:t>
      </w:r>
      <w:r>
        <w:t xml:space="preserve">- deliver a finished artifact,</w:t>
      </w:r>
      <w:r>
        <w:t xml:space="preserve"> </w:t>
      </w:r>
      <w:r>
        <w:t xml:space="preserve">- avoid long-running service obligations,</w:t>
      </w:r>
      <w:r>
        <w:t xml:space="preserve"> </w:t>
      </w:r>
      <w:r>
        <w:t xml:space="preserve">- maximize intellectual/technical novelty.</w:t>
      </w:r>
    </w:p>
    <w:bookmarkEnd w:id="51"/>
    <w:bookmarkStart w:id="52" w:name="Xcecd777c1dd17d68c0eb8b754239fedaaf9d33a"/>
    <w:p>
      <w:pPr>
        <w:pStyle w:val="Heading3"/>
      </w:pPr>
      <w:r>
        <w:t xml:space="preserve">What your mindset suggests for the 12-week sprint approach</w:t>
      </w:r>
    </w:p>
    <w:p>
      <w:pPr>
        <w:pStyle w:val="FirstParagraph"/>
      </w:pPr>
      <w:r>
        <w:t xml:space="preserve">Your instincts already converged on the right meta-structure:</w:t>
      </w:r>
    </w:p>
    <w:p>
      <w:pPr>
        <w:pStyle w:val="Compact"/>
        <w:numPr>
          <w:ilvl w:val="0"/>
          <w:numId w:val="1007"/>
        </w:numPr>
      </w:pPr>
      <w:r>
        <w:t xml:space="preserve">Keep 12-week sprints as</w:t>
      </w:r>
      <w:r>
        <w:t xml:space="preserve"> </w:t>
      </w:r>
      <w:r>
        <w:rPr>
          <w:b/>
          <w:bCs/>
        </w:rPr>
        <w:t xml:space="preserve">modular building blocks</w:t>
      </w:r>
    </w:p>
    <w:p>
      <w:pPr>
        <w:pStyle w:val="Compact"/>
        <w:numPr>
          <w:ilvl w:val="0"/>
          <w:numId w:val="1007"/>
        </w:numPr>
      </w:pPr>
      <w:r>
        <w:t xml:space="preserve">Treat the year as</w:t>
      </w:r>
      <w:r>
        <w:t xml:space="preserve"> </w:t>
      </w:r>
      <w:r>
        <w:rPr>
          <w:b/>
          <w:bCs/>
        </w:rPr>
        <w:t xml:space="preserve">phased R&amp;D</w:t>
      </w:r>
    </w:p>
    <w:p>
      <w:pPr>
        <w:pStyle w:val="Compact"/>
        <w:numPr>
          <w:ilvl w:val="0"/>
          <w:numId w:val="1007"/>
        </w:numPr>
      </w:pPr>
      <w:r>
        <w:t xml:space="preserve">Use ILCE as the forcing function that makes the framework real:</w:t>
      </w:r>
    </w:p>
    <w:p>
      <w:pPr>
        <w:pStyle w:val="Compact"/>
        <w:numPr>
          <w:ilvl w:val="0"/>
          <w:numId w:val="1007"/>
        </w:numPr>
      </w:pPr>
      <w:r>
        <w:t xml:space="preserve">“framework pieces” aren’t abstract—they are features required by the product.</w:t>
      </w:r>
    </w:p>
    <w:p>
      <w:pPr>
        <w:pStyle w:val="FirstParagraph"/>
      </w:pPr>
      <w:r>
        <w:t xml:space="preserve">This is consistent with how agent research surveys frame agent construction: architecture + capability acquisition + evaluation. You’re essentially building those in applied form.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bookmarkEnd w:id="52"/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What is RAG? - Retrieval-Augmented Generation AI Explained - AWS</w:t>
      </w:r>
    </w:p>
    <w:p>
      <w:pPr>
        <w:pStyle w:val="BodyText"/>
      </w:pPr>
      <w:hyperlink r:id="rId21">
        <w:r>
          <w:rPr>
            <w:rStyle w:val="Hyperlink"/>
          </w:rPr>
          <w:t xml:space="preserve">https://aws.amazon.com/what-is/retrieval-augmented-generation/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proceedings.neurips.cc</w:t>
      </w:r>
    </w:p>
    <w:p>
      <w:pPr>
        <w:pStyle w:val="BodyText"/>
      </w:pPr>
      <w:hyperlink r:id="rId22">
        <w:r>
          <w:rPr>
            <w:rStyle w:val="Hyperlink"/>
          </w:rPr>
          <w:t xml:space="preserve">https://proceedings.neurips.cc/paper/2020/file/6b493230205f780e1bc26945df7481e5-Paper.pdf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Build Advanced Retrieval-Augmented Generation Systems | Microsoft Learn</w:t>
      </w:r>
    </w:p>
    <w:p>
      <w:pPr>
        <w:pStyle w:val="BodyText"/>
      </w:pPr>
      <w:hyperlink r:id="rId24">
        <w:r>
          <w:rPr>
            <w:rStyle w:val="Hyperlink"/>
          </w:rPr>
          <w:t xml:space="preserve">https://learn.microsoft.com/en-us/azure/developer/ai/advanced-retrieval-augmented-generation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Understanding Retrieval Augmented Generation - AWS Prescriptive Guidance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https://docs.aws.amazon.com/prescriptive-guidance/latest/retrieval-augmented-generation-options/what-is-rag.html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Retrieval augmented generation (RAG) and indexes in Microsoft Foundry - Microsoft Foundry | Microsoft Learn</w:t>
      </w:r>
    </w:p>
    <w:p>
      <w:pPr>
        <w:pStyle w:val="BodyText"/>
      </w:pPr>
      <w:hyperlink r:id="rId26">
        <w:r>
          <w:rPr>
            <w:rStyle w:val="Hyperlink"/>
          </w:rPr>
          <w:t xml:space="preserve">https://learn.microsoft.com/en-us/azure/ai-foundry/concepts/retrieval-augmented-generation?view=foundry-classic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https://arxiv.org/pdf/2308.11432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https://arxiv.org/pdf/2402.02716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openreview.net</w:t>
      </w:r>
    </w:p>
    <w:p>
      <w:pPr>
        <w:pStyle w:val="BodyText"/>
      </w:pPr>
      <w:hyperlink r:id="rId39">
        <w:r>
          <w:rPr>
            <w:rStyle w:val="Hyperlink"/>
          </w:rPr>
          <w:t xml:space="preserve">https://openreview.net/pdf?id=WE_vluYUL-X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Toolformer: Language Models Can Teach Themselves to Use Tools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https://arxiv.org/abs/2302.04761?utm_source=chatgpt.com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arxiv.org/abs/2302.04761?utm_source=chatgpt.com" TargetMode="External" /><Relationship Type="http://schemas.openxmlformats.org/officeDocument/2006/relationships/hyperlink" Id="rId35" Target="https://arxiv.org/pdf/2308.11432" TargetMode="External" /><Relationship Type="http://schemas.openxmlformats.org/officeDocument/2006/relationships/hyperlink" Id="rId37" Target="https://arxiv.org/pdf/2402.02716" TargetMode="External" /><Relationship Type="http://schemas.openxmlformats.org/officeDocument/2006/relationships/hyperlink" Id="rId21" Target="https://aws.amazon.com/what-is/retrieval-augmented-generation/" TargetMode="External" /><Relationship Type="http://schemas.openxmlformats.org/officeDocument/2006/relationships/hyperlink" Id="rId25" Target="https://docs.aws.amazon.com/prescriptive-guidance/latest/retrieval-augmented-generation-options/what-is-rag.html" TargetMode="External" /><Relationship Type="http://schemas.openxmlformats.org/officeDocument/2006/relationships/hyperlink" Id="rId26" Target="https://learn.microsoft.com/en-us/azure/ai-foundry/concepts/retrieval-augmented-generation?view=foundry-classic" TargetMode="External" /><Relationship Type="http://schemas.openxmlformats.org/officeDocument/2006/relationships/hyperlink" Id="rId24" Target="https://learn.microsoft.com/en-us/azure/developer/ai/advanced-retrieval-augmented-generation" TargetMode="External" /><Relationship Type="http://schemas.openxmlformats.org/officeDocument/2006/relationships/hyperlink" Id="rId39" Target="https://openreview.net/pdf?id=WE_vluYUL-X" TargetMode="External" /><Relationship Type="http://schemas.openxmlformats.org/officeDocument/2006/relationships/hyperlink" Id="rId22" Target="https://proceedings.neurips.cc/paper/2020/file/6b493230205f780e1bc26945df7481e5-Pape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arxiv.org/abs/2302.04761?utm_source=chatgpt.com" TargetMode="External" /><Relationship Type="http://schemas.openxmlformats.org/officeDocument/2006/relationships/hyperlink" Id="rId35" Target="https://arxiv.org/pdf/2308.11432" TargetMode="External" /><Relationship Type="http://schemas.openxmlformats.org/officeDocument/2006/relationships/hyperlink" Id="rId37" Target="https://arxiv.org/pdf/2402.02716" TargetMode="External" /><Relationship Type="http://schemas.openxmlformats.org/officeDocument/2006/relationships/hyperlink" Id="rId21" Target="https://aws.amazon.com/what-is/retrieval-augmented-generation/" TargetMode="External" /><Relationship Type="http://schemas.openxmlformats.org/officeDocument/2006/relationships/hyperlink" Id="rId25" Target="https://docs.aws.amazon.com/prescriptive-guidance/latest/retrieval-augmented-generation-options/what-is-rag.html" TargetMode="External" /><Relationship Type="http://schemas.openxmlformats.org/officeDocument/2006/relationships/hyperlink" Id="rId26" Target="https://learn.microsoft.com/en-us/azure/ai-foundry/concepts/retrieval-augmented-generation?view=foundry-classic" TargetMode="External" /><Relationship Type="http://schemas.openxmlformats.org/officeDocument/2006/relationships/hyperlink" Id="rId24" Target="https://learn.microsoft.com/en-us/azure/developer/ai/advanced-retrieval-augmented-generation" TargetMode="External" /><Relationship Type="http://schemas.openxmlformats.org/officeDocument/2006/relationships/hyperlink" Id="rId39" Target="https://openreview.net/pdf?id=WE_vluYUL-X" TargetMode="External" /><Relationship Type="http://schemas.openxmlformats.org/officeDocument/2006/relationships/hyperlink" Id="rId22" Target="https://proceedings.neurips.cc/paper/2020/file/6b493230205f780e1bc26945df7481e5-Pape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2026-02-20T22:20:44Z</dcterms:created>
  <dcterms:modified xsi:type="dcterms:W3CDTF">2026-02-20T22:20:44Z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