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3bc98e254f48650d890bf52208d8b394fae803"/>
    <w:p>
      <w:pPr>
        <w:pStyle w:val="Heading1"/>
      </w:pPr>
      <w:r>
        <w:t xml:space="preserve">Architecture – Executive Message Contracts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Executive Message Contracts</w:t>
      </w:r>
      <w:r>
        <w:t xml:space="preserve"> </w:t>
      </w:r>
      <w:r>
        <w:t xml:space="preserve">used by the Cognitive Executive (AEM) to communicate with all major cognitive modules. It is a standalone specification and can be included directly in the master architecture document.</w:t>
      </w:r>
    </w:p>
    <w:p>
      <w:pPr>
        <w:pStyle w:val="BodyText"/>
      </w:pPr>
      <w:r>
        <w:t xml:space="preserve">The goal of this document is to ensure:</w:t>
      </w:r>
      <w:r>
        <w:t xml:space="preserve"> </w:t>
      </w:r>
      <w:r>
        <w:t xml:space="preserve">- Clear boundaries between modules</w:t>
      </w:r>
      <w:r>
        <w:t xml:space="preserve"> </w:t>
      </w:r>
      <w:r>
        <w:t xml:space="preserve">- Deterministic coordination</w:t>
      </w:r>
      <w:r>
        <w:t xml:space="preserve"> </w:t>
      </w:r>
      <w:r>
        <w:t xml:space="preserve">- Replaceability and independent evolution of modules</w:t>
      </w:r>
      <w:r>
        <w:t xml:space="preserve"> </w:t>
      </w:r>
      <w:r>
        <w:t xml:space="preserve">- A direct mapping from architecture → code interfaces</w:t>
      </w:r>
    </w:p>
    <w:p>
      <w:pPr>
        <w:pStyle w:val="BodyText"/>
      </w:pPr>
      <w:r>
        <w:t xml:space="preserve">This document intentionally avoids implementation details while remaining concrete enough to guide coding.</w:t>
      </w:r>
    </w:p>
    <w:p>
      <w:r>
        <w:pict>
          <v:rect style="width:0;height:1.5pt" o:hralign="center" o:hrstd="t" o:hr="t"/>
        </w:pict>
      </w:r>
    </w:p>
    <w:bookmarkEnd w:id="20"/>
    <w:bookmarkStart w:id="25" w:name="design-principles"/>
    <w:p>
      <w:pPr>
        <w:pStyle w:val="Heading2"/>
      </w:pPr>
      <w:r>
        <w:t xml:space="preserve">2. Design Principles</w:t>
      </w:r>
    </w:p>
    <w:bookmarkStart w:id="21" w:name="message-driven-coordination"/>
    <w:p>
      <w:pPr>
        <w:pStyle w:val="Heading3"/>
      </w:pPr>
      <w:r>
        <w:t xml:space="preserve">2.1 Message-Driven Coordination</w:t>
      </w:r>
    </w:p>
    <w:p>
      <w:pPr>
        <w:pStyle w:val="FirstParagraph"/>
      </w:pPr>
      <w:r>
        <w:t xml:space="preserve">All inter-module interaction is performed via</w:t>
      </w:r>
      <w:r>
        <w:t xml:space="preserve"> </w:t>
      </w:r>
      <w:r>
        <w:rPr>
          <w:b/>
          <w:bCs/>
        </w:rPr>
        <w:t xml:space="preserve">explicit messages</w:t>
      </w:r>
      <w:r>
        <w:t xml:space="preserve">, not direct function calls (even if initially implemented as such).</w:t>
      </w:r>
    </w:p>
    <w:bookmarkEnd w:id="21"/>
    <w:bookmarkStart w:id="22" w:name="executive-authority"/>
    <w:p>
      <w:pPr>
        <w:pStyle w:val="Heading3"/>
      </w:pPr>
      <w:r>
        <w:t xml:space="preserve">2.2 Executive Authority</w:t>
      </w:r>
    </w:p>
    <w:p>
      <w:pPr>
        <w:pStyle w:val="FirstParagraph"/>
      </w:pPr>
      <w:r>
        <w:t xml:space="preserve">All messages that result in decisions or actions flow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the AEM or are observed by it.</w:t>
      </w:r>
    </w:p>
    <w:bookmarkEnd w:id="22"/>
    <w:bookmarkStart w:id="23" w:name="structured-typed-payloads"/>
    <w:p>
      <w:pPr>
        <w:pStyle w:val="Heading3"/>
      </w:pPr>
      <w:r>
        <w:t xml:space="preserve">2.3 Structured, Typed Payloads</w:t>
      </w:r>
    </w:p>
    <w:p>
      <w:pPr>
        <w:pStyle w:val="FirstParagraph"/>
      </w:pPr>
      <w:r>
        <w:t xml:space="preserve">Messages must be:</w:t>
      </w:r>
      <w:r>
        <w:t xml:space="preserve"> </w:t>
      </w:r>
      <w:r>
        <w:t xml:space="preserve">- Structured (JSON / dataclass / schema-defined)</w:t>
      </w:r>
      <w:r>
        <w:t xml:space="preserve"> </w:t>
      </w:r>
      <w:r>
        <w:t xml:space="preserve">- Versioned</w:t>
      </w:r>
      <w:r>
        <w:t xml:space="preserve"> </w:t>
      </w:r>
      <w:r>
        <w:t xml:space="preserve">- Explicit about intent and expectations</w:t>
      </w:r>
    </w:p>
    <w:bookmarkEnd w:id="23"/>
    <w:bookmarkStart w:id="24" w:name="forward-compatibility"/>
    <w:p>
      <w:pPr>
        <w:pStyle w:val="Heading3"/>
      </w:pPr>
      <w:r>
        <w:t xml:space="preserve">2.4 Forward Compatibility</w:t>
      </w:r>
    </w:p>
    <w:p>
      <w:pPr>
        <w:pStyle w:val="FirstParagraph"/>
      </w:pPr>
      <w:r>
        <w:t xml:space="preserve">Message contracts must support:</w:t>
      </w:r>
      <w:r>
        <w:t xml:space="preserve"> </w:t>
      </w:r>
      <w:r>
        <w:t xml:space="preserve">- Additional fields without breaking consumers</w:t>
      </w:r>
      <w:r>
        <w:t xml:space="preserve"> </w:t>
      </w:r>
      <w:r>
        <w:t xml:space="preserve">- Partial consumption (unknown fields ignored)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message-envelope-common-to-all-messages"/>
    <w:p>
      <w:pPr>
        <w:pStyle w:val="Heading2"/>
      </w:pPr>
      <w:r>
        <w:t xml:space="preserve">3. Message Envelope (Common to All Messages)</w:t>
      </w:r>
    </w:p>
    <w:p>
      <w:pPr>
        <w:pStyle w:val="FirstParagraph"/>
      </w:pPr>
      <w:r>
        <w:t xml:space="preserve">All messages exchanged with the AEM use a common envelope.</w:t>
      </w:r>
    </w:p>
    <w:bookmarkStart w:id="26" w:name="executivemessage-logical-envelope"/>
    <w:p>
      <w:pPr>
        <w:pStyle w:val="Heading3"/>
      </w:pPr>
      <w:r>
        <w:t xml:space="preserve">3.1 ExecutiveMessage (Logical Envelope)</w:t>
      </w:r>
    </w:p>
    <w:p>
      <w:pPr>
        <w:pStyle w:val="FirstParagraph"/>
      </w:pP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message_id</w:t>
      </w:r>
      <w:r>
        <w:t xml:space="preserve"> </w:t>
      </w:r>
      <w:r>
        <w:t xml:space="preserve">– unique identifier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episode_id</w:t>
      </w:r>
      <w:r>
        <w:t xml:space="preserve"> </w:t>
      </w:r>
      <w:r>
        <w:t xml:space="preserve">– execution episode identifier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source_module</w:t>
      </w:r>
      <w:r>
        <w:t xml:space="preserve"> </w:t>
      </w:r>
      <w:r>
        <w:t xml:space="preserve">– module emitting the message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target_module</w:t>
      </w:r>
      <w:r>
        <w:t xml:space="preserve"> </w:t>
      </w:r>
      <w:r>
        <w:t xml:space="preserve">– intended recipient (often AEM)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message_type</w:t>
      </w:r>
      <w:r>
        <w:t xml:space="preserve"> </w:t>
      </w:r>
      <w:r>
        <w:t xml:space="preserve">– semantic message category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</w:t>
      </w:r>
      <w:r>
        <w:t xml:space="preserve"> </w:t>
      </w:r>
      <w:r>
        <w:t xml:space="preserve">– creation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– normal | high | critical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</w:t>
      </w:r>
      <w:r>
        <w:t xml:space="preserve"> </w:t>
      </w:r>
      <w:r>
        <w:t xml:space="preserve">– message-specific data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– message schema version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core-message-types"/>
    <w:p>
      <w:pPr>
        <w:pStyle w:val="Heading2"/>
      </w:pPr>
      <w:r>
        <w:t xml:space="preserve">4. Core Message Types</w:t>
      </w:r>
    </w:p>
    <w:bookmarkStart w:id="28" w:name="directive-intake-message"/>
    <w:p>
      <w:pPr>
        <w:pStyle w:val="Heading3"/>
      </w:pPr>
      <w:r>
        <w:t xml:space="preserve">4.1 Directive Intake Message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EXEC_DIRECTIVE_RECEIVED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Directive Interface / Perception Layer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directive_text</w:t>
      </w:r>
      <w:r>
        <w:t xml:space="preserve"> </w:t>
      </w:r>
      <w:r>
        <w:t xml:space="preserve">- directive_source (human | system | perception)</w:t>
      </w:r>
      <w:r>
        <w:t xml:space="preserve"> </w:t>
      </w:r>
      <w:r>
        <w:t xml:space="preserve">- metadata (optional)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Signals the AEM to initiate a new episode.</w:t>
      </w:r>
    </w:p>
    <w:p>
      <w:r>
        <w:pict>
          <v:rect style="width:0;height:1.5pt" o:hralign="center" o:hrstd="t" o:hr="t"/>
        </w:pict>
      </w:r>
    </w:p>
    <w:bookmarkEnd w:id="28"/>
    <w:bookmarkStart w:id="29" w:name="intent-result-message"/>
    <w:p>
      <w:pPr>
        <w:pStyle w:val="Heading3"/>
      </w:pPr>
      <w:r>
        <w:t xml:space="preserve">4.2 Intent Result Message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EXEC_INTENT_RESULT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Intent Subsystem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intent_object</w:t>
      </w:r>
      <w:r>
        <w:t xml:space="preserve"> </w:t>
      </w:r>
      <w:r>
        <w:t xml:space="preserve">- confidence_score</w:t>
      </w:r>
      <w:r>
        <w:t xml:space="preserve"> </w:t>
      </w:r>
      <w:r>
        <w:t xml:space="preserve">- clarification_required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structured interpretation of a directive.</w:t>
      </w:r>
    </w:p>
    <w:p>
      <w:r>
        <w:pict>
          <v:rect style="width:0;height:1.5pt" o:hralign="center" o:hrstd="t" o:hr="t"/>
        </w:pict>
      </w:r>
    </w:p>
    <w:bookmarkEnd w:id="29"/>
    <w:bookmarkStart w:id="30" w:name="question-episode-request"/>
    <w:p>
      <w:pPr>
        <w:pStyle w:val="Heading3"/>
      </w:pPr>
      <w:r>
        <w:t xml:space="preserve">4.3 Question Episode Request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EXEC_QUESTION_REQUEST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AEM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context_snapshot</w:t>
      </w:r>
      <w:r>
        <w:t xml:space="preserve"> </w:t>
      </w:r>
      <w:r>
        <w:t xml:space="preserve">- active_objectives</w:t>
      </w:r>
      <w:r>
        <w:t xml:space="preserve"> </w:t>
      </w:r>
      <w:r>
        <w:t xml:space="preserve">- inquiry_budget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Requests the Question Generation Subsystem to initiate an inquiry episode.</w:t>
      </w:r>
    </w:p>
    <w:p>
      <w:r>
        <w:pict>
          <v:rect style="width:0;height:1.5pt" o:hralign="center" o:hrstd="t" o:hr="t"/>
        </w:pict>
      </w:r>
    </w:p>
    <w:bookmarkEnd w:id="30"/>
    <w:bookmarkStart w:id="31" w:name="question-episode-result"/>
    <w:p>
      <w:pPr>
        <w:pStyle w:val="Heading3"/>
      </w:pPr>
      <w:r>
        <w:t xml:space="preserve">4.4 Question Episode Result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EXEC_QUESTION_RESULT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Question Generation Subsystem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questions_asked</w:t>
      </w:r>
      <w:r>
        <w:t xml:space="preserve"> </w:t>
      </w:r>
      <w:r>
        <w:t xml:space="preserve">- answers_received</w:t>
      </w:r>
      <w:r>
        <w:t xml:space="preserve"> </w:t>
      </w:r>
      <w:r>
        <w:t xml:space="preserve">- uncertainty_reduction_estimate</w:t>
      </w:r>
      <w:r>
        <w:t xml:space="preserve"> </w:t>
      </w:r>
      <w:r>
        <w:t xml:space="preserve">- termination_reason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Returns results of questioning to the AEM.</w:t>
      </w:r>
    </w:p>
    <w:p>
      <w:r>
        <w:pict>
          <v:rect style="width:0;height:1.5pt" o:hralign="center" o:hrstd="t" o:hr="t"/>
        </w:pict>
      </w:r>
    </w:p>
    <w:bookmarkEnd w:id="31"/>
    <w:bookmarkStart w:id="32" w:name="planning-request"/>
    <w:p>
      <w:pPr>
        <w:pStyle w:val="Heading3"/>
      </w:pPr>
      <w:r>
        <w:t xml:space="preserve">4.5 Planning Request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EXEC_PLAN_REQUEST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AEM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goals</w:t>
      </w:r>
      <w:r>
        <w:t xml:space="preserve"> </w:t>
      </w:r>
      <w:r>
        <w:t xml:space="preserve">- constraints</w:t>
      </w:r>
      <w:r>
        <w:t xml:space="preserve"> </w:t>
      </w:r>
      <w:r>
        <w:t xml:space="preserve">- context_snapshot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Requests a plan when execution is required.</w:t>
      </w:r>
    </w:p>
    <w:p>
      <w:r>
        <w:pict>
          <v:rect style="width:0;height:1.5pt" o:hralign="center" o:hrstd="t" o:hr="t"/>
        </w:pict>
      </w:r>
    </w:p>
    <w:bookmarkEnd w:id="32"/>
    <w:bookmarkStart w:id="33" w:name="plan-result"/>
    <w:p>
      <w:pPr>
        <w:pStyle w:val="Heading3"/>
      </w:pPr>
      <w:r>
        <w:t xml:space="preserve">4.6 Plan Result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EXEC_PLAN_RESULT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Planner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plan_steps</w:t>
      </w:r>
      <w:r>
        <w:t xml:space="preserve"> </w:t>
      </w:r>
      <w:r>
        <w:t xml:space="preserve">- assumptions</w:t>
      </w:r>
      <w:r>
        <w:t xml:space="preserve"> </w:t>
      </w:r>
      <w:r>
        <w:t xml:space="preserve">- estimated_cost</w:t>
      </w:r>
      <w:r>
        <w:t xml:space="preserve"> </w:t>
      </w:r>
      <w:r>
        <w:t xml:space="preserve">- risk_flags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Returns a proposed plan for executive approval.</w:t>
      </w:r>
    </w:p>
    <w:p>
      <w:r>
        <w:pict>
          <v:rect style="width:0;height:1.5pt" o:hralign="center" o:hrstd="t" o:hr="t"/>
        </w:pict>
      </w:r>
    </w:p>
    <w:bookmarkEnd w:id="33"/>
    <w:bookmarkStart w:id="34" w:name="skill-execution-request"/>
    <w:p>
      <w:pPr>
        <w:pStyle w:val="Heading3"/>
      </w:pPr>
      <w:r>
        <w:t xml:space="preserve">4.7 Skill Execution Request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EXEC_SKILL_REQUEST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AEM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skill_name</w:t>
      </w:r>
      <w:r>
        <w:t xml:space="preserve"> </w:t>
      </w:r>
      <w:r>
        <w:t xml:space="preserve">- arguments</w:t>
      </w:r>
      <w:r>
        <w:t xml:space="preserve"> </w:t>
      </w:r>
      <w:r>
        <w:t xml:space="preserve">- approval_token (optional)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Requests execution of a behavior/skill.</w:t>
      </w:r>
    </w:p>
    <w:p>
      <w:r>
        <w:pict>
          <v:rect style="width:0;height:1.5pt" o:hralign="center" o:hrstd="t" o:hr="t"/>
        </w:pict>
      </w:r>
    </w:p>
    <w:bookmarkEnd w:id="34"/>
    <w:bookmarkStart w:id="35" w:name="skill-execution-result"/>
    <w:p>
      <w:pPr>
        <w:pStyle w:val="Heading3"/>
      </w:pPr>
      <w:r>
        <w:t xml:space="preserve">4.8 Skill Execution Result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EXEC_SKILL_RESULT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Skill Executor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status (success | failure)</w:t>
      </w:r>
      <w:r>
        <w:t xml:space="preserve"> </w:t>
      </w:r>
      <w:r>
        <w:t xml:space="preserve">- artifacts</w:t>
      </w:r>
      <w:r>
        <w:t xml:space="preserve"> </w:t>
      </w:r>
      <w:r>
        <w:t xml:space="preserve">- execution_metrics</w:t>
      </w:r>
      <w:r>
        <w:t xml:space="preserve"> </w:t>
      </w:r>
      <w:r>
        <w:t xml:space="preserve">- error_details (optional)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Reports execution outcome to the AEM.</w:t>
      </w:r>
    </w:p>
    <w:p>
      <w:r>
        <w:pict>
          <v:rect style="width:0;height:1.5pt" o:hralign="center" o:hrstd="t" o:hr="t"/>
        </w:pict>
      </w:r>
    </w:p>
    <w:bookmarkEnd w:id="35"/>
    <w:bookmarkStart w:id="36" w:name="reflection-trigger"/>
    <w:p>
      <w:pPr>
        <w:pStyle w:val="Heading3"/>
      </w:pPr>
      <w:r>
        <w:t xml:space="preserve">4.9 Reflection Trigger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EXEC_REFLECT_REQUEST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AEM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episode_record</w:t>
      </w:r>
      <w:r>
        <w:t xml:space="preserve"> </w:t>
      </w:r>
      <w:r>
        <w:t xml:space="preserve">- reflection_budget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Initiates reflection and self-assessment.</w:t>
      </w:r>
    </w:p>
    <w:p>
      <w:r>
        <w:pict>
          <v:rect style="width:0;height:1.5pt" o:hralign="center" o:hrstd="t" o:hr="t"/>
        </w:pict>
      </w:r>
    </w:p>
    <w:bookmarkEnd w:id="36"/>
    <w:bookmarkStart w:id="37" w:name="reflection-result"/>
    <w:p>
      <w:pPr>
        <w:pStyle w:val="Heading3"/>
      </w:pPr>
      <w:r>
        <w:t xml:space="preserve">4.10 Reflection Result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EXEC_REFLECT_RESULT</w:t>
      </w:r>
    </w:p>
    <w:p>
      <w:pPr>
        <w:pStyle w:val="BodyText"/>
      </w:pPr>
      <w:r>
        <w:rPr>
          <w:b/>
          <w:bCs/>
        </w:rPr>
        <w:t xml:space="preserve">Emitted by:</w:t>
      </w:r>
      <w:r>
        <w:t xml:space="preserve"> </w:t>
      </w:r>
      <w:r>
        <w:t xml:space="preserve">Reflection Layer</w:t>
      </w:r>
    </w:p>
    <w:p>
      <w:pPr>
        <w:pStyle w:val="BodyText"/>
      </w:pPr>
      <w:r>
        <w:rPr>
          <w:b/>
          <w:bCs/>
        </w:rPr>
        <w:t xml:space="preserve">Payload Fields:</w:t>
      </w:r>
      <w:r>
        <w:t xml:space="preserve"> </w:t>
      </w:r>
      <w:r>
        <w:t xml:space="preserve">- outcome_assessment</w:t>
      </w:r>
      <w:r>
        <w:t xml:space="preserve"> </w:t>
      </w:r>
      <w:r>
        <w:t xml:space="preserve">- self_talk_summary</w:t>
      </w:r>
      <w:r>
        <w:t xml:space="preserve"> </w:t>
      </w:r>
      <w:r>
        <w:t xml:space="preserve">- learning_signals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Returns reflection outputs for executive consideration.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essage-flow-summary"/>
    <w:p>
      <w:pPr>
        <w:pStyle w:val="Heading2"/>
      </w:pPr>
      <w:r>
        <w:t xml:space="preserve">5. Message Flow Summary</w:t>
      </w:r>
    </w:p>
    <w:p>
      <w:pPr>
        <w:pStyle w:val="FirstParagraph"/>
      </w:pPr>
      <w:r>
        <w:t xml:space="preserve">Typical episode flow:</w:t>
      </w:r>
    </w:p>
    <w:p>
      <w:pPr>
        <w:pStyle w:val="Compact"/>
        <w:numPr>
          <w:ilvl w:val="0"/>
          <w:numId w:val="1001"/>
        </w:numPr>
      </w:pPr>
      <w:r>
        <w:t xml:space="preserve">EXEC_DIRECTIVE_RECEIVED</w:t>
      </w:r>
    </w:p>
    <w:p>
      <w:pPr>
        <w:pStyle w:val="Compact"/>
        <w:numPr>
          <w:ilvl w:val="0"/>
          <w:numId w:val="1001"/>
        </w:numPr>
      </w:pPr>
      <w:r>
        <w:t xml:space="preserve">EXEC_INTENT_RESULT</w:t>
      </w:r>
    </w:p>
    <w:p>
      <w:pPr>
        <w:pStyle w:val="Compact"/>
        <w:numPr>
          <w:ilvl w:val="0"/>
          <w:numId w:val="1001"/>
        </w:numPr>
      </w:pPr>
      <w:r>
        <w:t xml:space="preserve">(Optional) EXEC_QUESTION_REQUEST</w:t>
      </w:r>
    </w:p>
    <w:p>
      <w:pPr>
        <w:pStyle w:val="Compact"/>
        <w:numPr>
          <w:ilvl w:val="0"/>
          <w:numId w:val="1001"/>
        </w:numPr>
      </w:pPr>
      <w:r>
        <w:t xml:space="preserve">(Optional) EXEC_QUESTION_RESULT</w:t>
      </w:r>
    </w:p>
    <w:p>
      <w:pPr>
        <w:pStyle w:val="Compact"/>
        <w:numPr>
          <w:ilvl w:val="0"/>
          <w:numId w:val="1001"/>
        </w:numPr>
      </w:pPr>
      <w:r>
        <w:t xml:space="preserve">(Optional) EXEC_PLAN_REQUEST</w:t>
      </w:r>
    </w:p>
    <w:p>
      <w:pPr>
        <w:pStyle w:val="Compact"/>
        <w:numPr>
          <w:ilvl w:val="0"/>
          <w:numId w:val="1001"/>
        </w:numPr>
      </w:pPr>
      <w:r>
        <w:t xml:space="preserve">(Optional) EXEC_PLAN_RESULT</w:t>
      </w:r>
    </w:p>
    <w:p>
      <w:pPr>
        <w:pStyle w:val="Compact"/>
        <w:numPr>
          <w:ilvl w:val="0"/>
          <w:numId w:val="1001"/>
        </w:numPr>
      </w:pPr>
      <w:r>
        <w:t xml:space="preserve">(Optional) EXEC_SKILL_REQUEST</w:t>
      </w:r>
    </w:p>
    <w:p>
      <w:pPr>
        <w:pStyle w:val="Compact"/>
        <w:numPr>
          <w:ilvl w:val="0"/>
          <w:numId w:val="1001"/>
        </w:numPr>
      </w:pPr>
      <w:r>
        <w:t xml:space="preserve">(Optional) EXEC_SKILL_RESULT</w:t>
      </w:r>
    </w:p>
    <w:p>
      <w:pPr>
        <w:pStyle w:val="Compact"/>
        <w:numPr>
          <w:ilvl w:val="0"/>
          <w:numId w:val="1001"/>
        </w:numPr>
      </w:pPr>
      <w:r>
        <w:t xml:space="preserve">EXEC_REFLECT_REQUEST</w:t>
      </w:r>
    </w:p>
    <w:p>
      <w:pPr>
        <w:pStyle w:val="Compact"/>
        <w:numPr>
          <w:ilvl w:val="0"/>
          <w:numId w:val="1001"/>
        </w:numPr>
      </w:pPr>
      <w:r>
        <w:t xml:space="preserve">EXEC_REFLECT_RESULT</w:t>
      </w:r>
    </w:p>
    <w:p>
      <w:pPr>
        <w:pStyle w:val="FirstParagraph"/>
      </w:pPr>
      <w:r>
        <w:t xml:space="preserve">The AEM may skip or repeat steps based on context and objectives.</w:t>
      </w:r>
    </w:p>
    <w:p>
      <w:r>
        <w:pict>
          <v:rect style="width:0;height:1.5pt" o:hralign="center" o:hrstd="t" o:hr="t"/>
        </w:pict>
      </w:r>
    </w:p>
    <w:bookmarkEnd w:id="39"/>
    <w:bookmarkStart w:id="42" w:name="error-and-escalation-messages"/>
    <w:p>
      <w:pPr>
        <w:pStyle w:val="Heading2"/>
      </w:pPr>
      <w:r>
        <w:t xml:space="preserve">6. Error and Escalation Messages</w:t>
      </w:r>
    </w:p>
    <w:bookmarkStart w:id="40" w:name="execution-error"/>
    <w:p>
      <w:pPr>
        <w:pStyle w:val="Heading3"/>
      </w:pPr>
      <w:r>
        <w:t xml:space="preserve">6.1 Execution Error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EXEC_ERROR</w:t>
      </w:r>
    </w:p>
    <w:p>
      <w:pPr>
        <w:pStyle w:val="BodyText"/>
      </w:pPr>
      <w:r>
        <w:t xml:space="preserve">Payload:</w:t>
      </w:r>
      <w:r>
        <w:t xml:space="preserve"> </w:t>
      </w:r>
      <w:r>
        <w:t xml:space="preserve">- error_code</w:t>
      </w:r>
      <w:r>
        <w:t xml:space="preserve"> </w:t>
      </w:r>
      <w:r>
        <w:t xml:space="preserve">- error_description</w:t>
      </w:r>
      <w:r>
        <w:t xml:space="preserve"> </w:t>
      </w:r>
      <w:r>
        <w:t xml:space="preserve">- severity</w:t>
      </w:r>
    </w:p>
    <w:bookmarkEnd w:id="40"/>
    <w:bookmarkStart w:id="41" w:name="escalation-required"/>
    <w:p>
      <w:pPr>
        <w:pStyle w:val="Heading3"/>
      </w:pPr>
      <w:r>
        <w:t xml:space="preserve">6.2 Escalation Required</w:t>
      </w:r>
    </w:p>
    <w:p>
      <w:pPr>
        <w:pStyle w:val="FirstParagraph"/>
      </w:pPr>
      <w:r>
        <w:rPr>
          <w:b/>
          <w:bCs/>
        </w:rPr>
        <w:t xml:space="preserve">Message Type:</w:t>
      </w:r>
      <w:r>
        <w:t xml:space="preserve"> </w:t>
      </w:r>
      <w:r>
        <w:rPr>
          <w:rStyle w:val="VerbatimChar"/>
        </w:rPr>
        <w:t xml:space="preserve">EXEC_ESCALATION</w:t>
      </w:r>
    </w:p>
    <w:p>
      <w:pPr>
        <w:pStyle w:val="BodyText"/>
      </w:pPr>
      <w:r>
        <w:t xml:space="preserve">Payload:</w:t>
      </w:r>
      <w:r>
        <w:t xml:space="preserve"> </w:t>
      </w:r>
      <w:r>
        <w:t xml:space="preserve">- reason</w:t>
      </w:r>
      <w:r>
        <w:t xml:space="preserve"> </w:t>
      </w:r>
      <w:r>
        <w:t xml:space="preserve">- required_action (human_review | abort | retry)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ersioning-and-evolution"/>
    <w:p>
      <w:pPr>
        <w:pStyle w:val="Heading2"/>
      </w:pPr>
      <w:r>
        <w:t xml:space="preserve">7. Versioning and Evolution</w:t>
      </w:r>
    </w:p>
    <w:p>
      <w:pPr>
        <w:pStyle w:val="Compact"/>
        <w:numPr>
          <w:ilvl w:val="0"/>
          <w:numId w:val="1002"/>
        </w:numPr>
      </w:pPr>
      <w:r>
        <w:t xml:space="preserve">Each message type includes a schema version</w:t>
      </w:r>
    </w:p>
    <w:p>
      <w:pPr>
        <w:pStyle w:val="Compact"/>
        <w:numPr>
          <w:ilvl w:val="0"/>
          <w:numId w:val="1002"/>
        </w:numPr>
      </w:pPr>
      <w:r>
        <w:t xml:space="preserve">New fields must be backward-compatible</w:t>
      </w:r>
    </w:p>
    <w:p>
      <w:pPr>
        <w:pStyle w:val="Compact"/>
        <w:numPr>
          <w:ilvl w:val="0"/>
          <w:numId w:val="1002"/>
        </w:numPr>
      </w:pPr>
      <w:r>
        <w:t xml:space="preserve">Deprecated fields must be supported for at least one major version</w:t>
      </w:r>
    </w:p>
    <w:p>
      <w:r>
        <w:pict>
          <v:rect style="width:0;height:1.5pt" o:hralign="center" o:hrstd="t" o:hr="t"/>
        </w:pict>
      </w:r>
    </w:p>
    <w:bookmarkEnd w:id="43"/>
    <w:bookmarkStart w:id="44" w:name="mapping-to-code"/>
    <w:p>
      <w:pPr>
        <w:pStyle w:val="Heading2"/>
      </w:pPr>
      <w:r>
        <w:t xml:space="preserve">8. Mapping to Code</w:t>
      </w:r>
    </w:p>
    <w:p>
      <w:pPr>
        <w:pStyle w:val="FirstParagraph"/>
      </w:pPr>
      <w:r>
        <w:t xml:space="preserve">This message contract layer maps cleanly to:</w:t>
      </w:r>
      <w:r>
        <w:t xml:space="preserve"> </w:t>
      </w:r>
      <w:r>
        <w:t xml:space="preserve">- Python dataclasses</w:t>
      </w:r>
      <w:r>
        <w:t xml:space="preserve"> </w:t>
      </w:r>
      <w:r>
        <w:t xml:space="preserve">- Typed dictionaries</w:t>
      </w:r>
      <w:r>
        <w:t xml:space="preserve"> </w:t>
      </w:r>
      <w:r>
        <w:t xml:space="preserve">- JSON schemas</w:t>
      </w:r>
      <w:r>
        <w:t xml:space="preserve"> </w:t>
      </w:r>
      <w:r>
        <w:t xml:space="preserve">- ZeroMQ or async queue messages</w:t>
      </w:r>
    </w:p>
    <w:p>
      <w:pPr>
        <w:pStyle w:val="BodyText"/>
      </w:pPr>
      <w:r>
        <w:t xml:space="preserve">The contracts defined here are intended to become the</w:t>
      </w:r>
      <w:r>
        <w:t xml:space="preserve"> </w:t>
      </w:r>
      <w:r>
        <w:rPr>
          <w:b/>
          <w:bCs/>
        </w:rPr>
        <w:t xml:space="preserve">canonical API</w:t>
      </w:r>
      <w:r>
        <w:t xml:space="preserve"> </w:t>
      </w:r>
      <w:r>
        <w:t xml:space="preserve">between modules.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Executive Message Contracts provide the connective tissue of the architecture. They allow modules to remain autonomous while enabling the Cognitive Executive to coordinate, govern, and audit all system behavior.</w:t>
      </w:r>
    </w:p>
    <w:p>
      <w:pPr>
        <w:pStyle w:val="BodyText"/>
      </w:pPr>
      <w:r>
        <w:t xml:space="preserve">These contracts are the final architectural prerequisite before beginning serious implementation of the Reflection and Questioning subsystems.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2026-02-02T15:53:44Z</dcterms:created>
  <dcterms:modified xsi:type="dcterms:W3CDTF">2026-02-02T15:53:44Z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