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ntent-object-schema"/>
    <w:p>
      <w:pPr>
        <w:pStyle w:val="Heading1"/>
      </w:pPr>
      <w:r>
        <w:t xml:space="preserve">Intent Object Schema</w:t>
      </w:r>
    </w:p>
    <w:bookmarkStart w:id="20" w:name="purpose-and-role"/>
    <w:p>
      <w:pPr>
        <w:pStyle w:val="Heading2"/>
      </w:pPr>
      <w:r>
        <w:t xml:space="preserve">1. Purpose and Role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Intent Object</w:t>
      </w:r>
      <w:r>
        <w:t xml:space="preserve"> </w:t>
      </w:r>
      <w:r>
        <w:t xml:space="preserve">is the structured representation produced by the Intent Extraction process. It serves as the formal contract between semantic understanding (NLP / LLM-based interpretation) and deterministic system control (routing, planning, execution).</w:t>
      </w:r>
    </w:p>
    <w:p>
      <w:pPr>
        <w:pStyle w:val="BodyText"/>
      </w:pPr>
      <w:r>
        <w:t xml:space="preserve">This object allows the system to reason about a directive without reinterpreting natural language and enables auditable, testable, and extensible behavior.</w:t>
      </w:r>
    </w:p>
    <w:p>
      <w:pPr>
        <w:pStyle w:val="BodyText"/>
      </w:pPr>
      <w:r>
        <w:t xml:space="preserve">The Intent Object is deliberately designed to be:</w:t>
      </w:r>
      <w:r>
        <w:t xml:space="preserve"> </w:t>
      </w:r>
      <w:r>
        <w:t xml:space="preserve">- Explicit and machine-readable</w:t>
      </w:r>
      <w:r>
        <w:t xml:space="preserve"> </w:t>
      </w:r>
      <w:r>
        <w:t xml:space="preserve">- Stable across execution paths</w:t>
      </w:r>
      <w:r>
        <w:t xml:space="preserve"> </w:t>
      </w:r>
      <w:r>
        <w:t xml:space="preserve">- Independent of the underlying NLP or LLM implementation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inciples"/>
    <w:p>
      <w:pPr>
        <w:pStyle w:val="Heading2"/>
      </w:pPr>
      <w:r>
        <w:t xml:space="preserve">2. Design Principles</w:t>
      </w:r>
    </w:p>
    <w:p>
      <w:pPr>
        <w:pStyle w:val="FirstParagraph"/>
      </w:pPr>
      <w:r>
        <w:t xml:space="preserve">The Intent Object schema follows these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– semantic interpretation is isolated from execution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</w:t>
      </w:r>
      <w:r>
        <w:t xml:space="preserve"> </w:t>
      </w:r>
      <w:r>
        <w:t xml:space="preserve">– downstream modules operate on structured fields, not 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Extensibility</w:t>
      </w:r>
      <w:r>
        <w:t xml:space="preserve"> </w:t>
      </w:r>
      <w:r>
        <w:t xml:space="preserve">– new fields can be added without breaking existing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Auditability</w:t>
      </w:r>
      <w:r>
        <w:t xml:space="preserve"> </w:t>
      </w:r>
      <w:r>
        <w:t xml:space="preserve">– every execution decision can be traced back to intent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 neutrality</w:t>
      </w:r>
      <w:r>
        <w:t xml:space="preserve"> </w:t>
      </w:r>
      <w:r>
        <w:t xml:space="preserve">– the schema does not assume a specific LLM or classifier</w:t>
      </w:r>
    </w:p>
    <w:p>
      <w:r>
        <w:pict>
          <v:rect style="width:0;height:1.5pt" o:hralign="center" o:hrstd="t" o:hr="t"/>
        </w:pict>
      </w:r>
    </w:p>
    <w:bookmarkEnd w:id="21"/>
    <w:bookmarkStart w:id="30" w:name="core-intent-object-fields"/>
    <w:p>
      <w:pPr>
        <w:pStyle w:val="Heading2"/>
      </w:pPr>
      <w:r>
        <w:t xml:space="preserve">3. Core Intent Object Fields</w:t>
      </w:r>
    </w:p>
    <w:p>
      <w:pPr>
        <w:pStyle w:val="FirstParagraph"/>
      </w:pPr>
      <w:r>
        <w:t xml:space="preserve">The following fields constitute the minimum required schema.</w:t>
      </w:r>
    </w:p>
    <w:bookmarkStart w:id="22" w:name="intent_id"/>
    <w:p>
      <w:pPr>
        <w:pStyle w:val="Heading3"/>
      </w:pPr>
      <w:r>
        <w:t xml:space="preserve">3.1 intent_id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String (UUID or equivalent)</w:t>
      </w:r>
    </w:p>
    <w:p>
      <w:pPr>
        <w:pStyle w:val="BodyText"/>
      </w:pPr>
      <w:r>
        <w:t xml:space="preserve">A unique identifier assigned to the intent instance. This ID enables tracking across routing, planning, execution, and logging subsystems.</w:t>
      </w:r>
    </w:p>
    <w:p>
      <w:r>
        <w:pict>
          <v:rect style="width:0;height:1.5pt" o:hralign="center" o:hrstd="t" o:hr="t"/>
        </w:pict>
      </w:r>
    </w:p>
    <w:bookmarkEnd w:id="22"/>
    <w:bookmarkStart w:id="23" w:name="directive_source"/>
    <w:p>
      <w:pPr>
        <w:pStyle w:val="Heading3"/>
      </w:pPr>
      <w:r>
        <w:t xml:space="preserve">3.2 directive_source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Enum</w:t>
      </w:r>
    </w:p>
    <w:p>
      <w:pPr>
        <w:pStyle w:val="BodyText"/>
      </w:pPr>
      <w:r>
        <w:t xml:space="preserve">Identifies the origin of the directive.</w:t>
      </w:r>
    </w:p>
    <w:p>
      <w:pPr>
        <w:pStyle w:val="BodyText"/>
      </w:pPr>
      <w:r>
        <w:t xml:space="preserve">Allowed values:</w:t>
      </w:r>
      <w:r>
        <w:t xml:space="preserve"> </w:t>
      </w:r>
      <w:r>
        <w:t xml:space="preserve">- human</w:t>
      </w:r>
      <w:r>
        <w:t xml:space="preserve"> </w:t>
      </w:r>
      <w:r>
        <w:t xml:space="preserve">- perception</w:t>
      </w:r>
      <w:r>
        <w:t xml:space="preserve"> </w:t>
      </w:r>
      <w:r>
        <w:t xml:space="preserve">- internal</w:t>
      </w:r>
    </w:p>
    <w:p>
      <w:pPr>
        <w:pStyle w:val="BodyText"/>
      </w:pPr>
      <w:r>
        <w:t xml:space="preserve">This field does not determine execution strategy but provides context for policy decisions and auditing.</w:t>
      </w:r>
    </w:p>
    <w:p>
      <w:r>
        <w:pict>
          <v:rect style="width:0;height:1.5pt" o:hralign="center" o:hrstd="t" o:hr="t"/>
        </w:pict>
      </w:r>
    </w:p>
    <w:bookmarkEnd w:id="23"/>
    <w:bookmarkStart w:id="24" w:name="directive_type"/>
    <w:p>
      <w:pPr>
        <w:pStyle w:val="Heading3"/>
      </w:pPr>
      <w:r>
        <w:t xml:space="preserve">3.3 directive_type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Enum</w:t>
      </w:r>
    </w:p>
    <w:p>
      <w:pPr>
        <w:pStyle w:val="BodyText"/>
      </w:pPr>
      <w:r>
        <w:t xml:space="preserve">Classifies the semantic intent of the directive.</w:t>
      </w:r>
    </w:p>
    <w:p>
      <w:pPr>
        <w:pStyle w:val="BodyText"/>
      </w:pPr>
      <w:r>
        <w:t xml:space="preserve">Initial allowed values:</w:t>
      </w:r>
      <w:r>
        <w:t xml:space="preserve"> </w:t>
      </w:r>
      <w:r>
        <w:t xml:space="preserve">- cognitive</w:t>
      </w:r>
      <w:r>
        <w:t xml:space="preserve"> </w:t>
      </w:r>
      <w:r>
        <w:t xml:space="preserve">- analytical</w:t>
      </w:r>
      <w:r>
        <w:t xml:space="preserve"> </w:t>
      </w:r>
      <w:r>
        <w:t xml:space="preserve">- goal_oriented</w:t>
      </w:r>
      <w:r>
        <w:t xml:space="preserve"> </w:t>
      </w:r>
      <w:r>
        <w:t xml:space="preserve">- behavioral</w:t>
      </w:r>
      <w:r>
        <w:t xml:space="preserve"> </w:t>
      </w:r>
      <w:r>
        <w:t xml:space="preserve">- supervisory</w:t>
      </w:r>
    </w:p>
    <w:p>
      <w:pPr>
        <w:pStyle w:val="BodyText"/>
      </w:pPr>
      <w:r>
        <w:t xml:space="preserve">This field is the primary driver for routing decisions.</w:t>
      </w:r>
    </w:p>
    <w:p>
      <w:r>
        <w:pict>
          <v:rect style="width:0;height:1.5pt" o:hralign="center" o:hrstd="t" o:hr="t"/>
        </w:pict>
      </w:r>
    </w:p>
    <w:bookmarkEnd w:id="24"/>
    <w:bookmarkStart w:id="25" w:name="planning_required"/>
    <w:p>
      <w:pPr>
        <w:pStyle w:val="Heading3"/>
      </w:pPr>
      <w:r>
        <w:t xml:space="preserve">3.4 planning_required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Boolean</w:t>
      </w:r>
    </w:p>
    <w:p>
      <w:pPr>
        <w:pStyle w:val="BodyText"/>
      </w:pPr>
      <w:r>
        <w:t xml:space="preserve">Indicates whether the directive requires planning, task decomposition, or coordinated execution.</w:t>
      </w:r>
    </w:p>
    <w:p>
      <w:pPr>
        <w:pStyle w:val="BodyText"/>
      </w:pPr>
      <w:r>
        <w:t xml:space="preserve">This field acts as a first-level gate before invoking the planner.</w:t>
      </w:r>
    </w:p>
    <w:p>
      <w:r>
        <w:pict>
          <v:rect style="width:0;height:1.5pt" o:hralign="center" o:hrstd="t" o:hr="t"/>
        </w:pict>
      </w:r>
    </w:p>
    <w:bookmarkEnd w:id="25"/>
    <w:bookmarkStart w:id="26" w:name="urgency_level"/>
    <w:p>
      <w:pPr>
        <w:pStyle w:val="Heading3"/>
      </w:pPr>
      <w:r>
        <w:t xml:space="preserve">3.5 urgency_level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Enum</w:t>
      </w:r>
    </w:p>
    <w:p>
      <w:pPr>
        <w:pStyle w:val="BodyText"/>
      </w:pPr>
      <w:r>
        <w:t xml:space="preserve">Represents time sensitivity.</w:t>
      </w:r>
    </w:p>
    <w:p>
      <w:pPr>
        <w:pStyle w:val="BodyText"/>
      </w:pPr>
      <w:r>
        <w:t xml:space="preserve">Allowed values:</w:t>
      </w:r>
      <w:r>
        <w:t xml:space="preserve"> </w:t>
      </w:r>
      <w:r>
        <w:t xml:space="preserve">- low</w:t>
      </w:r>
      <w:r>
        <w:t xml:space="preserve"> </w:t>
      </w:r>
      <w:r>
        <w:t xml:space="preserve">- normal</w:t>
      </w:r>
      <w:r>
        <w:t xml:space="preserve"> </w:t>
      </w:r>
      <w:r>
        <w:t xml:space="preserve">- high</w:t>
      </w:r>
      <w:r>
        <w:t xml:space="preserve"> </w:t>
      </w:r>
      <w:r>
        <w:t xml:space="preserve">- critical</w:t>
      </w:r>
    </w:p>
    <w:p>
      <w:pPr>
        <w:pStyle w:val="BodyText"/>
      </w:pPr>
      <w:r>
        <w:t xml:space="preserve">Urgency influences scheduling, prioritization, and potential preemption of other work.</w:t>
      </w:r>
    </w:p>
    <w:p>
      <w:r>
        <w:pict>
          <v:rect style="width:0;height:1.5pt" o:hralign="center" o:hrstd="t" o:hr="t"/>
        </w:pict>
      </w:r>
    </w:p>
    <w:bookmarkEnd w:id="26"/>
    <w:bookmarkStart w:id="27" w:name="risk_level"/>
    <w:p>
      <w:pPr>
        <w:pStyle w:val="Heading3"/>
      </w:pPr>
      <w:r>
        <w:t xml:space="preserve">3.6 risk_level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Enum</w:t>
      </w:r>
    </w:p>
    <w:p>
      <w:pPr>
        <w:pStyle w:val="BodyText"/>
      </w:pPr>
      <w:r>
        <w:t xml:space="preserve">Represents potential negative impact of incorrect or delayed execution.</w:t>
      </w:r>
    </w:p>
    <w:p>
      <w:pPr>
        <w:pStyle w:val="BodyText"/>
      </w:pPr>
      <w:r>
        <w:t xml:space="preserve">Allowed values:</w:t>
      </w:r>
      <w:r>
        <w:t xml:space="preserve"> </w:t>
      </w:r>
      <w:r>
        <w:t xml:space="preserve">- none</w:t>
      </w:r>
      <w:r>
        <w:t xml:space="preserve"> </w:t>
      </w:r>
      <w:r>
        <w:t xml:space="preserve">- low</w:t>
      </w:r>
      <w:r>
        <w:t xml:space="preserve"> </w:t>
      </w:r>
      <w:r>
        <w:t xml:space="preserve">- moderate</w:t>
      </w:r>
      <w:r>
        <w:t xml:space="preserve"> </w:t>
      </w:r>
      <w:r>
        <w:t xml:space="preserve">- high</w:t>
      </w:r>
    </w:p>
    <w:p>
      <w:pPr>
        <w:pStyle w:val="BodyText"/>
      </w:pPr>
      <w:r>
        <w:t xml:space="preserve">Risk level may trigger safeguards, human confirmation, or conservative execution policies.</w:t>
      </w:r>
    </w:p>
    <w:p>
      <w:r>
        <w:pict>
          <v:rect style="width:0;height:1.5pt" o:hralign="center" o:hrstd="t" o:hr="t"/>
        </w:pict>
      </w:r>
    </w:p>
    <w:bookmarkEnd w:id="27"/>
    <w:bookmarkStart w:id="28" w:name="expected_response_type"/>
    <w:p>
      <w:pPr>
        <w:pStyle w:val="Heading3"/>
      </w:pPr>
      <w:r>
        <w:t xml:space="preserve">3.7 expected_response_type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Enum</w:t>
      </w:r>
    </w:p>
    <w:p>
      <w:pPr>
        <w:pStyle w:val="BodyText"/>
      </w:pPr>
      <w:r>
        <w:t xml:space="preserve">Defines the form of the expected output.</w:t>
      </w:r>
    </w:p>
    <w:p>
      <w:pPr>
        <w:pStyle w:val="BodyText"/>
      </w:pPr>
      <w:r>
        <w:t xml:space="preserve">Allowed values:</w:t>
      </w:r>
      <w:r>
        <w:t xml:space="preserve"> </w:t>
      </w:r>
      <w:r>
        <w:t xml:space="preserve">- textual_response</w:t>
      </w:r>
      <w:r>
        <w:t xml:space="preserve"> </w:t>
      </w:r>
      <w:r>
        <w:t xml:space="preserve">- structured_data</w:t>
      </w:r>
      <w:r>
        <w:t xml:space="preserve"> </w:t>
      </w:r>
      <w:r>
        <w:t xml:space="preserve">- plan</w:t>
      </w:r>
      <w:r>
        <w:t xml:space="preserve"> </w:t>
      </w:r>
      <w:r>
        <w:t xml:space="preserve">- action</w:t>
      </w:r>
      <w:r>
        <w:t xml:space="preserve"> </w:t>
      </w:r>
      <w:r>
        <w:t xml:space="preserve">- monitoring_process</w:t>
      </w:r>
    </w:p>
    <w:p>
      <w:pPr>
        <w:pStyle w:val="BodyText"/>
      </w:pPr>
      <w:r>
        <w:t xml:space="preserve">This field helps downstream modules prepare appropriate response handling.</w:t>
      </w:r>
    </w:p>
    <w:p>
      <w:r>
        <w:pict>
          <v:rect style="width:0;height:1.5pt" o:hralign="center" o:hrstd="t" o:hr="t"/>
        </w:pict>
      </w:r>
    </w:p>
    <w:bookmarkEnd w:id="28"/>
    <w:bookmarkStart w:id="29" w:name="confidence_score"/>
    <w:p>
      <w:pPr>
        <w:pStyle w:val="Heading3"/>
      </w:pPr>
      <w:r>
        <w:t xml:space="preserve">3.8 confidence_score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Float (0.0 – 1.0)</w:t>
      </w:r>
    </w:p>
    <w:p>
      <w:pPr>
        <w:pStyle w:val="BodyText"/>
      </w:pPr>
      <w:r>
        <w:t xml:space="preserve">Represents the confidence of the intent extraction process.</w:t>
      </w:r>
    </w:p>
    <w:p>
      <w:pPr>
        <w:pStyle w:val="BodyText"/>
      </w:pPr>
      <w:r>
        <w:t xml:space="preserve">Low confidence scores may trigger secondary validation, fallback rules, or clarification requests.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optional-and-extended-fields"/>
    <w:p>
      <w:pPr>
        <w:pStyle w:val="Heading2"/>
      </w:pPr>
      <w:r>
        <w:t xml:space="preserve">4. Optional and Extended Fields</w:t>
      </w:r>
    </w:p>
    <w:p>
      <w:pPr>
        <w:pStyle w:val="FirstParagraph"/>
      </w:pPr>
      <w:r>
        <w:t xml:space="preserve">The following fields are optional but recommended for advanced control and future expansion.</w:t>
      </w:r>
    </w:p>
    <w:bookmarkStart w:id="31" w:name="domain_context"/>
    <w:p>
      <w:pPr>
        <w:pStyle w:val="Heading3"/>
      </w:pPr>
      <w:r>
        <w:t xml:space="preserve">4.1 domain_context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String or Enum</w:t>
      </w:r>
    </w:p>
    <w:p>
      <w:pPr>
        <w:pStyle w:val="BodyText"/>
      </w:pPr>
      <w:r>
        <w:t xml:space="preserve">Specifies the functional domain relevant to the directive (e.g., software_architecture, manufacturing, robotics, research).</w:t>
      </w:r>
    </w:p>
    <w:p>
      <w:r>
        <w:pict>
          <v:rect style="width:0;height:1.5pt" o:hralign="center" o:hrstd="t" o:hr="t"/>
        </w:pict>
      </w:r>
    </w:p>
    <w:bookmarkEnd w:id="31"/>
    <w:bookmarkStart w:id="32" w:name="suggested_modules"/>
    <w:p>
      <w:pPr>
        <w:pStyle w:val="Heading3"/>
      </w:pPr>
      <w:r>
        <w:t xml:space="preserve">4.2 suggested_modules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List of Strings</w:t>
      </w:r>
    </w:p>
    <w:p>
      <w:pPr>
        <w:pStyle w:val="BodyText"/>
      </w:pPr>
      <w:r>
        <w:t xml:space="preserve">Identifies candidate modules likely to be involved in execution or response.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nlp</w:t>
      </w:r>
      <w:r>
        <w:t xml:space="preserve"> </w:t>
      </w:r>
      <w:r>
        <w:t xml:space="preserve">- planner</w:t>
      </w:r>
      <w:r>
        <w:t xml:space="preserve"> </w:t>
      </w:r>
      <w:r>
        <w:t xml:space="preserve">- perception</w:t>
      </w:r>
      <w:r>
        <w:t xml:space="preserve"> </w:t>
      </w:r>
      <w:r>
        <w:t xml:space="preserve">- actuator_control</w:t>
      </w:r>
      <w:r>
        <w:t xml:space="preserve"> </w:t>
      </w:r>
      <w:r>
        <w:t xml:space="preserve">- knowledge_store</w:t>
      </w:r>
    </w:p>
    <w:p>
      <w:r>
        <w:pict>
          <v:rect style="width:0;height:1.5pt" o:hralign="center" o:hrstd="t" o:hr="t"/>
        </w:pict>
      </w:r>
    </w:p>
    <w:bookmarkEnd w:id="32"/>
    <w:bookmarkStart w:id="33" w:name="execution_constraints"/>
    <w:p>
      <w:pPr>
        <w:pStyle w:val="Heading3"/>
      </w:pPr>
      <w:r>
        <w:t xml:space="preserve">4.3 execution_constraints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Object</w:t>
      </w:r>
    </w:p>
    <w:p>
      <w:pPr>
        <w:pStyle w:val="BodyText"/>
      </w:pPr>
      <w:r>
        <w:t xml:space="preserve">Captures any constraints inferred from the directive.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time limits</w:t>
      </w:r>
      <w:r>
        <w:t xml:space="preserve"> </w:t>
      </w:r>
      <w:r>
        <w:t xml:space="preserve">- resource limits</w:t>
      </w:r>
      <w:r>
        <w:t xml:space="preserve"> </w:t>
      </w:r>
      <w:r>
        <w:t xml:space="preserve">- safety restrictions</w:t>
      </w:r>
    </w:p>
    <w:p>
      <w:r>
        <w:pict>
          <v:rect style="width:0;height:1.5pt" o:hralign="center" o:hrstd="t" o:hr="t"/>
        </w:pict>
      </w:r>
    </w:p>
    <w:bookmarkEnd w:id="33"/>
    <w:bookmarkStart w:id="34" w:name="clarification_required"/>
    <w:p>
      <w:pPr>
        <w:pStyle w:val="Heading3"/>
      </w:pPr>
      <w:r>
        <w:t xml:space="preserve">4.4 clarification_required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Boolean</w:t>
      </w:r>
    </w:p>
    <w:p>
      <w:pPr>
        <w:pStyle w:val="BodyText"/>
      </w:pPr>
      <w:r>
        <w:t xml:space="preserve">Indicates whether the directive is underspecified or ambiguous.</w:t>
      </w:r>
    </w:p>
    <w:p>
      <w:pPr>
        <w:pStyle w:val="BodyText"/>
      </w:pPr>
      <w:r>
        <w:t xml:space="preserve">When true, execution should pause pending additional input.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ample-intent-object-illustrative"/>
    <w:p>
      <w:pPr>
        <w:pStyle w:val="Heading2"/>
      </w:pPr>
      <w:r>
        <w:t xml:space="preserve">5. Example Intent Object (Illustrative)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"a7c1f2c4-8c3b-4bfa-9c9d-1b3c8f0a21ef"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"directive_source"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"directive_type"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"planning_required"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"expected_response_type"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"textual_response"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"computer_networks"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"nlp"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"knowledge_store"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lifecycle-and-usage"/>
    <w:p>
      <w:pPr>
        <w:pStyle w:val="Heading2"/>
      </w:pPr>
      <w:r>
        <w:t xml:space="preserve">6. Lifecycle and Usage</w:t>
      </w:r>
    </w:p>
    <w:p>
      <w:pPr>
        <w:pStyle w:val="FirstParagraph"/>
      </w:pPr>
      <w:r>
        <w:t xml:space="preserve">The Intent Object is created once per directive and persists through:</w:t>
      </w:r>
      <w:r>
        <w:t xml:space="preserve"> </w:t>
      </w:r>
      <w:r>
        <w:t xml:space="preserve">- Routing decisions</w:t>
      </w:r>
      <w:r>
        <w:t xml:space="preserve"> </w:t>
      </w:r>
      <w:r>
        <w:t xml:space="preserve">- Planner invocation (if required)</w:t>
      </w:r>
      <w:r>
        <w:t xml:space="preserve"> </w:t>
      </w:r>
      <w:r>
        <w:t xml:space="preserve">- Task execution</w:t>
      </w:r>
      <w:r>
        <w:t xml:space="preserve"> </w:t>
      </w:r>
      <w:r>
        <w:t xml:space="preserve">- Logging and diagnostics</w:t>
      </w:r>
      <w:r>
        <w:t xml:space="preserve"> </w:t>
      </w:r>
      <w:r>
        <w:t xml:space="preserve">- Reflection and learning loops</w:t>
      </w:r>
    </w:p>
    <w:p>
      <w:pPr>
        <w:pStyle w:val="BodyText"/>
      </w:pPr>
      <w:r>
        <w:t xml:space="preserve">It must remain immutable after creation, except for system-generated annotations stored separately.</w:t>
      </w:r>
    </w:p>
    <w:p>
      <w:r>
        <w:pict>
          <v:rect style="width:0;height:1.5pt" o:hralign="center" o:hrstd="t" o:hr="t"/>
        </w:pict>
      </w:r>
    </w:p>
    <w:bookmarkEnd w:id="37"/>
    <w:bookmarkStart w:id="38" w:name="architectural-impact"/>
    <w:p>
      <w:pPr>
        <w:pStyle w:val="Heading2"/>
      </w:pPr>
      <w:r>
        <w:t xml:space="preserve">7. Architectural Impact</w:t>
      </w:r>
    </w:p>
    <w:p>
      <w:pPr>
        <w:pStyle w:val="FirstParagraph"/>
      </w:pPr>
      <w:r>
        <w:t xml:space="preserve">By standardizing intent representation, the architecture gains:</w:t>
      </w:r>
      <w:r>
        <w:t xml:space="preserve"> </w:t>
      </w:r>
      <w:r>
        <w:t xml:space="preserve">- Clear boundaries between cognition and control</w:t>
      </w:r>
      <w:r>
        <w:t xml:space="preserve"> </w:t>
      </w:r>
      <w:r>
        <w:t xml:space="preserve">- Reduced coupling between NLP and execution layers</w:t>
      </w:r>
      <w:r>
        <w:t xml:space="preserve"> </w:t>
      </w:r>
      <w:r>
        <w:t xml:space="preserve">- Simplified planner logic</w:t>
      </w:r>
      <w:r>
        <w:t xml:space="preserve"> </w:t>
      </w:r>
      <w:r>
        <w:t xml:space="preserve">- Enhanced traceability for debugging, analytics, and patent documentation</w:t>
      </w:r>
    </w:p>
    <w:p>
      <w:pPr>
        <w:pStyle w:val="BodyText"/>
      </w:pPr>
      <w:r>
        <w:t xml:space="preserve">The Intent Object is a cornerstone artifact that enables the system to scale from simple conversational behavior to complex, multi-agent, and cyber-physical execution.</w:t>
      </w:r>
    </w:p>
    <w:p>
      <w:r>
        <w:pict>
          <v:rect style="width:0;height:1.5pt" o:hralign="center" o:hrstd="t" o:hr="t"/>
        </w:pict>
      </w:r>
    </w:p>
    <w:bookmarkEnd w:id="38"/>
    <w:bookmarkStart w:id="39" w:name="summary"/>
    <w:p>
      <w:pPr>
        <w:pStyle w:val="Heading2"/>
      </w:pPr>
      <w:r>
        <w:t xml:space="preserve">8. Summary</w:t>
      </w:r>
    </w:p>
    <w:p>
      <w:pPr>
        <w:pStyle w:val="FirstParagraph"/>
      </w:pPr>
      <w:r>
        <w:t xml:space="preserve">The Intent Object schema formalizes the output of intent extraction into a stable, extensible, and auditable structure. It allows the system to make informed execution decisions without reprocessing natural language and provides a durable foundation for planning, routing, and learning across the entire architecture.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2026-01-29T03:01:40Z</dcterms:created>
  <dcterms:modified xsi:type="dcterms:W3CDTF">2026-01-29T03:01:40Z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