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a03118cff6644a4d283987b8800b8e6e4aa04b6"/>
    <w:p>
      <w:pPr>
        <w:pStyle w:val="Heading1"/>
      </w:pPr>
      <w:r>
        <w:t xml:space="preserve">Architecture – Reflection and Self-Assessment Layer (v1)</w: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Reflection and Self-Assessment Layer</w:t>
      </w:r>
      <w:r>
        <w:t xml:space="preserve"> </w:t>
      </w:r>
      <w:r>
        <w:t xml:space="preserve">of the architecture. It is a standalone specification and can be directly incorporated into the master architecture document.</w:t>
      </w:r>
    </w:p>
    <w:p>
      <w:pPr>
        <w:pStyle w:val="BodyText"/>
      </w:pPr>
      <w:r>
        <w:t xml:space="preserve">The Reflection Layer is responsible for</w:t>
      </w:r>
      <w:r>
        <w:t xml:space="preserve"> </w:t>
      </w:r>
      <w:r>
        <w:rPr>
          <w:b/>
          <w:bCs/>
        </w:rPr>
        <w:t xml:space="preserve">post-action cognition</w:t>
      </w:r>
      <w:r>
        <w:t xml:space="preserve">: evaluating what happened, why it happened, whether it aligned with objectives and values, and what should change in future behavior.</w:t>
      </w:r>
    </w:p>
    <w:p>
      <w:pPr>
        <w:pStyle w:val="BodyText"/>
      </w:pPr>
      <w:r>
        <w:t xml:space="preserve">This layer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directly execute behaviors. Instead, it influences future decisions by updating memory, priorities, templates, and internal narratives.</w:t>
      </w:r>
    </w:p>
    <w:p>
      <w:r>
        <w:pict>
          <v:rect style="width:0;height:1.5pt" o:hralign="center" o:hrstd="t" o:hr="t"/>
        </w:pict>
      </w:r>
    </w:p>
    <w:bookmarkEnd w:id="20"/>
    <w:bookmarkStart w:id="21" w:name="core-design-premise"/>
    <w:p>
      <w:pPr>
        <w:pStyle w:val="Heading2"/>
      </w:pPr>
      <w:r>
        <w:t xml:space="preserve">2. Core Design Premise</w:t>
      </w:r>
    </w:p>
    <w:p>
      <w:pPr>
        <w:pStyle w:val="FirstParagraph"/>
      </w:pPr>
      <w:r>
        <w:rPr>
          <w:b/>
          <w:bCs/>
        </w:rPr>
        <w:t xml:space="preserve">Action without reflection produces repetition, not intelligence.</w:t>
      </w:r>
    </w:p>
    <w:p>
      <w:pPr>
        <w:pStyle w:val="BodyText"/>
      </w:pPr>
      <w:r>
        <w:t xml:space="preserve">The Reflection Layer provides:</w:t>
      </w:r>
      <w:r>
        <w:t xml:space="preserve"> </w:t>
      </w:r>
      <w:r>
        <w:t xml:space="preserve">- Self-observation</w:t>
      </w:r>
      <w:r>
        <w:t xml:space="preserve"> </w:t>
      </w:r>
      <w:r>
        <w:t xml:space="preserve">- Outcome evaluation</w:t>
      </w:r>
      <w:r>
        <w:t xml:space="preserve"> </w:t>
      </w:r>
      <w:r>
        <w:t xml:space="preserve">- Learning signals</w:t>
      </w:r>
      <w:r>
        <w:t xml:space="preserve"> </w:t>
      </w:r>
      <w:r>
        <w:t xml:space="preserve">- Internal narrative (self-talk)</w:t>
      </w:r>
    </w:p>
    <w:p>
      <w:pPr>
        <w:pStyle w:val="BodyText"/>
      </w:pPr>
      <w:r>
        <w:t xml:space="preserve">It transforms the system from a reactive agent into an adaptive one.</w:t>
      </w:r>
    </w:p>
    <w:p>
      <w:r>
        <w:pict>
          <v:rect style="width:0;height:1.5pt" o:hralign="center" o:hrstd="t" o:hr="t"/>
        </w:pict>
      </w:r>
    </w:p>
    <w:bookmarkEnd w:id="21"/>
    <w:bookmarkStart w:id="22" w:name="relationship-to-the-agent-loop"/>
    <w:p>
      <w:pPr>
        <w:pStyle w:val="Heading2"/>
      </w:pPr>
      <w:r>
        <w:t xml:space="preserve">3. Relationship to the Agent Loop</w:t>
      </w:r>
    </w:p>
    <w:p>
      <w:pPr>
        <w:pStyle w:val="FirstParagraph"/>
      </w:pPr>
      <w:r>
        <w:t xml:space="preserve">The Reflection Layer integrates into the Agent Loop at a well-defined boundary:</w:t>
      </w:r>
    </w:p>
    <w:p>
      <w:pPr>
        <w:pStyle w:val="SourceCode"/>
      </w:pPr>
      <w:r>
        <w:rPr>
          <w:rStyle w:val="VerbatimChar"/>
        </w:rPr>
        <w:t xml:space="preserve">Intent → Decide → Act → Reflect → (Update State) → Next Cycle</w:t>
      </w:r>
    </w:p>
    <w:p>
      <w:pPr>
        <w:pStyle w:val="FirstParagraph"/>
      </w:pPr>
      <w:r>
        <w:t xml:space="preserve">Reflection is entered</w:t>
      </w:r>
      <w:r>
        <w:t xml:space="preserve"> </w:t>
      </w:r>
      <w:r>
        <w:rPr>
          <w:b/>
          <w:bCs/>
        </w:rPr>
        <w:t xml:space="preserve">after termination of questioning and/or execution</w:t>
      </w:r>
      <w:r>
        <w:t xml:space="preserve">, and before the next directive or perception cycle.</w:t>
      </w:r>
    </w:p>
    <w:p>
      <w:r>
        <w:pict>
          <v:rect style="width:0;height:1.5pt" o:hralign="center" o:hrstd="t" o:hr="t"/>
        </w:pict>
      </w:r>
    </w:p>
    <w:bookmarkEnd w:id="22"/>
    <w:bookmarkStart w:id="23" w:name="standalone-module-philosophy"/>
    <w:p>
      <w:pPr>
        <w:pStyle w:val="Heading2"/>
      </w:pPr>
      <w:r>
        <w:t xml:space="preserve">4. Standalone Module Philosophy</w:t>
      </w:r>
    </w:p>
    <w:p>
      <w:pPr>
        <w:pStyle w:val="FirstParagraph"/>
      </w:pPr>
      <w:r>
        <w:t xml:space="preserve">Each component of the Reflection Layer is designed as a</w:t>
      </w:r>
      <w:r>
        <w:t xml:space="preserve"> </w:t>
      </w:r>
      <w:r>
        <w:rPr>
          <w:b/>
          <w:bCs/>
        </w:rPr>
        <w:t xml:space="preserve">standalone, message-driven module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Independently testable</w:t>
      </w:r>
    </w:p>
    <w:p>
      <w:pPr>
        <w:pStyle w:val="Compact"/>
        <w:numPr>
          <w:ilvl w:val="0"/>
          <w:numId w:val="1001"/>
        </w:numPr>
      </w:pPr>
      <w:r>
        <w:t xml:space="preserve">Stateless or minimally stateful per episode</w:t>
      </w:r>
    </w:p>
    <w:p>
      <w:pPr>
        <w:pStyle w:val="Compact"/>
        <w:numPr>
          <w:ilvl w:val="0"/>
          <w:numId w:val="1001"/>
        </w:numPr>
      </w:pPr>
      <w:r>
        <w:t xml:space="preserve">Communicating via structured messages (CMB)</w:t>
      </w:r>
    </w:p>
    <w:p>
      <w:pPr>
        <w:pStyle w:val="FirstParagraph"/>
      </w:pPr>
      <w:r>
        <w:t xml:space="preserve">This supports:</w:t>
      </w:r>
      <w:r>
        <w:t xml:space="preserve"> </w:t>
      </w:r>
      <w:r>
        <w:t xml:space="preserve">- Incremental development</w:t>
      </w:r>
      <w:r>
        <w:t xml:space="preserve"> </w:t>
      </w:r>
      <w:r>
        <w:t xml:space="preserve">- Substitution and experimentation</w:t>
      </w:r>
      <w:r>
        <w:t xml:space="preserve"> </w:t>
      </w:r>
      <w:r>
        <w:t xml:space="preserve">- Future hardware mapping (cell assemblies / ensembles)</w:t>
      </w:r>
    </w:p>
    <w:p>
      <w:pPr>
        <w:pStyle w:val="BodyText"/>
      </w:pPr>
      <w:r>
        <w:t xml:space="preserve">Yes — your intuition is correct:</w:t>
      </w:r>
      <w:r>
        <w:t xml:space="preserve"> </w:t>
      </w:r>
      <w:r>
        <w:rPr>
          <w:b/>
          <w:bCs/>
        </w:rPr>
        <w:t xml:space="preserve">these modules are autonomous but coordinated</w:t>
      </w:r>
      <w:r>
        <w:t xml:space="preserve">, not tightly coupled.</w:t>
      </w:r>
    </w:p>
    <w:p>
      <w:r>
        <w:pict>
          <v:rect style="width:0;height:1.5pt" o:hralign="center" o:hrstd="t" o:hr="t"/>
        </w:pict>
      </w:r>
    </w:p>
    <w:bookmarkEnd w:id="23"/>
    <w:bookmarkStart w:id="30" w:name="reflection-layer-modules"/>
    <w:p>
      <w:pPr>
        <w:pStyle w:val="Heading2"/>
      </w:pPr>
      <w:r>
        <w:t xml:space="preserve">5. Reflection Layer Modules</w:t>
      </w:r>
    </w:p>
    <w:bookmarkStart w:id="24" w:name="module-1-episode-recorder"/>
    <w:p>
      <w:pPr>
        <w:pStyle w:val="Heading3"/>
      </w:pPr>
      <w:r>
        <w:t xml:space="preserve">Module 1: Episode Recorder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Captures a complete record of an episode for later analysis.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Intent</w:t>
      </w:r>
      <w:r>
        <w:t xml:space="preserve"> </w:t>
      </w:r>
      <w:r>
        <w:t xml:space="preserve">- Active objectives</w:t>
      </w:r>
      <w:r>
        <w:t xml:space="preserve"> </w:t>
      </w:r>
      <w:r>
        <w:t xml:space="preserve">- Questions asked</w:t>
      </w:r>
      <w:r>
        <w:t xml:space="preserve"> </w:t>
      </w:r>
      <w:r>
        <w:t xml:space="preserve">- Answers received</w:t>
      </w:r>
      <w:r>
        <w:t xml:space="preserve"> </w:t>
      </w:r>
      <w:r>
        <w:t xml:space="preserve">- Actions executed</w:t>
      </w:r>
      <w:r>
        <w:t xml:space="preserve"> </w:t>
      </w:r>
      <w:r>
        <w:t xml:space="preserve">- Artifacts produced</w:t>
      </w:r>
      <w:r>
        <w:t xml:space="preserve"> </w:t>
      </w:r>
      <w:r>
        <w:t xml:space="preserve">- Termination reason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Immutable Episode Record</w:t>
      </w:r>
    </w:p>
    <w:p>
      <w:pPr>
        <w:pStyle w:val="BodyText"/>
      </w:pPr>
      <w:r>
        <w:t xml:space="preserve">This record is the substrate for all reflection and learning.</w:t>
      </w:r>
    </w:p>
    <w:p>
      <w:r>
        <w:pict>
          <v:rect style="width:0;height:1.5pt" o:hralign="center" o:hrstd="t" o:hr="t"/>
        </w:pict>
      </w:r>
    </w:p>
    <w:bookmarkEnd w:id="24"/>
    <w:bookmarkStart w:id="25" w:name="module-2-outcome-evaluator"/>
    <w:p>
      <w:pPr>
        <w:pStyle w:val="Heading3"/>
      </w:pPr>
      <w:r>
        <w:t xml:space="preserve">Module 2: Outcome Evaluator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Evaluates whether objectives were met and how well.</w:t>
      </w:r>
    </w:p>
    <w:p>
      <w:pPr>
        <w:pStyle w:val="BodyText"/>
      </w:pPr>
      <w:r>
        <w:rPr>
          <w:b/>
          <w:bCs/>
        </w:rPr>
        <w:t xml:space="preserve">Evaluation dimensions:</w:t>
      </w:r>
      <w:r>
        <w:t xml:space="preserve"> </w:t>
      </w:r>
      <w:r>
        <w:t xml:space="preserve">- Objective satisfaction (per tier)</w:t>
      </w:r>
      <w:r>
        <w:t xml:space="preserve"> </w:t>
      </w:r>
      <w:r>
        <w:t xml:space="preserve">- Confidence improvement</w:t>
      </w:r>
      <w:r>
        <w:t xml:space="preserve"> </w:t>
      </w:r>
      <w:r>
        <w:t xml:space="preserve">- Quality/completeness</w:t>
      </w:r>
      <w:r>
        <w:t xml:space="preserve"> </w:t>
      </w:r>
      <w:r>
        <w:t xml:space="preserve">- Safety and policy compliance</w:t>
      </w:r>
      <w:r>
        <w:t xml:space="preserve"> </w:t>
      </w:r>
      <w:r>
        <w:t xml:space="preserve">- Resource usage vs expectations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Outcome Assessment Report</w:t>
      </w:r>
      <w:r>
        <w:t xml:space="preserve"> </w:t>
      </w:r>
      <w:r>
        <w:t xml:space="preserve">- Objective success/failure flags</w:t>
      </w:r>
    </w:p>
    <w:p>
      <w:r>
        <w:pict>
          <v:rect style="width:0;height:1.5pt" o:hralign="center" o:hrstd="t" o:hr="t"/>
        </w:pict>
      </w:r>
    </w:p>
    <w:bookmarkEnd w:id="25"/>
    <w:bookmarkStart w:id="26" w:name="module-3-meta-question-generator"/>
    <w:p>
      <w:pPr>
        <w:pStyle w:val="Heading3"/>
      </w:pPr>
      <w:r>
        <w:t xml:space="preserve">Module 3: Meta-Question Generator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Generates</w:t>
      </w:r>
      <w:r>
        <w:t xml:space="preserve"> </w:t>
      </w:r>
      <w:r>
        <w:rPr>
          <w:i/>
          <w:iCs/>
        </w:rPr>
        <w:t xml:space="preserve">questions about the episode itself</w:t>
      </w:r>
      <w:r>
        <w:t xml:space="preserve">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Did I ask the right questions?</w:t>
      </w:r>
      <w:r>
        <w:t xml:space="preserve"> </w:t>
      </w:r>
      <w:r>
        <w:t xml:space="preserve">- Did I terminate too early or too late?</w:t>
      </w:r>
      <w:r>
        <w:t xml:space="preserve"> </w:t>
      </w:r>
      <w:r>
        <w:t xml:space="preserve">- Were higher-priority objectives overridden incorrectly?</w:t>
      </w:r>
      <w:r>
        <w:t xml:space="preserve"> </w:t>
      </w:r>
      <w:r>
        <w:t xml:space="preserve">- Was the outcome worth the cost?</w:t>
      </w:r>
    </w:p>
    <w:p>
      <w:pPr>
        <w:pStyle w:val="BodyText"/>
      </w:pPr>
      <w:r>
        <w:t xml:space="preserve">These questions are</w:t>
      </w:r>
      <w:r>
        <w:t xml:space="preserve"> </w:t>
      </w:r>
      <w:r>
        <w:rPr>
          <w:b/>
          <w:bCs/>
        </w:rPr>
        <w:t xml:space="preserve">not routed to execution</w:t>
      </w:r>
      <w:r>
        <w:t xml:space="preserve">, only to internal analysis and learning modules.</w:t>
      </w:r>
    </w:p>
    <w:p>
      <w:r>
        <w:pict>
          <v:rect style="width:0;height:1.5pt" o:hralign="center" o:hrstd="t" o:hr="t"/>
        </w:pict>
      </w:r>
    </w:p>
    <w:bookmarkEnd w:id="26"/>
    <w:bookmarkStart w:id="27" w:name="module-4-self-talk-generator"/>
    <w:p>
      <w:pPr>
        <w:pStyle w:val="Heading3"/>
      </w:pPr>
      <w:r>
        <w:t xml:space="preserve">Module 4: Self-Talk Generator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Produces a structured internal narrative describing what happened.</w:t>
      </w:r>
    </w:p>
    <w:p>
      <w:pPr>
        <w:pStyle w:val="BodyText"/>
      </w:pPr>
      <w:r>
        <w:t xml:space="preserve">Self-talk is:</w:t>
      </w:r>
      <w:r>
        <w:t xml:space="preserve"> </w:t>
      </w:r>
      <w:r>
        <w:t xml:space="preserve">- Declarative, not conversational</w:t>
      </w:r>
      <w:r>
        <w:t xml:space="preserve"> </w:t>
      </w:r>
      <w:r>
        <w:t xml:space="preserve">- Stored as structured text + tags</w:t>
      </w:r>
      <w:r>
        <w:t xml:space="preserve"> </w:t>
      </w:r>
      <w:r>
        <w:t xml:space="preserve">- Indexed for future recall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&gt;</w:t>
      </w:r>
      <w:r>
        <w:t xml:space="preserve"> </w:t>
      </w:r>
      <w:r>
        <w:t xml:space="preserve">“I generated an artifact that met task objectives but required clarification on constraints. Next time, request constraints earlier.”</w:t>
      </w:r>
    </w:p>
    <w:p>
      <w:pPr>
        <w:pStyle w:val="BodyText"/>
      </w:pPr>
      <w:r>
        <w:t xml:space="preserve">This narrative supports:</w:t>
      </w:r>
      <w:r>
        <w:t xml:space="preserve"> </w:t>
      </w:r>
      <w:r>
        <w:t xml:space="preserve">- Debugging</w:t>
      </w:r>
      <w:r>
        <w:t xml:space="preserve"> </w:t>
      </w:r>
      <w:r>
        <w:t xml:space="preserve">- Transparency</w:t>
      </w:r>
      <w:r>
        <w:t xml:space="preserve"> </w:t>
      </w:r>
      <w:r>
        <w:t xml:space="preserve">- Human-aligned reasoning traces</w:t>
      </w:r>
    </w:p>
    <w:p>
      <w:r>
        <w:pict>
          <v:rect style="width:0;height:1.5pt" o:hralign="center" o:hrstd="t" o:hr="t"/>
        </w:pict>
      </w:r>
    </w:p>
    <w:bookmarkEnd w:id="27"/>
    <w:bookmarkStart w:id="28" w:name="module-5-learning-signal-emitter"/>
    <w:p>
      <w:pPr>
        <w:pStyle w:val="Heading3"/>
      </w:pPr>
      <w:r>
        <w:t xml:space="preserve">Module 5: Learning Signal Emitter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Converts reflection outcomes into actionable learning signals.</w:t>
      </w:r>
    </w:p>
    <w:p>
      <w:pPr>
        <w:pStyle w:val="BodyText"/>
      </w:pPr>
      <w:r>
        <w:t xml:space="preserve">Signals may include:</w:t>
      </w:r>
      <w:r>
        <w:t xml:space="preserve"> </w:t>
      </w:r>
      <w:r>
        <w:t xml:space="preserve">- Template utility adjustments</w:t>
      </w:r>
      <w:r>
        <w:t xml:space="preserve"> </w:t>
      </w:r>
      <w:r>
        <w:t xml:space="preserve">- Objective priority tuning</w:t>
      </w:r>
      <w:r>
        <w:t xml:space="preserve"> </w:t>
      </w:r>
      <w:r>
        <w:t xml:space="preserve">- Budget adjustment suggestions</w:t>
      </w:r>
      <w:r>
        <w:t xml:space="preserve"> </w:t>
      </w:r>
      <w:r>
        <w:t xml:space="preserve">- New template proposals</w:t>
      </w:r>
    </w:p>
    <w:p>
      <w:pPr>
        <w:pStyle w:val="BodyText"/>
      </w:pPr>
      <w:r>
        <w:t xml:space="preserve">The Learning Signal Emitter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 changes directly.</w:t>
      </w:r>
    </w:p>
    <w:p>
      <w:r>
        <w:pict>
          <v:rect style="width:0;height:1.5pt" o:hralign="center" o:hrstd="t" o:hr="t"/>
        </w:pict>
      </w:r>
    </w:p>
    <w:bookmarkEnd w:id="28"/>
    <w:bookmarkStart w:id="29" w:name="module-6-memory-integrator"/>
    <w:p>
      <w:pPr>
        <w:pStyle w:val="Heading3"/>
      </w:pPr>
      <w:r>
        <w:t xml:space="preserve">Module 6: Memory Integrator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Integrates reflection outputs into persistent memory systems.</w:t>
      </w:r>
    </w:p>
    <w:p>
      <w:pPr>
        <w:pStyle w:val="BodyText"/>
      </w:pPr>
      <w:r>
        <w:t xml:space="preserve">Targets:</w:t>
      </w:r>
      <w:r>
        <w:t xml:space="preserve"> </w:t>
      </w:r>
      <w:r>
        <w:t xml:space="preserve">- Question Template Memory</w:t>
      </w:r>
      <w:r>
        <w:t xml:space="preserve"> </w:t>
      </w:r>
      <w:r>
        <w:t xml:space="preserve">- Objective statistics</w:t>
      </w:r>
      <w:r>
        <w:t xml:space="preserve"> </w:t>
      </w:r>
      <w:r>
        <w:t xml:space="preserve">- Episode history</w:t>
      </w:r>
      <w:r>
        <w:t xml:space="preserve"> </w:t>
      </w:r>
      <w:r>
        <w:t xml:space="preserve">- Belief/value hooks (future)</w:t>
      </w:r>
    </w:p>
    <w:p>
      <w:pPr>
        <w:pStyle w:val="BodyText"/>
      </w:pPr>
      <w:r>
        <w:t xml:space="preserve">This module enforces governance rules (e.g., learning cannot weaken safety).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executive-oversight-and-control"/>
    <w:p>
      <w:pPr>
        <w:pStyle w:val="Heading2"/>
      </w:pPr>
      <w:r>
        <w:t xml:space="preserve">6. Executive Oversight and Control</w:t>
      </w:r>
    </w:p>
    <w:bookmarkStart w:id="31" w:name="Xdf517722b9ef1aeb8caff947dfb925ba4bf9ced"/>
    <w:p>
      <w:pPr>
        <w:pStyle w:val="Heading3"/>
      </w:pPr>
      <w:r>
        <w:t xml:space="preserve">6.1 Is There an Executive Monitoring These Modules?</w:t>
      </w:r>
    </w:p>
    <w:p>
      <w:pPr>
        <w:pStyle w:val="FirstParagraph"/>
      </w:pPr>
      <w:r>
        <w:rPr>
          <w:b/>
          <w:bCs/>
        </w:rPr>
        <w:t xml:space="preserve">Yes — and it must be explicit.</w:t>
      </w:r>
    </w:p>
    <w:p>
      <w:pPr>
        <w:pStyle w:val="BodyText"/>
      </w:pPr>
      <w:r>
        <w:t xml:space="preserve">The architecture includes a</w:t>
      </w:r>
      <w:r>
        <w:t xml:space="preserve"> </w:t>
      </w:r>
      <w:r>
        <w:rPr>
          <w:b/>
          <w:bCs/>
        </w:rPr>
        <w:t xml:space="preserve">Cognitive Executive (or Autonomous Executive Module, AEM)</w:t>
      </w:r>
      <w:r>
        <w:t xml:space="preserve"> </w:t>
      </w:r>
      <w:r>
        <w:t xml:space="preserve">that:</w:t>
      </w:r>
    </w:p>
    <w:p>
      <w:pPr>
        <w:pStyle w:val="Compact"/>
        <w:numPr>
          <w:ilvl w:val="0"/>
          <w:numId w:val="1002"/>
        </w:numPr>
      </w:pPr>
      <w:r>
        <w:t xml:space="preserve">Monitors module outputs</w:t>
      </w:r>
    </w:p>
    <w:p>
      <w:pPr>
        <w:pStyle w:val="Compact"/>
        <w:numPr>
          <w:ilvl w:val="0"/>
          <w:numId w:val="1002"/>
        </w:numPr>
      </w:pPr>
      <w:r>
        <w:t xml:space="preserve">Decides whether reflection outcomes trigger action</w:t>
      </w:r>
    </w:p>
    <w:p>
      <w:pPr>
        <w:pStyle w:val="Compact"/>
        <w:numPr>
          <w:ilvl w:val="0"/>
          <w:numId w:val="1002"/>
        </w:numPr>
      </w:pPr>
      <w:r>
        <w:t xml:space="preserve">Schedules follow-up behavior</w:t>
      </w:r>
    </w:p>
    <w:p>
      <w:pPr>
        <w:pStyle w:val="Compact"/>
        <w:numPr>
          <w:ilvl w:val="0"/>
          <w:numId w:val="1002"/>
        </w:numPr>
      </w:pPr>
      <w:r>
        <w:t xml:space="preserve">Prevents runaway self-modification</w:t>
      </w:r>
    </w:p>
    <w:p>
      <w:pPr>
        <w:pStyle w:val="FirstParagraph"/>
      </w:pPr>
      <w:r>
        <w:t xml:space="preserve">Reflection modules</w:t>
      </w:r>
      <w:r>
        <w:t xml:space="preserve"> </w:t>
      </w:r>
      <w:r>
        <w:rPr>
          <w:b/>
          <w:bCs/>
        </w:rPr>
        <w:t xml:space="preserve">advise</w:t>
      </w:r>
      <w:r>
        <w:t xml:space="preserve">; the Executive</w:t>
      </w:r>
      <w:r>
        <w:t xml:space="preserve"> </w:t>
      </w:r>
      <w:r>
        <w:rPr>
          <w:b/>
          <w:bCs/>
        </w:rPr>
        <w:t xml:space="preserve">decides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executive-action-types"/>
    <w:p>
      <w:pPr>
        <w:pStyle w:val="Heading3"/>
      </w:pPr>
      <w:r>
        <w:t xml:space="preserve">6.2 Executive Action Types</w:t>
      </w:r>
    </w:p>
    <w:p>
      <w:pPr>
        <w:pStyle w:val="FirstParagraph"/>
      </w:pPr>
      <w:r>
        <w:t xml:space="preserve">The Executive may respond to reflection outputs by:</w:t>
      </w:r>
    </w:p>
    <w:p>
      <w:pPr>
        <w:pStyle w:val="Compact"/>
        <w:numPr>
          <w:ilvl w:val="0"/>
          <w:numId w:val="1003"/>
        </w:numPr>
      </w:pPr>
      <w:r>
        <w:t xml:space="preserve">Updating internal parameters (priorities, weights)</w:t>
      </w:r>
    </w:p>
    <w:p>
      <w:pPr>
        <w:pStyle w:val="Compact"/>
        <w:numPr>
          <w:ilvl w:val="0"/>
          <w:numId w:val="1003"/>
        </w:numPr>
      </w:pPr>
      <w:r>
        <w:t xml:space="preserve">Scheduling future questions</w:t>
      </w:r>
    </w:p>
    <w:p>
      <w:pPr>
        <w:pStyle w:val="Compact"/>
        <w:numPr>
          <w:ilvl w:val="0"/>
          <w:numId w:val="1003"/>
        </w:numPr>
      </w:pPr>
      <w:r>
        <w:t xml:space="preserve">Triggering a new planning cycle</w:t>
      </w:r>
    </w:p>
    <w:p>
      <w:pPr>
        <w:pStyle w:val="Compact"/>
        <w:numPr>
          <w:ilvl w:val="0"/>
          <w:numId w:val="1003"/>
        </w:numPr>
      </w:pPr>
      <w:r>
        <w:t xml:space="preserve">Requesting human review</w:t>
      </w:r>
    </w:p>
    <w:p>
      <w:pPr>
        <w:pStyle w:val="Compact"/>
        <w:numPr>
          <w:ilvl w:val="0"/>
          <w:numId w:val="1003"/>
        </w:numPr>
      </w:pPr>
      <w:r>
        <w:t xml:space="preserve">Activating external actuators (if authorized)</w:t>
      </w:r>
    </w:p>
    <w:p>
      <w:pPr>
        <w:pStyle w:val="FirstParagraph"/>
      </w:pPr>
      <w:r>
        <w:t xml:space="preserve">All external actions remain subject to:</w:t>
      </w:r>
      <w:r>
        <w:t xml:space="preserve"> </w:t>
      </w:r>
      <w:r>
        <w:t xml:space="preserve">- Behavior Matrix constraints</w:t>
      </w:r>
      <w:r>
        <w:t xml:space="preserve"> </w:t>
      </w:r>
      <w:r>
        <w:t xml:space="preserve">- Policy and safety objectives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internal-vs-external-action-boundary"/>
    <w:p>
      <w:pPr>
        <w:pStyle w:val="Heading2"/>
      </w:pPr>
      <w:r>
        <w:t xml:space="preserve">7. Internal vs External Action Boundary</w:t>
      </w:r>
    </w:p>
    <w:p>
      <w:pPr>
        <w:pStyle w:val="FirstParagraph"/>
      </w:pPr>
      <w:r>
        <w:t xml:space="preserve">Reflection outputs are classified as: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Internal Actions</w:t>
      </w:r>
    </w:p>
    <w:p>
      <w:pPr>
        <w:pStyle w:val="Compact"/>
        <w:numPr>
          <w:ilvl w:val="1"/>
          <w:numId w:val="1005"/>
        </w:numPr>
      </w:pPr>
      <w:r>
        <w:t xml:space="preserve">Memory updates</w:t>
      </w:r>
    </w:p>
    <w:p>
      <w:pPr>
        <w:pStyle w:val="Compact"/>
        <w:numPr>
          <w:ilvl w:val="1"/>
          <w:numId w:val="1005"/>
        </w:numPr>
      </w:pPr>
      <w:r>
        <w:t xml:space="preserve">Priority tuning</w:t>
      </w:r>
    </w:p>
    <w:p>
      <w:pPr>
        <w:pStyle w:val="Compact"/>
        <w:numPr>
          <w:ilvl w:val="1"/>
          <w:numId w:val="1005"/>
        </w:numPr>
      </w:pPr>
      <w:r>
        <w:t xml:space="preserve">Template scoring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External Actions</w:t>
      </w:r>
    </w:p>
    <w:p>
      <w:pPr>
        <w:pStyle w:val="Compact"/>
        <w:numPr>
          <w:ilvl w:val="1"/>
          <w:numId w:val="1006"/>
        </w:numPr>
      </w:pPr>
      <w:r>
        <w:t xml:space="preserve">Actuator control</w:t>
      </w:r>
    </w:p>
    <w:p>
      <w:pPr>
        <w:pStyle w:val="Compact"/>
        <w:numPr>
          <w:ilvl w:val="1"/>
          <w:numId w:val="1006"/>
        </w:numPr>
      </w:pPr>
      <w:r>
        <w:t xml:space="preserve">System configuration changes</w:t>
      </w:r>
    </w:p>
    <w:p>
      <w:pPr>
        <w:pStyle w:val="Compact"/>
        <w:numPr>
          <w:ilvl w:val="1"/>
          <w:numId w:val="1006"/>
        </w:numPr>
      </w:pPr>
      <w:r>
        <w:t xml:space="preserve">Notifications</w:t>
      </w:r>
    </w:p>
    <w:p>
      <w:pPr>
        <w:pStyle w:val="FirstParagraph"/>
      </w:pPr>
      <w:r>
        <w:t xml:space="preserve">Only the Executive may promote reflection insights into external actions.</w:t>
      </w:r>
    </w:p>
    <w:p>
      <w:r>
        <w:pict>
          <v:rect style="width:0;height:1.5pt" o:hralign="center" o:hrstd="t" o:hr="t"/>
        </w:pict>
      </w:r>
    </w:p>
    <w:bookmarkEnd w:id="34"/>
    <w:bookmarkStart w:id="35" w:name="X283c4c70db93a382e2e462a3bd3a16450bf8192"/>
    <w:p>
      <w:pPr>
        <w:pStyle w:val="Heading2"/>
      </w:pPr>
      <w:r>
        <w:t xml:space="preserve">8. Message Exchange Pattern (Cell Ensemble View)</w:t>
      </w:r>
    </w:p>
    <w:p>
      <w:pPr>
        <w:pStyle w:val="FirstParagraph"/>
      </w:pPr>
      <w:r>
        <w:t xml:space="preserve">Reflection operates as a</w:t>
      </w:r>
      <w:r>
        <w:t xml:space="preserve"> </w:t>
      </w:r>
      <w:r>
        <w:rPr>
          <w:b/>
          <w:bCs/>
        </w:rPr>
        <w:t xml:space="preserve">cell ensemble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Episode Record activates Evaluator</w:t>
      </w:r>
    </w:p>
    <w:p>
      <w:pPr>
        <w:pStyle w:val="Compact"/>
        <w:numPr>
          <w:ilvl w:val="0"/>
          <w:numId w:val="1007"/>
        </w:numPr>
      </w:pPr>
      <w:r>
        <w:t xml:space="preserve">Evaluator activates Meta-Questions</w:t>
      </w:r>
    </w:p>
    <w:p>
      <w:pPr>
        <w:pStyle w:val="Compact"/>
        <w:numPr>
          <w:ilvl w:val="0"/>
          <w:numId w:val="1007"/>
        </w:numPr>
      </w:pPr>
      <w:r>
        <w:t xml:space="preserve">Meta-Questions activate Self-Talk</w:t>
      </w:r>
    </w:p>
    <w:p>
      <w:pPr>
        <w:pStyle w:val="Compact"/>
        <w:numPr>
          <w:ilvl w:val="0"/>
          <w:numId w:val="1007"/>
        </w:numPr>
      </w:pPr>
      <w:r>
        <w:t xml:space="preserve">Self-Talk activates Learning Signals</w:t>
      </w:r>
    </w:p>
    <w:p>
      <w:pPr>
        <w:pStyle w:val="Compact"/>
        <w:numPr>
          <w:ilvl w:val="0"/>
          <w:numId w:val="1007"/>
        </w:numPr>
      </w:pPr>
      <w:r>
        <w:t xml:space="preserve">Learning Signals activate Memory Integration</w:t>
      </w:r>
    </w:p>
    <w:p>
      <w:pPr>
        <w:pStyle w:val="FirstParagraph"/>
      </w:pPr>
      <w:r>
        <w:t xml:space="preserve">The Executive observes the ensemble and intervenes when thresholds are crossed.</w:t>
      </w:r>
    </w:p>
    <w:p>
      <w:r>
        <w:pict>
          <v:rect style="width:0;height:1.5pt" o:hralign="center" o:hrstd="t" o:hr="t"/>
        </w:pict>
      </w:r>
    </w:p>
    <w:bookmarkEnd w:id="35"/>
    <w:bookmarkStart w:id="36" w:name="termination-and-discipline"/>
    <w:p>
      <w:pPr>
        <w:pStyle w:val="Heading2"/>
      </w:pPr>
      <w:r>
        <w:t xml:space="preserve">9. Termination and Discipline</w:t>
      </w:r>
    </w:p>
    <w:p>
      <w:pPr>
        <w:pStyle w:val="FirstParagraph"/>
      </w:pPr>
      <w:r>
        <w:t xml:space="preserve">Reflection itself is bounded:</w:t>
      </w:r>
    </w:p>
    <w:p>
      <w:pPr>
        <w:pStyle w:val="Compact"/>
        <w:numPr>
          <w:ilvl w:val="0"/>
          <w:numId w:val="1008"/>
        </w:numPr>
      </w:pPr>
      <w:r>
        <w:t xml:space="preserve">Maximum reflection time</w:t>
      </w:r>
    </w:p>
    <w:p>
      <w:pPr>
        <w:pStyle w:val="Compact"/>
        <w:numPr>
          <w:ilvl w:val="0"/>
          <w:numId w:val="1008"/>
        </w:numPr>
      </w:pPr>
      <w:r>
        <w:t xml:space="preserve">Maximum meta-questions</w:t>
      </w:r>
    </w:p>
    <w:p>
      <w:pPr>
        <w:pStyle w:val="Compact"/>
        <w:numPr>
          <w:ilvl w:val="0"/>
          <w:numId w:val="1008"/>
        </w:numPr>
      </w:pPr>
      <w:r>
        <w:t xml:space="preserve">No recursive reflection without Executive approval</w:t>
      </w:r>
    </w:p>
    <w:p>
      <w:pPr>
        <w:pStyle w:val="FirstParagraph"/>
      </w:pPr>
      <w:r>
        <w:t xml:space="preserve">This prevents introspective infinite loops.</w:t>
      </w:r>
    </w:p>
    <w:p>
      <w:r>
        <w:pict>
          <v:rect style="width:0;height:1.5pt" o:hralign="center" o:hrstd="t" o:hr="t"/>
        </w:pict>
      </w:r>
    </w:p>
    <w:bookmarkEnd w:id="36"/>
    <w:bookmarkStart w:id="37" w:name="observability-and-transparency"/>
    <w:p>
      <w:pPr>
        <w:pStyle w:val="Heading2"/>
      </w:pPr>
      <w:r>
        <w:t xml:space="preserve">10. Observability and Transparency</w:t>
      </w:r>
    </w:p>
    <w:p>
      <w:pPr>
        <w:pStyle w:val="FirstParagraph"/>
      </w:pPr>
      <w:r>
        <w:t xml:space="preserve">All reflection outputs should be:</w:t>
      </w:r>
      <w:r>
        <w:t xml:space="preserve"> </w:t>
      </w:r>
      <w:r>
        <w:t xml:space="preserve">- Logged</w:t>
      </w:r>
      <w:r>
        <w:t xml:space="preserve"> </w:t>
      </w:r>
      <w:r>
        <w:t xml:space="preserve">- Timestamped</w:t>
      </w:r>
      <w:r>
        <w:t xml:space="preserve"> </w:t>
      </w:r>
      <w:r>
        <w:t xml:space="preserve">- Linked to episode IDs</w:t>
      </w:r>
    </w:p>
    <w:p>
      <w:pPr>
        <w:pStyle w:val="BodyText"/>
      </w:pPr>
      <w:r>
        <w:t xml:space="preserve">This enables:</w:t>
      </w:r>
      <w:r>
        <w:t xml:space="preserve"> </w:t>
      </w:r>
      <w:r>
        <w:t xml:space="preserve">- System introspection</w:t>
      </w:r>
      <w:r>
        <w:t xml:space="preserve"> </w:t>
      </w:r>
      <w:r>
        <w:t xml:space="preserve">- Human inspection</w:t>
      </w:r>
      <w:r>
        <w:t xml:space="preserve"> </w:t>
      </w:r>
      <w:r>
        <w:t xml:space="preserve">- Replay and debugging</w:t>
      </w:r>
    </w:p>
    <w:p>
      <w:r>
        <w:pict>
          <v:rect style="width:0;height:1.5pt" o:hralign="center" o:hrstd="t" o:hr="t"/>
        </w:pict>
      </w:r>
    </w:p>
    <w:bookmarkEnd w:id="37"/>
    <w:bookmarkStart w:id="38" w:name="relationship-to-beliefs-and-values"/>
    <w:p>
      <w:pPr>
        <w:pStyle w:val="Heading2"/>
      </w:pPr>
      <w:r>
        <w:t xml:space="preserve">11. Relationship to Beliefs and Values</w:t>
      </w:r>
    </w:p>
    <w:p>
      <w:pPr>
        <w:pStyle w:val="FirstParagraph"/>
      </w:pPr>
      <w:r>
        <w:t xml:space="preserve">Reflection is the natural insertion point for beliefs and values:</w:t>
      </w:r>
    </w:p>
    <w:p>
      <w:pPr>
        <w:pStyle w:val="Compact"/>
        <w:numPr>
          <w:ilvl w:val="0"/>
          <w:numId w:val="1009"/>
        </w:numPr>
      </w:pPr>
      <w:r>
        <w:t xml:space="preserve">Was this action aligned with my values?</w:t>
      </w:r>
    </w:p>
    <w:p>
      <w:pPr>
        <w:pStyle w:val="Compact"/>
        <w:numPr>
          <w:ilvl w:val="0"/>
          <w:numId w:val="1009"/>
        </w:numPr>
      </w:pPr>
      <w:r>
        <w:t xml:space="preserve">Did I prioritize correctly?</w:t>
      </w:r>
    </w:p>
    <w:p>
      <w:pPr>
        <w:pStyle w:val="Compact"/>
        <w:numPr>
          <w:ilvl w:val="0"/>
          <w:numId w:val="1009"/>
        </w:numPr>
      </w:pPr>
      <w:r>
        <w:t xml:space="preserve">Should I refuse similar requests in the future?</w:t>
      </w:r>
    </w:p>
    <w:p>
      <w:pPr>
        <w:pStyle w:val="FirstParagraph"/>
      </w:pPr>
      <w:r>
        <w:t xml:space="preserve">This layer provides the</w:t>
      </w:r>
      <w:r>
        <w:t xml:space="preserve"> </w:t>
      </w:r>
      <w:r>
        <w:rPr>
          <w:i/>
          <w:iCs/>
        </w:rPr>
        <w:t xml:space="preserve">mechanism</w:t>
      </w:r>
      <w:r>
        <w:t xml:space="preserve">; belief/value content comes later.</w:t>
      </w:r>
    </w:p>
    <w:p>
      <w:r>
        <w:pict>
          <v:rect style="width:0;height:1.5pt" o:hralign="center" o:hrstd="t" o:hr="t"/>
        </w:pict>
      </w:r>
    </w:p>
    <w:bookmarkEnd w:id="38"/>
    <w:bookmarkStart w:id="39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The Reflection and Self-Assessment Layer transforms episodic behavior into adaptive intelligence. By separating reflection from execution and placing it under explicit executive oversight, the architecture enables learning, accountability, and long-term coherence without sacrificing safety or control.</w:t>
      </w:r>
    </w:p>
    <w:p>
      <w:pPr>
        <w:pStyle w:val="BodyText"/>
      </w:pPr>
      <w:r>
        <w:t xml:space="preserve">This layer completes the initial cognitive loop:</w:t>
      </w:r>
    </w:p>
    <w:p>
      <w:pPr>
        <w:pStyle w:val="BodyText"/>
      </w:pPr>
      <w:r>
        <w:rPr>
          <w:b/>
          <w:bCs/>
        </w:rPr>
        <w:t xml:space="preserve">Perceive → Decide → Act → Reflect → Improve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2026-02-02T14:32:52Z</dcterms:created>
  <dcterms:modified xsi:type="dcterms:W3CDTF">2026-02-02T14:32:52Z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