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ea062049d0b5ca5506c73c66314e097f68074d"/>
    <w:p>
      <w:pPr>
        <w:pStyle w:val="Heading1"/>
      </w:pPr>
      <w:r>
        <w:t xml:space="preserve">System Architecture – Foundational Skeleton</w:t>
      </w:r>
    </w:p>
    <w:bookmarkStart w:id="20" w:name="onepage-introduction-product-vision"/>
    <w:p>
      <w:pPr>
        <w:pStyle w:val="Heading2"/>
      </w:pPr>
      <w:r>
        <w:t xml:space="preserve">One‑Page Introduction (Product &amp; Vision)</w:t>
      </w:r>
    </w:p>
    <w:p>
      <w:pPr>
        <w:pStyle w:val="FirstParagraph"/>
      </w:pPr>
      <w:r>
        <w:t xml:space="preserve">This system defines a</w:t>
      </w:r>
      <w:r>
        <w:t xml:space="preserve"> </w:t>
      </w:r>
      <w:r>
        <w:rPr>
          <w:b/>
          <w:bCs/>
        </w:rPr>
        <w:t xml:space="preserve">general-purpose architectural framework for building AI-driven systems</w:t>
      </w:r>
      <w:r>
        <w:t xml:space="preserve"> </w:t>
      </w:r>
      <w:r>
        <w:t xml:space="preserve">capable of performing meaningful work in both informational and physical domains. Rather than prescribing a single AI model or application, the architecture provides a</w:t>
      </w:r>
      <w:r>
        <w:t xml:space="preserve"> </w:t>
      </w:r>
      <w:r>
        <w:rPr>
          <w:b/>
          <w:bCs/>
        </w:rPr>
        <w:t xml:space="preserve">scaffold for constructing intelligent agents</w:t>
      </w:r>
      <w:r>
        <w:t xml:space="preserve"> </w:t>
      </w:r>
      <w:r>
        <w:t xml:space="preserve">that can interpret directives, observe environments, make decisions, execute behaviors, and learn from outcomes.</w:t>
      </w:r>
    </w:p>
    <w:p>
      <w:pPr>
        <w:pStyle w:val="BodyText"/>
      </w:pPr>
      <w:r>
        <w:t xml:space="preserve">The framework is inspired by</w:t>
      </w:r>
      <w:r>
        <w:t xml:space="preserve"> </w:t>
      </w:r>
      <w:r>
        <w:rPr>
          <w:b/>
          <w:bCs/>
        </w:rPr>
        <w:t xml:space="preserve">biological systems</w:t>
      </w:r>
      <w:r>
        <w:t xml:space="preserve">, particularly how living organisms:</w:t>
      </w:r>
      <w:r>
        <w:t xml:space="preserve"> </w:t>
      </w:r>
      <w:r>
        <w:t xml:space="preserve">- respond to stimuli and internal goals,</w:t>
      </w:r>
      <w:r>
        <w:t xml:space="preserve"> </w:t>
      </w:r>
      <w:r>
        <w:t xml:space="preserve">- coordinate perception, decision-making, and action,</w:t>
      </w:r>
      <w:r>
        <w:t xml:space="preserve"> </w:t>
      </w:r>
      <w:r>
        <w:t xml:space="preserve">- operate continuously over time rather than as single-shot computations,</w:t>
      </w:r>
      <w:r>
        <w:t xml:space="preserve"> </w:t>
      </w:r>
      <w:r>
        <w:t xml:space="preserve">- learn from experience to refine future behavior.</w:t>
      </w:r>
    </w:p>
    <w:p>
      <w:pPr>
        <w:pStyle w:val="BodyText"/>
      </w:pPr>
      <w:r>
        <w:t xml:space="preserve">At its core, the system treats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as the fundamental organizing concept. Work may originate from a human directive, an internal goal, or an environmental change. All work unfolds as a</w:t>
      </w:r>
      <w:r>
        <w:t xml:space="preserve"> </w:t>
      </w:r>
      <w:r>
        <w:rPr>
          <w:b/>
          <w:bCs/>
        </w:rPr>
        <w:t xml:space="preserve">traceable sequence of events, decisions, and executions</w:t>
      </w:r>
      <w:r>
        <w:t xml:space="preserve">, allowing the system to be analyzed, replayed, debugged, and improved.</w:t>
      </w:r>
    </w:p>
    <w:p>
      <w:pPr>
        <w:pStyle w:val="BodyText"/>
      </w:pPr>
      <w:r>
        <w:t xml:space="preserve">The architecture is intentionally modular and layered: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layers</w:t>
      </w:r>
      <w:r>
        <w:t xml:space="preserve"> </w:t>
      </w:r>
      <w:r>
        <w:t xml:space="preserve">focus on meaning, goals, decisions, and 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Transport layers</w:t>
      </w:r>
      <w:r>
        <w:t xml:space="preserve"> </w:t>
      </w:r>
      <w:r>
        <w:t xml:space="preserve">focus on reliable communication and coordination.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Persistence layers</w:t>
      </w:r>
      <w:r>
        <w:t xml:space="preserve"> </w:t>
      </w:r>
      <w:r>
        <w:t xml:space="preserve">capture execution history for diagnostics and learning.</w:t>
      </w:r>
    </w:p>
    <w:p>
      <w:pPr>
        <w:pStyle w:val="BodyText"/>
      </w:pPr>
      <w:r>
        <w:t xml:space="preserve">This separation allows the same architecture to support:</w:t>
      </w:r>
      <w:r>
        <w:t xml:space="preserve"> </w:t>
      </w:r>
      <w:r>
        <w:t xml:space="preserve">- knowledge-generation systems,</w:t>
      </w:r>
      <w:r>
        <w:t xml:space="preserve"> </w:t>
      </w:r>
      <w:r>
        <w:t xml:space="preserve">- autonomous control systems,</w:t>
      </w:r>
      <w:r>
        <w:t xml:space="preserve"> </w:t>
      </w:r>
      <w:r>
        <w:t xml:space="preserve">- hybrid cognitive–physical agents,</w:t>
      </w:r>
      <w:r>
        <w:t xml:space="preserve"> </w:t>
      </w:r>
      <w:r>
        <w:t xml:space="preserve">- research platforms for adaptive and learning behaviors.</w:t>
      </w:r>
    </w:p>
    <w:p>
      <w:pPr>
        <w:pStyle w:val="BodyText"/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practical, extensible foundation</w:t>
      </w:r>
      <w:r>
        <w:t xml:space="preserve"> </w:t>
      </w:r>
      <w:r>
        <w:t xml:space="preserve">for building AI systems that are explainable, evolvable, and grounded in real-world execution rather than abstract model inference alone.</w:t>
      </w:r>
    </w:p>
    <w:p>
      <w:r>
        <w:pict>
          <v:rect style="width:0;height:1.5pt" o:hralign="center" o:hrstd="t" o:hr="t"/>
        </w:pict>
      </w:r>
    </w:p>
    <w:bookmarkEnd w:id="20"/>
    <w:bookmarkStart w:id="21" w:name="elevator-pitch-short-form"/>
    <w:p>
      <w:pPr>
        <w:pStyle w:val="Heading2"/>
      </w:pPr>
      <w:r>
        <w:t xml:space="preserve">Elevator Pitch (Short Form)</w:t>
      </w:r>
    </w:p>
    <w:p>
      <w:pPr>
        <w:pStyle w:val="FirstParagraph"/>
      </w:pPr>
      <w:r>
        <w:rPr>
          <w:i/>
          <w:iCs/>
        </w:rPr>
        <w:t xml:space="preserve">A biologically inspired AI architecture that turns goals and events into traceable, executable work—enabling intelligent systems that can act, adapt, and improve over time.</w:t>
      </w:r>
    </w:p>
    <w:p>
      <w:r>
        <w:pict>
          <v:rect style="width:0;height:1.5pt" o:hralign="center" o:hrstd="t" o:hr="t"/>
        </w:pict>
      </w:r>
    </w:p>
    <w:bookmarkEnd w:id="21"/>
    <w:bookmarkStart w:id="36" w:name="architecture-skeleton-living-outline"/>
    <w:p>
      <w:pPr>
        <w:pStyle w:val="Heading2"/>
      </w:pPr>
      <w:r>
        <w:t xml:space="preserve">Architecture Skeleton (Living Outline)</w:t>
      </w:r>
    </w:p>
    <w:bookmarkStart w:id="22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Defines what the system is, what problems it addresses, and what it intentionally does not prescribe (e.g., specific AI models).</w:t>
      </w:r>
    </w:p>
    <w:bookmarkEnd w:id="22"/>
    <w:bookmarkStart w:id="23" w:name="core-design-principles"/>
    <w:p>
      <w:pPr>
        <w:pStyle w:val="Heading3"/>
      </w:pPr>
      <w:r>
        <w:t xml:space="preserve">2. Core Design Principles</w:t>
      </w:r>
    </w:p>
    <w:p>
      <w:pPr>
        <w:pStyle w:val="FirstParagraph"/>
      </w:pPr>
      <w:r>
        <w:t xml:space="preserve">High-level principles such as modularity, traceability, separation of transport and semantics, and replayability.</w:t>
      </w:r>
    </w:p>
    <w:bookmarkEnd w:id="23"/>
    <w:bookmarkStart w:id="24" w:name="conceptual-model-of-work"/>
    <w:p>
      <w:pPr>
        <w:pStyle w:val="Heading3"/>
      </w:pPr>
      <w:r>
        <w:t xml:space="preserve">3. Conceptual Model of Work</w:t>
      </w:r>
    </w:p>
    <w:p>
      <w:pPr>
        <w:pStyle w:val="FirstParagraph"/>
      </w:pPr>
      <w:r>
        <w:t xml:space="preserve">Introduces work as a first-class concept, including goals, projects, phases, and completion.</w:t>
      </w:r>
    </w:p>
    <w:bookmarkEnd w:id="24"/>
    <w:bookmarkStart w:id="25" w:name="event-model"/>
    <w:p>
      <w:pPr>
        <w:pStyle w:val="Heading3"/>
      </w:pPr>
      <w:r>
        <w:t xml:space="preserve">4. Event Model</w:t>
      </w:r>
    </w:p>
    <w:p>
      <w:pPr>
        <w:pStyle w:val="FirstParagraph"/>
      </w:pPr>
      <w:r>
        <w:t xml:space="preserve">Defines events as continuous occurrences throughout work, including event taxonomy and causality.</w:t>
      </w:r>
    </w:p>
    <w:bookmarkEnd w:id="25"/>
    <w:bookmarkStart w:id="26" w:name="decision-and-behavior-model"/>
    <w:p>
      <w:pPr>
        <w:pStyle w:val="Heading3"/>
      </w:pPr>
      <w:r>
        <w:t xml:space="preserve">5. Decision and Behavior Model</w:t>
      </w:r>
    </w:p>
    <w:p>
      <w:pPr>
        <w:pStyle w:val="FirstParagraph"/>
      </w:pPr>
      <w:r>
        <w:t xml:space="preserve">Describes how decisions are made, behaviors are selected, and actions are initiated.</w:t>
      </w:r>
    </w:p>
    <w:bookmarkEnd w:id="26"/>
    <w:bookmarkStart w:id="27" w:name="execution-model"/>
    <w:p>
      <w:pPr>
        <w:pStyle w:val="Heading3"/>
      </w:pPr>
      <w:r>
        <w:t xml:space="preserve">6. Execution Model</w:t>
      </w:r>
    </w:p>
    <w:p>
      <w:pPr>
        <w:pStyle w:val="FirstParagraph"/>
      </w:pPr>
      <w:r>
        <w:t xml:space="preserve">Covers tasks, sequencing, parallelism, state transitions, and execution monitoring.</w:t>
      </w:r>
    </w:p>
    <w:bookmarkEnd w:id="27"/>
    <w:bookmarkStart w:id="28" w:name="identity-and-traceability-model"/>
    <w:p>
      <w:pPr>
        <w:pStyle w:val="Heading3"/>
      </w:pPr>
      <w:r>
        <w:t xml:space="preserve">7. Identity and Traceability Model</w:t>
      </w:r>
    </w:p>
    <w:p>
      <w:pPr>
        <w:pStyle w:val="FirstParagraph"/>
      </w:pPr>
      <w:r>
        <w:t xml:space="preserve">Defines Work IDs, Event IDs, Transaction IDs, sequencing, and replay semantics.</w:t>
      </w:r>
    </w:p>
    <w:bookmarkEnd w:id="28"/>
    <w:bookmarkStart w:id="29" w:name="communication-architecture-cmb"/>
    <w:p>
      <w:pPr>
        <w:pStyle w:val="Heading3"/>
      </w:pPr>
      <w:r>
        <w:t xml:space="preserve">8. Communication Architecture (CMB)</w:t>
      </w:r>
    </w:p>
    <w:p>
      <w:pPr>
        <w:pStyle w:val="FirstParagraph"/>
      </w:pPr>
      <w:r>
        <w:t xml:space="preserve">Describes the Cognitive Message Bus as a subsystem, including message envelopes, routing, and reliability.</w:t>
      </w:r>
    </w:p>
    <w:bookmarkEnd w:id="29"/>
    <w:bookmarkStart w:id="30" w:name="persistence-and-replay-architecture"/>
    <w:p>
      <w:pPr>
        <w:pStyle w:val="Heading3"/>
      </w:pPr>
      <w:r>
        <w:t xml:space="preserve">9. Persistence and Replay Architecture</w:t>
      </w:r>
    </w:p>
    <w:p>
      <w:pPr>
        <w:pStyle w:val="FirstParagraph"/>
      </w:pPr>
      <w:r>
        <w:t xml:space="preserve">Explains how execution history is stored, queried, replayed, and analyzed.</w:t>
      </w:r>
    </w:p>
    <w:bookmarkEnd w:id="30"/>
    <w:bookmarkStart w:id="31" w:name="error-handling-and-recovery"/>
    <w:p>
      <w:pPr>
        <w:pStyle w:val="Heading3"/>
      </w:pPr>
      <w:r>
        <w:t xml:space="preserve">10. Error Handling and Recovery</w:t>
      </w:r>
    </w:p>
    <w:p>
      <w:pPr>
        <w:pStyle w:val="FirstParagraph"/>
      </w:pPr>
      <w:r>
        <w:t xml:space="preserve">Defines how failures are detected, traced, isolated, and recovered.</w:t>
      </w:r>
    </w:p>
    <w:bookmarkEnd w:id="31"/>
    <w:bookmarkStart w:id="32" w:name="X489da869ef40a50bcdd66c517c6da91ebf1774b"/>
    <w:p>
      <w:pPr>
        <w:pStyle w:val="Heading3"/>
      </w:pPr>
      <w:r>
        <w:t xml:space="preserve">11. Learning and Behavior Extraction (Future-Facing)</w:t>
      </w:r>
    </w:p>
    <w:p>
      <w:pPr>
        <w:pStyle w:val="FirstParagraph"/>
      </w:pPr>
      <w:r>
        <w:t xml:space="preserve">Describes how successful work patterns can be analyzed and transformed into reusable behaviors.</w:t>
      </w:r>
    </w:p>
    <w:bookmarkEnd w:id="32"/>
    <w:bookmarkStart w:id="33" w:name="implementation-strategy"/>
    <w:p>
      <w:pPr>
        <w:pStyle w:val="Heading3"/>
      </w:pPr>
      <w:r>
        <w:t xml:space="preserve">12. Implementation Strategy</w:t>
      </w:r>
    </w:p>
    <w:p>
      <w:pPr>
        <w:pStyle w:val="FirstParagraph"/>
      </w:pPr>
      <w:r>
        <w:t xml:space="preserve">Outlines how the architecture maps to software modules, stubs, and incremental development.</w:t>
      </w:r>
    </w:p>
    <w:bookmarkEnd w:id="33"/>
    <w:bookmarkStart w:id="34" w:name="example-end-to-end-flow"/>
    <w:p>
      <w:pPr>
        <w:pStyle w:val="Heading3"/>
      </w:pPr>
      <w:r>
        <w:t xml:space="preserve">13. Example End-to-End Flow</w:t>
      </w:r>
    </w:p>
    <w:p>
      <w:pPr>
        <w:pStyle w:val="FirstParagraph"/>
      </w:pPr>
      <w:r>
        <w:t xml:space="preserve">Walkthrough of a complete work instance from initiating event to outcome.</w:t>
      </w:r>
    </w:p>
    <w:bookmarkEnd w:id="34"/>
    <w:bookmarkStart w:id="35" w:name="extensibility-and-application-domains"/>
    <w:p>
      <w:pPr>
        <w:pStyle w:val="Heading3"/>
      </w:pPr>
      <w:r>
        <w:t xml:space="preserve">14. Extensibility and Application Domains</w:t>
      </w:r>
    </w:p>
    <w:p>
      <w:pPr>
        <w:pStyle w:val="FirstParagraph"/>
      </w:pPr>
      <w:r>
        <w:t xml:space="preserve">Explores how the architecture adapts to different AI use cases and industries.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otes-for-ongoing-development"/>
    <w:p>
      <w:pPr>
        <w:pStyle w:val="Heading2"/>
      </w:pPr>
      <w:r>
        <w:t xml:space="preserve">Notes for Ongoing Development</w:t>
      </w:r>
    </w:p>
    <w:p>
      <w:pPr>
        <w:pStyle w:val="Compact"/>
        <w:numPr>
          <w:ilvl w:val="0"/>
          <w:numId w:val="1001"/>
        </w:numPr>
      </w:pPr>
      <w:r>
        <w:t xml:space="preserve">This document is intentionally high-level and stable.</w:t>
      </w:r>
    </w:p>
    <w:p>
      <w:pPr>
        <w:pStyle w:val="Compact"/>
        <w:numPr>
          <w:ilvl w:val="0"/>
          <w:numId w:val="1001"/>
        </w:numPr>
      </w:pPr>
      <w:r>
        <w:t xml:space="preserve">Detailed specifications (e.g., CMB, state machines, schemas) live in companion documents.</w:t>
      </w:r>
    </w:p>
    <w:p>
      <w:pPr>
        <w:pStyle w:val="Compact"/>
        <w:numPr>
          <w:ilvl w:val="0"/>
          <w:numId w:val="1001"/>
        </w:numPr>
      </w:pPr>
      <w:r>
        <w:t xml:space="preserve">Architecture and code will co-evolve; updates to one may refine the other.</w:t>
      </w:r>
    </w:p>
    <w:p>
      <w:pPr>
        <w:pStyle w:val="Compact"/>
        <w:numPr>
          <w:ilvl w:val="0"/>
          <w:numId w:val="1001"/>
        </w:numPr>
      </w:pPr>
      <w:r>
        <w:t xml:space="preserve">This skeleton serves as the</w:t>
      </w:r>
      <w:r>
        <w:t xml:space="preserve"> </w:t>
      </w:r>
      <w:r>
        <w:rPr>
          <w:b/>
          <w:bCs/>
        </w:rPr>
        <w:t xml:space="preserve">conceptual anchor</w:t>
      </w:r>
      <w:r>
        <w:t xml:space="preserve"> </w:t>
      </w:r>
      <w:r>
        <w:t xml:space="preserve">for all future design and implementation work.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2026-01-18T17:25:21Z</dcterms:created>
  <dcterms:modified xsi:type="dcterms:W3CDTF">2026-01-18T17:25:21Z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