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20719">
      <w:pPr>
        <w:spacing w:line="500" w:lineRule="atLeast"/>
        <w:jc w:val="center"/>
        <w:divId w:val="371734053"/>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820719">
      <w:pPr>
        <w:spacing w:line="500" w:lineRule="atLeast"/>
        <w:jc w:val="center"/>
        <w:divId w:val="9063085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20719">
      <w:pPr>
        <w:spacing w:line="500" w:lineRule="atLeast"/>
        <w:jc w:val="right"/>
        <w:divId w:val="647367662"/>
        <w:rPr>
          <w:rFonts w:hint="eastAsia"/>
          <w:sz w:val="30"/>
          <w:szCs w:val="30"/>
        </w:rPr>
      </w:pPr>
      <w:r>
        <w:rPr>
          <w:rFonts w:hint="eastAsia"/>
          <w:sz w:val="30"/>
          <w:szCs w:val="30"/>
        </w:rPr>
        <w:t>（</w:t>
      </w:r>
      <w:r>
        <w:rPr>
          <w:rFonts w:hint="eastAsia"/>
          <w:sz w:val="30"/>
          <w:szCs w:val="30"/>
        </w:rPr>
        <w:t>2021</w:t>
      </w:r>
      <w:r>
        <w:rPr>
          <w:rFonts w:hint="eastAsia"/>
          <w:sz w:val="30"/>
          <w:szCs w:val="30"/>
        </w:rPr>
        <w:t>）最高法民申</w:t>
      </w:r>
      <w:r>
        <w:rPr>
          <w:rFonts w:hint="eastAsia"/>
          <w:sz w:val="30"/>
          <w:szCs w:val="30"/>
        </w:rPr>
        <w:t>3680</w:t>
      </w:r>
      <w:r>
        <w:rPr>
          <w:rFonts w:hint="eastAsia"/>
          <w:sz w:val="30"/>
          <w:szCs w:val="30"/>
        </w:rPr>
        <w:t>号</w:t>
      </w:r>
    </w:p>
    <w:p w:rsidR="00000000" w:rsidRDefault="00820719">
      <w:pPr>
        <w:spacing w:line="500" w:lineRule="atLeast"/>
        <w:ind w:firstLine="600"/>
        <w:divId w:val="1157962945"/>
        <w:rPr>
          <w:rFonts w:hint="eastAsia"/>
          <w:sz w:val="30"/>
          <w:szCs w:val="30"/>
        </w:rPr>
      </w:pPr>
      <w:r>
        <w:rPr>
          <w:rFonts w:hint="eastAsia"/>
          <w:sz w:val="30"/>
          <w:szCs w:val="30"/>
        </w:rPr>
        <w:t>再审申请人（一审原告、二审上诉人）：中铁九局集团成都工程有限公司，住所地四川省成都市金牛区金府路金府装饰城</w:t>
      </w:r>
      <w:r>
        <w:rPr>
          <w:rFonts w:hint="eastAsia"/>
          <w:sz w:val="30"/>
          <w:szCs w:val="30"/>
        </w:rPr>
        <w:t>B</w:t>
      </w:r>
      <w:r>
        <w:rPr>
          <w:rFonts w:hint="eastAsia"/>
          <w:sz w:val="30"/>
          <w:szCs w:val="30"/>
        </w:rPr>
        <w:t>区</w:t>
      </w:r>
      <w:r>
        <w:rPr>
          <w:rFonts w:hint="eastAsia"/>
          <w:sz w:val="30"/>
          <w:szCs w:val="30"/>
        </w:rPr>
        <w:t>2</w:t>
      </w:r>
      <w:r>
        <w:rPr>
          <w:rFonts w:hint="eastAsia"/>
          <w:sz w:val="30"/>
          <w:szCs w:val="30"/>
        </w:rPr>
        <w:t>栋</w:t>
      </w:r>
      <w:r>
        <w:rPr>
          <w:rFonts w:hint="eastAsia"/>
          <w:sz w:val="30"/>
          <w:szCs w:val="30"/>
        </w:rPr>
        <w:t>1</w:t>
      </w:r>
      <w:r>
        <w:rPr>
          <w:rFonts w:hint="eastAsia"/>
          <w:sz w:val="30"/>
          <w:szCs w:val="30"/>
        </w:rPr>
        <w:t>号。</w:t>
      </w:r>
    </w:p>
    <w:p w:rsidR="00000000" w:rsidRDefault="00820719">
      <w:pPr>
        <w:spacing w:line="500" w:lineRule="atLeast"/>
        <w:ind w:firstLine="600"/>
        <w:divId w:val="478108351"/>
        <w:rPr>
          <w:rFonts w:hint="eastAsia"/>
          <w:sz w:val="30"/>
          <w:szCs w:val="30"/>
        </w:rPr>
      </w:pPr>
      <w:r>
        <w:rPr>
          <w:rFonts w:hint="eastAsia"/>
          <w:sz w:val="30"/>
          <w:szCs w:val="30"/>
        </w:rPr>
        <w:t>法定代表人：李瑞岐，该公司董事长。</w:t>
      </w:r>
    </w:p>
    <w:p w:rsidR="00000000" w:rsidRDefault="00820719">
      <w:pPr>
        <w:spacing w:line="500" w:lineRule="atLeast"/>
        <w:ind w:firstLine="600"/>
        <w:divId w:val="1927763666"/>
        <w:rPr>
          <w:rFonts w:hint="eastAsia"/>
          <w:sz w:val="30"/>
          <w:szCs w:val="30"/>
        </w:rPr>
      </w:pPr>
      <w:r>
        <w:rPr>
          <w:rFonts w:hint="eastAsia"/>
          <w:sz w:val="30"/>
          <w:szCs w:val="30"/>
        </w:rPr>
        <w:t>委托诉讼代理人：霍韩琦，北京市浩天信和律师事务所律师。</w:t>
      </w:r>
    </w:p>
    <w:p w:rsidR="00000000" w:rsidRDefault="00820719">
      <w:pPr>
        <w:spacing w:line="500" w:lineRule="atLeast"/>
        <w:ind w:firstLine="600"/>
        <w:divId w:val="1771780612"/>
        <w:rPr>
          <w:rFonts w:hint="eastAsia"/>
          <w:sz w:val="30"/>
          <w:szCs w:val="30"/>
        </w:rPr>
      </w:pPr>
      <w:r>
        <w:rPr>
          <w:rFonts w:hint="eastAsia"/>
          <w:sz w:val="30"/>
          <w:szCs w:val="30"/>
        </w:rPr>
        <w:t>被申请人（一审被告、二审被上诉人）：中诚信托有限责任公司，住所地北京市东城区安外大街</w:t>
      </w:r>
      <w:r>
        <w:rPr>
          <w:rFonts w:hint="eastAsia"/>
          <w:sz w:val="30"/>
          <w:szCs w:val="30"/>
        </w:rPr>
        <w:t>2</w:t>
      </w:r>
      <w:r>
        <w:rPr>
          <w:rFonts w:hint="eastAsia"/>
          <w:sz w:val="30"/>
          <w:szCs w:val="30"/>
        </w:rPr>
        <w:t>号。</w:t>
      </w:r>
    </w:p>
    <w:p w:rsidR="00000000" w:rsidRDefault="00820719">
      <w:pPr>
        <w:spacing w:line="500" w:lineRule="atLeast"/>
        <w:ind w:firstLine="600"/>
        <w:divId w:val="1418362506"/>
        <w:rPr>
          <w:rFonts w:hint="eastAsia"/>
          <w:sz w:val="30"/>
          <w:szCs w:val="30"/>
        </w:rPr>
      </w:pPr>
      <w:r>
        <w:rPr>
          <w:rFonts w:hint="eastAsia"/>
          <w:sz w:val="30"/>
          <w:szCs w:val="30"/>
        </w:rPr>
        <w:t>法定代表人：牛成立，该公司董事长。</w:t>
      </w:r>
    </w:p>
    <w:p w:rsidR="00000000" w:rsidRDefault="00820719">
      <w:pPr>
        <w:spacing w:line="500" w:lineRule="atLeast"/>
        <w:ind w:firstLine="600"/>
        <w:divId w:val="345593828"/>
        <w:rPr>
          <w:rFonts w:hint="eastAsia"/>
          <w:sz w:val="30"/>
          <w:szCs w:val="30"/>
        </w:rPr>
      </w:pPr>
      <w:r>
        <w:rPr>
          <w:rFonts w:hint="eastAsia"/>
          <w:sz w:val="30"/>
          <w:szCs w:val="30"/>
        </w:rPr>
        <w:t>委托诉讼代理人：陈伟，北京大成（成都）律师事务所律师。</w:t>
      </w:r>
    </w:p>
    <w:p w:rsidR="00000000" w:rsidRDefault="00820719">
      <w:pPr>
        <w:spacing w:line="500" w:lineRule="atLeast"/>
        <w:ind w:firstLine="600"/>
        <w:divId w:val="1546287338"/>
        <w:rPr>
          <w:rFonts w:hint="eastAsia"/>
          <w:sz w:val="30"/>
          <w:szCs w:val="30"/>
        </w:rPr>
      </w:pPr>
      <w:r>
        <w:rPr>
          <w:rFonts w:hint="eastAsia"/>
          <w:sz w:val="30"/>
          <w:szCs w:val="30"/>
        </w:rPr>
        <w:t>委托诉讼代理人：唐骄煜，北京大成（成都）律师事务所律师。</w:t>
      </w:r>
    </w:p>
    <w:p w:rsidR="00000000" w:rsidRDefault="00820719">
      <w:pPr>
        <w:spacing w:line="500" w:lineRule="atLeast"/>
        <w:ind w:firstLine="600"/>
        <w:divId w:val="1320233986"/>
        <w:rPr>
          <w:rFonts w:hint="eastAsia"/>
          <w:sz w:val="30"/>
          <w:szCs w:val="30"/>
        </w:rPr>
      </w:pPr>
      <w:r>
        <w:rPr>
          <w:rFonts w:hint="eastAsia"/>
          <w:sz w:val="30"/>
          <w:szCs w:val="30"/>
        </w:rPr>
        <w:t>再审申请人中铁九局集团成都工程有限公司（以下简称中铁九局成都工程公司）因与被申请人中诚信托有限责任公司（以下简称中诚信托公司）执行异议之诉一案，不服四川省高级人民法院（</w:t>
      </w:r>
      <w:r>
        <w:rPr>
          <w:rFonts w:hint="eastAsia"/>
          <w:sz w:val="30"/>
          <w:szCs w:val="30"/>
        </w:rPr>
        <w:t>2020</w:t>
      </w:r>
      <w:r>
        <w:rPr>
          <w:rFonts w:hint="eastAsia"/>
          <w:sz w:val="30"/>
          <w:szCs w:val="30"/>
        </w:rPr>
        <w:t>）川民终</w:t>
      </w:r>
      <w:r>
        <w:rPr>
          <w:rFonts w:hint="eastAsia"/>
          <w:sz w:val="30"/>
          <w:szCs w:val="30"/>
        </w:rPr>
        <w:t>97</w:t>
      </w:r>
      <w:r>
        <w:rPr>
          <w:rFonts w:hint="eastAsia"/>
          <w:sz w:val="30"/>
          <w:szCs w:val="30"/>
        </w:rPr>
        <w:t>号民事判决，向本院申请再审。本院依法组成合议庭进行了审查，现已审查终结。</w:t>
      </w:r>
    </w:p>
    <w:p w:rsidR="00000000" w:rsidRDefault="00820719">
      <w:pPr>
        <w:spacing w:line="500" w:lineRule="atLeast"/>
        <w:ind w:firstLine="600"/>
        <w:divId w:val="1647931473"/>
        <w:rPr>
          <w:rFonts w:hint="eastAsia"/>
          <w:sz w:val="30"/>
          <w:szCs w:val="30"/>
        </w:rPr>
      </w:pPr>
      <w:r>
        <w:rPr>
          <w:rFonts w:hint="eastAsia"/>
          <w:sz w:val="30"/>
          <w:szCs w:val="30"/>
        </w:rPr>
        <w:t>中铁九局成都工程公司申请再审称：一、刘庆伟等人伪造中铁九局成都工程公司的印章并冒用其名义签署《借款合同》等，原审法院未查清印章真伪，即以伪造的证据作为裁判依据，认定事实错误。二、中铁九局成都工</w:t>
      </w:r>
      <w:r>
        <w:rPr>
          <w:rFonts w:hint="eastAsia"/>
          <w:sz w:val="30"/>
          <w:szCs w:val="30"/>
        </w:rPr>
        <w:t>程公司向一审法院申请调取魏芳在公安机关的询问笔录，该院以该证据应属其自行收集提供的证据为由不予准许，违反法律规定。三、《最高人</w:t>
      </w:r>
      <w:r>
        <w:rPr>
          <w:rFonts w:hint="eastAsia"/>
          <w:sz w:val="30"/>
          <w:szCs w:val="30"/>
        </w:rPr>
        <w:lastRenderedPageBreak/>
        <w:t>民法院关于在审理经济纠纷案件中涉及经济犯罪嫌疑若干问题的规定》第三条的适用前提是行为人使用单位的真实印章，而本案刘庆伟等人私刻印章，不符合该条的适用前提。原审判决适用法律错误。四、案涉《借款合同》是刘庆伟等人实施贷款诈骗的手段，属于《中华人民共和国合同法》第五十二条规定的“以合法形式掩盖非法目的”而无效的情形。即便认定《借款合同》有效，中诚信托公司在放贷过程中违反监管规定及交易惯例，</w:t>
      </w:r>
      <w:r>
        <w:rPr>
          <w:rFonts w:hint="eastAsia"/>
          <w:sz w:val="30"/>
          <w:szCs w:val="30"/>
        </w:rPr>
        <w:t>应承担相应责任。五、刘庆伟等人诈骗中诚信托公司贷款的行为属于个人犯罪行为而非职务行为，中铁九局成都工程公司未参与、未获利。原审法院判决中铁九局成都工程公司承担责任，缺乏依据。六、案涉（</w:t>
      </w:r>
      <w:r>
        <w:rPr>
          <w:rFonts w:hint="eastAsia"/>
          <w:sz w:val="30"/>
          <w:szCs w:val="30"/>
        </w:rPr>
        <w:t>2016</w:t>
      </w:r>
      <w:r>
        <w:rPr>
          <w:rFonts w:hint="eastAsia"/>
          <w:sz w:val="30"/>
          <w:szCs w:val="30"/>
        </w:rPr>
        <w:t>）成高证经字第</w:t>
      </w:r>
      <w:r>
        <w:rPr>
          <w:rFonts w:hint="eastAsia"/>
          <w:sz w:val="30"/>
          <w:szCs w:val="30"/>
        </w:rPr>
        <w:t>6386</w:t>
      </w:r>
      <w:r>
        <w:rPr>
          <w:rFonts w:hint="eastAsia"/>
          <w:sz w:val="30"/>
          <w:szCs w:val="30"/>
        </w:rPr>
        <w:t>号《具有强制执行效力的债权文书公证书》载明的民事权利义务关系与事实不符，应当判决不予执行。七、刘庆伟等人涉嫌贷款诈骗罪被公安机关立案，刑事案件与本案民事纠纷存在高度关联性，依法本案应中止审理或移送公安机关。综上，本案符合《中华人民共和国民事诉讼法》第二百条第二项、第三项、第五项、第六项规定，应当予</w:t>
      </w:r>
      <w:r>
        <w:rPr>
          <w:rFonts w:hint="eastAsia"/>
          <w:sz w:val="30"/>
          <w:szCs w:val="30"/>
        </w:rPr>
        <w:t>以再审。</w:t>
      </w:r>
    </w:p>
    <w:p w:rsidR="00000000" w:rsidRDefault="00820719">
      <w:pPr>
        <w:spacing w:line="500" w:lineRule="atLeast"/>
        <w:ind w:firstLine="600"/>
        <w:divId w:val="1852989602"/>
        <w:rPr>
          <w:rFonts w:hint="eastAsia"/>
          <w:sz w:val="30"/>
          <w:szCs w:val="30"/>
        </w:rPr>
      </w:pPr>
      <w:r>
        <w:rPr>
          <w:rFonts w:hint="eastAsia"/>
          <w:sz w:val="30"/>
          <w:szCs w:val="30"/>
        </w:rPr>
        <w:t>中诚信托公司述称：一、中铁九局成都工程公司主张“印章系伪造”、“法院未调查取证”等不能成立。无证据证明《借款合同》《中铁九局集团成都工程有限公司股东会决议》的印章系伪造，且是否与样本一致、是否伪造，对《借款合同》效力不产生影响。原审法院不同意中铁九局成都工程公司的调查取证申请程序合法。二、中铁九局成都工程公司关于《借款合同》无效、即使合同有效中诚信托公司应承担责任的主张不成立。案涉《借款合同》有效，中铁九局成都工程公司称中诚信托公司并非善意，无事实和法律依据。三、中铁九局成都工程公司关于刘庆伟的行</w:t>
      </w:r>
      <w:r>
        <w:rPr>
          <w:rFonts w:hint="eastAsia"/>
          <w:sz w:val="30"/>
          <w:szCs w:val="30"/>
        </w:rPr>
        <w:t>为不属于职务行为的主张不成立。刘庆伟与中诚信托公司签订《借款合同》，属于职务行为，应由中铁九局成都工程公司承担民事责任。四、案涉公证债权文书所载明的民事权利义务关系与事实相符。五、本案不应移送也不应中止审理。刘庆伟的行为若构成犯罪应由中铁九局成都工程公司自行追究。六、中铁九局成都工程公司的再审申请已经超过法定期限。综上，请求驳回中铁九局成都工程公司的再审申请。</w:t>
      </w:r>
    </w:p>
    <w:p w:rsidR="00000000" w:rsidRDefault="00820719">
      <w:pPr>
        <w:spacing w:line="500" w:lineRule="atLeast"/>
        <w:ind w:firstLine="600"/>
        <w:divId w:val="1220705333"/>
        <w:rPr>
          <w:rFonts w:hint="eastAsia"/>
          <w:sz w:val="30"/>
          <w:szCs w:val="30"/>
        </w:rPr>
      </w:pPr>
      <w:r>
        <w:rPr>
          <w:rFonts w:hint="eastAsia"/>
          <w:sz w:val="30"/>
          <w:szCs w:val="30"/>
        </w:rPr>
        <w:t>本院经审查认为：首先，中铁九局成都工程公司以《借款合同》上加盖的该公司公章系刘庆伟私刻为由，主张《借款合同》非其真实意思表示，其不应承担《借款合同》</w:t>
      </w:r>
      <w:r>
        <w:rPr>
          <w:rFonts w:hint="eastAsia"/>
          <w:sz w:val="30"/>
          <w:szCs w:val="30"/>
        </w:rPr>
        <w:t>项下义务。本院认为，合同是否为当事人的真实意思表示，应综合签约人在签约之时是否具有代表权、合同相对人对签约人的代表权是否进行了谨慎审查等情形进行判断；合同上公章的真假并非判断当事人真实意思表示的唯一依据。根据原审判决查明事实，《借款合同》订立时，刘庆伟系中铁九局成都工程公司的法定代表人，中诚信托公司审查了该公司的工商登记资料以及《中铁九局集团成都工程有限公司股东会决议》，已经尽到了其合理注意义务。原审判决认定中铁九局成都工程公司未提交证据证明中诚信托公司为非善意相对人、刘庆伟的行为系履职行为其行为后果应当由</w:t>
      </w:r>
      <w:r>
        <w:rPr>
          <w:rFonts w:hint="eastAsia"/>
          <w:sz w:val="30"/>
          <w:szCs w:val="30"/>
        </w:rPr>
        <w:t>中铁九局成都工程公司承担，有事实依据和法律依据。中铁九局成都工程公司关于原审法院未查明《借款合同》上公章的真假、依据伪造证据认定案件事实以及未准予其调取证据的申请违反法律规定等主张，均不能成立。其次，本案中，尚无证据证明刘庆伟的行为构成刑事犯罪，且即便本案涉嫌刑事犯罪，但在无证据证明《借款合同》双方当事人具有恶意串通损害他人利益或国家利益等情形下，《借款合同》并不具有应当认定为无效的法定情形。原审判决认定《借款合同》有效，并无不当。再次，如前所述，案涉《借款合同》应属中铁九局成都工程公司的真实意思表示，中铁</w:t>
      </w:r>
      <w:r>
        <w:rPr>
          <w:rFonts w:hint="eastAsia"/>
          <w:sz w:val="30"/>
          <w:szCs w:val="30"/>
        </w:rPr>
        <w:t>九局成都工程公司应当履行《借款合同》项下义务。原审判决认定中铁九局成都工程公司关于案涉公证债权文书载明的民事权利义务关系与事实不符的主张不能成立，亦无不当。最后，根据本案证据，足以认定刘庆伟以中铁九局成都工程公司名义与中诚信托公司签订的《借款合同》有效，刘庆伟涉嫌犯罪行为不影响中铁九局成都工程公司应当向中诚信托公司承担本案民事责任。原审法院认定本案与刘庆伟涉嫌犯罪的刑事案件应当分别审理，本案不应中止审理或移送公安机关，适用法律正确。此外，经审查，中铁九局成都工程公司的再审申请未超过法定期限。</w:t>
      </w:r>
    </w:p>
    <w:p w:rsidR="00000000" w:rsidRDefault="00820719">
      <w:pPr>
        <w:spacing w:line="500" w:lineRule="atLeast"/>
        <w:ind w:firstLine="600"/>
        <w:divId w:val="890924312"/>
        <w:rPr>
          <w:rFonts w:hint="eastAsia"/>
          <w:sz w:val="30"/>
          <w:szCs w:val="30"/>
        </w:rPr>
      </w:pPr>
      <w:r>
        <w:rPr>
          <w:rFonts w:hint="eastAsia"/>
          <w:sz w:val="30"/>
          <w:szCs w:val="30"/>
        </w:rPr>
        <w:t>综上，中铁九局</w:t>
      </w:r>
      <w:r>
        <w:rPr>
          <w:rFonts w:hint="eastAsia"/>
          <w:sz w:val="30"/>
          <w:szCs w:val="30"/>
        </w:rPr>
        <w:t>成都工程公司的再审申请不符合《中华人民共和国民事诉讼法》第二百条第二项、第三项、第五项、第六项规定的情形。依照《中华人民共和国民事诉讼法》第二百零四条第一款，《最高人民法院关于适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820719">
      <w:pPr>
        <w:spacing w:line="500" w:lineRule="atLeast"/>
        <w:ind w:firstLine="600"/>
        <w:divId w:val="1522282261"/>
        <w:rPr>
          <w:rFonts w:hint="eastAsia"/>
          <w:sz w:val="30"/>
          <w:szCs w:val="30"/>
        </w:rPr>
      </w:pPr>
      <w:r>
        <w:rPr>
          <w:rFonts w:hint="eastAsia"/>
          <w:sz w:val="30"/>
          <w:szCs w:val="30"/>
        </w:rPr>
        <w:t>驳回中铁九局集团成都工程有限公司的再审申请。</w:t>
      </w:r>
    </w:p>
    <w:p w:rsidR="00000000" w:rsidRDefault="00820719">
      <w:pPr>
        <w:spacing w:line="500" w:lineRule="atLeast"/>
        <w:jc w:val="right"/>
        <w:divId w:val="117029675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张爱珍</w:t>
      </w:r>
    </w:p>
    <w:p w:rsidR="00000000" w:rsidRDefault="00820719">
      <w:pPr>
        <w:spacing w:line="500" w:lineRule="atLeast"/>
        <w:jc w:val="right"/>
        <w:divId w:val="49866472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孙建国</w:t>
      </w:r>
    </w:p>
    <w:p w:rsidR="00000000" w:rsidRDefault="00820719">
      <w:pPr>
        <w:spacing w:line="500" w:lineRule="atLeast"/>
        <w:jc w:val="right"/>
        <w:divId w:val="147167644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孙晓光</w:t>
      </w:r>
    </w:p>
    <w:p w:rsidR="00000000" w:rsidRDefault="00820719">
      <w:pPr>
        <w:spacing w:line="500" w:lineRule="atLeast"/>
        <w:jc w:val="right"/>
        <w:divId w:val="1396978160"/>
        <w:rPr>
          <w:rFonts w:hint="eastAsia"/>
          <w:sz w:val="30"/>
          <w:szCs w:val="30"/>
        </w:rPr>
      </w:pPr>
      <w:r>
        <w:rPr>
          <w:rFonts w:hint="eastAsia"/>
          <w:sz w:val="30"/>
          <w:szCs w:val="30"/>
        </w:rPr>
        <w:t>二〇二一年八月十六日</w:t>
      </w:r>
    </w:p>
    <w:p w:rsidR="00000000" w:rsidRDefault="00820719">
      <w:pPr>
        <w:spacing w:line="500" w:lineRule="atLeast"/>
        <w:jc w:val="right"/>
        <w:divId w:val="1295603840"/>
        <w:rPr>
          <w:rFonts w:hint="eastAsia"/>
          <w:sz w:val="30"/>
          <w:szCs w:val="30"/>
        </w:rPr>
      </w:pPr>
      <w:r>
        <w:rPr>
          <w:rFonts w:hint="eastAsia"/>
          <w:sz w:val="30"/>
          <w:szCs w:val="30"/>
        </w:rPr>
        <w:t>法官助理　仇彦军</w:t>
      </w:r>
    </w:p>
    <w:p w:rsidR="00000000" w:rsidRDefault="00820719">
      <w:pPr>
        <w:spacing w:line="500" w:lineRule="atLeast"/>
        <w:jc w:val="right"/>
        <w:divId w:val="1054963777"/>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邓　志</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719" w:rsidRDefault="00820719" w:rsidP="00820719">
      <w:r>
        <w:separator/>
      </w:r>
    </w:p>
  </w:endnote>
  <w:endnote w:type="continuationSeparator" w:id="0">
    <w:p w:rsidR="00820719" w:rsidRDefault="00820719" w:rsidP="0082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719" w:rsidRDefault="00820719" w:rsidP="00820719">
      <w:r>
        <w:separator/>
      </w:r>
    </w:p>
  </w:footnote>
  <w:footnote w:type="continuationSeparator" w:id="0">
    <w:p w:rsidR="00820719" w:rsidRDefault="00820719" w:rsidP="008207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0719"/>
    <w:rsid w:val="00820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02E0B36-8AD3-4D0D-BD6F-F2170FC9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207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0719"/>
    <w:rPr>
      <w:rFonts w:ascii="宋体" w:eastAsia="宋体" w:hAnsi="宋体" w:cs="宋体"/>
      <w:sz w:val="18"/>
      <w:szCs w:val="18"/>
    </w:rPr>
  </w:style>
  <w:style w:type="paragraph" w:styleId="a5">
    <w:name w:val="footer"/>
    <w:basedOn w:val="a"/>
    <w:link w:val="a6"/>
    <w:uiPriority w:val="99"/>
    <w:unhideWhenUsed/>
    <w:rsid w:val="00820719"/>
    <w:pPr>
      <w:tabs>
        <w:tab w:val="center" w:pos="4153"/>
        <w:tab w:val="right" w:pos="8306"/>
      </w:tabs>
      <w:snapToGrid w:val="0"/>
    </w:pPr>
    <w:rPr>
      <w:sz w:val="18"/>
      <w:szCs w:val="18"/>
    </w:rPr>
  </w:style>
  <w:style w:type="character" w:customStyle="1" w:styleId="a6">
    <w:name w:val="页脚 字符"/>
    <w:basedOn w:val="a0"/>
    <w:link w:val="a5"/>
    <w:uiPriority w:val="99"/>
    <w:rsid w:val="0082071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93828">
      <w:marLeft w:val="0"/>
      <w:marRight w:val="0"/>
      <w:marTop w:val="10"/>
      <w:marBottom w:val="10"/>
      <w:divBdr>
        <w:top w:val="none" w:sz="0" w:space="0" w:color="auto"/>
        <w:left w:val="none" w:sz="0" w:space="0" w:color="auto"/>
        <w:bottom w:val="none" w:sz="0" w:space="0" w:color="auto"/>
        <w:right w:val="none" w:sz="0" w:space="0" w:color="auto"/>
      </w:divBdr>
    </w:div>
    <w:div w:id="371734053">
      <w:marLeft w:val="0"/>
      <w:marRight w:val="0"/>
      <w:marTop w:val="10"/>
      <w:marBottom w:val="10"/>
      <w:divBdr>
        <w:top w:val="none" w:sz="0" w:space="0" w:color="auto"/>
        <w:left w:val="none" w:sz="0" w:space="0" w:color="auto"/>
        <w:bottom w:val="none" w:sz="0" w:space="0" w:color="auto"/>
        <w:right w:val="none" w:sz="0" w:space="0" w:color="auto"/>
      </w:divBdr>
    </w:div>
    <w:div w:id="478108351">
      <w:marLeft w:val="0"/>
      <w:marRight w:val="0"/>
      <w:marTop w:val="10"/>
      <w:marBottom w:val="10"/>
      <w:divBdr>
        <w:top w:val="none" w:sz="0" w:space="0" w:color="auto"/>
        <w:left w:val="none" w:sz="0" w:space="0" w:color="auto"/>
        <w:bottom w:val="none" w:sz="0" w:space="0" w:color="auto"/>
        <w:right w:val="none" w:sz="0" w:space="0" w:color="auto"/>
      </w:divBdr>
    </w:div>
    <w:div w:id="498664727">
      <w:marLeft w:val="0"/>
      <w:marRight w:val="720"/>
      <w:marTop w:val="10"/>
      <w:marBottom w:val="10"/>
      <w:divBdr>
        <w:top w:val="none" w:sz="0" w:space="0" w:color="auto"/>
        <w:left w:val="none" w:sz="0" w:space="0" w:color="auto"/>
        <w:bottom w:val="none" w:sz="0" w:space="0" w:color="auto"/>
        <w:right w:val="none" w:sz="0" w:space="0" w:color="auto"/>
      </w:divBdr>
    </w:div>
    <w:div w:id="647367662">
      <w:marLeft w:val="0"/>
      <w:marRight w:val="0"/>
      <w:marTop w:val="10"/>
      <w:marBottom w:val="10"/>
      <w:divBdr>
        <w:top w:val="none" w:sz="0" w:space="0" w:color="auto"/>
        <w:left w:val="none" w:sz="0" w:space="0" w:color="auto"/>
        <w:bottom w:val="none" w:sz="0" w:space="0" w:color="auto"/>
        <w:right w:val="none" w:sz="0" w:space="0" w:color="auto"/>
      </w:divBdr>
    </w:div>
    <w:div w:id="890924312">
      <w:marLeft w:val="0"/>
      <w:marRight w:val="0"/>
      <w:marTop w:val="10"/>
      <w:marBottom w:val="10"/>
      <w:divBdr>
        <w:top w:val="none" w:sz="0" w:space="0" w:color="auto"/>
        <w:left w:val="none" w:sz="0" w:space="0" w:color="auto"/>
        <w:bottom w:val="none" w:sz="0" w:space="0" w:color="auto"/>
        <w:right w:val="none" w:sz="0" w:space="0" w:color="auto"/>
      </w:divBdr>
    </w:div>
    <w:div w:id="906308545">
      <w:marLeft w:val="0"/>
      <w:marRight w:val="0"/>
      <w:marTop w:val="10"/>
      <w:marBottom w:val="10"/>
      <w:divBdr>
        <w:top w:val="none" w:sz="0" w:space="0" w:color="auto"/>
        <w:left w:val="none" w:sz="0" w:space="0" w:color="auto"/>
        <w:bottom w:val="none" w:sz="0" w:space="0" w:color="auto"/>
        <w:right w:val="none" w:sz="0" w:space="0" w:color="auto"/>
      </w:divBdr>
    </w:div>
    <w:div w:id="1054963777">
      <w:marLeft w:val="0"/>
      <w:marRight w:val="720"/>
      <w:marTop w:val="10"/>
      <w:marBottom w:val="10"/>
      <w:divBdr>
        <w:top w:val="none" w:sz="0" w:space="0" w:color="auto"/>
        <w:left w:val="none" w:sz="0" w:space="0" w:color="auto"/>
        <w:bottom w:val="none" w:sz="0" w:space="0" w:color="auto"/>
        <w:right w:val="none" w:sz="0" w:space="0" w:color="auto"/>
      </w:divBdr>
    </w:div>
    <w:div w:id="1157962945">
      <w:marLeft w:val="0"/>
      <w:marRight w:val="0"/>
      <w:marTop w:val="10"/>
      <w:marBottom w:val="10"/>
      <w:divBdr>
        <w:top w:val="none" w:sz="0" w:space="0" w:color="auto"/>
        <w:left w:val="none" w:sz="0" w:space="0" w:color="auto"/>
        <w:bottom w:val="none" w:sz="0" w:space="0" w:color="auto"/>
        <w:right w:val="none" w:sz="0" w:space="0" w:color="auto"/>
      </w:divBdr>
    </w:div>
    <w:div w:id="1170296755">
      <w:marLeft w:val="0"/>
      <w:marRight w:val="720"/>
      <w:marTop w:val="10"/>
      <w:marBottom w:val="10"/>
      <w:divBdr>
        <w:top w:val="none" w:sz="0" w:space="0" w:color="auto"/>
        <w:left w:val="none" w:sz="0" w:space="0" w:color="auto"/>
        <w:bottom w:val="none" w:sz="0" w:space="0" w:color="auto"/>
        <w:right w:val="none" w:sz="0" w:space="0" w:color="auto"/>
      </w:divBdr>
    </w:div>
    <w:div w:id="1220705333">
      <w:marLeft w:val="0"/>
      <w:marRight w:val="0"/>
      <w:marTop w:val="10"/>
      <w:marBottom w:val="10"/>
      <w:divBdr>
        <w:top w:val="none" w:sz="0" w:space="0" w:color="auto"/>
        <w:left w:val="none" w:sz="0" w:space="0" w:color="auto"/>
        <w:bottom w:val="none" w:sz="0" w:space="0" w:color="auto"/>
        <w:right w:val="none" w:sz="0" w:space="0" w:color="auto"/>
      </w:divBdr>
    </w:div>
    <w:div w:id="1295603840">
      <w:marLeft w:val="0"/>
      <w:marRight w:val="720"/>
      <w:marTop w:val="10"/>
      <w:marBottom w:val="10"/>
      <w:divBdr>
        <w:top w:val="none" w:sz="0" w:space="0" w:color="auto"/>
        <w:left w:val="none" w:sz="0" w:space="0" w:color="auto"/>
        <w:bottom w:val="none" w:sz="0" w:space="0" w:color="auto"/>
        <w:right w:val="none" w:sz="0" w:space="0" w:color="auto"/>
      </w:divBdr>
    </w:div>
    <w:div w:id="1320233986">
      <w:marLeft w:val="0"/>
      <w:marRight w:val="0"/>
      <w:marTop w:val="10"/>
      <w:marBottom w:val="10"/>
      <w:divBdr>
        <w:top w:val="none" w:sz="0" w:space="0" w:color="auto"/>
        <w:left w:val="none" w:sz="0" w:space="0" w:color="auto"/>
        <w:bottom w:val="none" w:sz="0" w:space="0" w:color="auto"/>
        <w:right w:val="none" w:sz="0" w:space="0" w:color="auto"/>
      </w:divBdr>
    </w:div>
    <w:div w:id="1396978160">
      <w:marLeft w:val="0"/>
      <w:marRight w:val="720"/>
      <w:marTop w:val="10"/>
      <w:marBottom w:val="10"/>
      <w:divBdr>
        <w:top w:val="none" w:sz="0" w:space="0" w:color="auto"/>
        <w:left w:val="none" w:sz="0" w:space="0" w:color="auto"/>
        <w:bottom w:val="none" w:sz="0" w:space="0" w:color="auto"/>
        <w:right w:val="none" w:sz="0" w:space="0" w:color="auto"/>
      </w:divBdr>
    </w:div>
    <w:div w:id="1418362506">
      <w:marLeft w:val="0"/>
      <w:marRight w:val="0"/>
      <w:marTop w:val="10"/>
      <w:marBottom w:val="10"/>
      <w:divBdr>
        <w:top w:val="none" w:sz="0" w:space="0" w:color="auto"/>
        <w:left w:val="none" w:sz="0" w:space="0" w:color="auto"/>
        <w:bottom w:val="none" w:sz="0" w:space="0" w:color="auto"/>
        <w:right w:val="none" w:sz="0" w:space="0" w:color="auto"/>
      </w:divBdr>
    </w:div>
    <w:div w:id="1471676445">
      <w:marLeft w:val="0"/>
      <w:marRight w:val="720"/>
      <w:marTop w:val="10"/>
      <w:marBottom w:val="10"/>
      <w:divBdr>
        <w:top w:val="none" w:sz="0" w:space="0" w:color="auto"/>
        <w:left w:val="none" w:sz="0" w:space="0" w:color="auto"/>
        <w:bottom w:val="none" w:sz="0" w:space="0" w:color="auto"/>
        <w:right w:val="none" w:sz="0" w:space="0" w:color="auto"/>
      </w:divBdr>
    </w:div>
    <w:div w:id="1522282261">
      <w:marLeft w:val="0"/>
      <w:marRight w:val="0"/>
      <w:marTop w:val="10"/>
      <w:marBottom w:val="10"/>
      <w:divBdr>
        <w:top w:val="none" w:sz="0" w:space="0" w:color="auto"/>
        <w:left w:val="none" w:sz="0" w:space="0" w:color="auto"/>
        <w:bottom w:val="none" w:sz="0" w:space="0" w:color="auto"/>
        <w:right w:val="none" w:sz="0" w:space="0" w:color="auto"/>
      </w:divBdr>
    </w:div>
    <w:div w:id="1546287338">
      <w:marLeft w:val="0"/>
      <w:marRight w:val="0"/>
      <w:marTop w:val="10"/>
      <w:marBottom w:val="10"/>
      <w:divBdr>
        <w:top w:val="none" w:sz="0" w:space="0" w:color="auto"/>
        <w:left w:val="none" w:sz="0" w:space="0" w:color="auto"/>
        <w:bottom w:val="none" w:sz="0" w:space="0" w:color="auto"/>
        <w:right w:val="none" w:sz="0" w:space="0" w:color="auto"/>
      </w:divBdr>
    </w:div>
    <w:div w:id="1647931473">
      <w:marLeft w:val="0"/>
      <w:marRight w:val="0"/>
      <w:marTop w:val="10"/>
      <w:marBottom w:val="10"/>
      <w:divBdr>
        <w:top w:val="none" w:sz="0" w:space="0" w:color="auto"/>
        <w:left w:val="none" w:sz="0" w:space="0" w:color="auto"/>
        <w:bottom w:val="none" w:sz="0" w:space="0" w:color="auto"/>
        <w:right w:val="none" w:sz="0" w:space="0" w:color="auto"/>
      </w:divBdr>
    </w:div>
    <w:div w:id="1771780612">
      <w:marLeft w:val="0"/>
      <w:marRight w:val="0"/>
      <w:marTop w:val="10"/>
      <w:marBottom w:val="10"/>
      <w:divBdr>
        <w:top w:val="none" w:sz="0" w:space="0" w:color="auto"/>
        <w:left w:val="none" w:sz="0" w:space="0" w:color="auto"/>
        <w:bottom w:val="none" w:sz="0" w:space="0" w:color="auto"/>
        <w:right w:val="none" w:sz="0" w:space="0" w:color="auto"/>
      </w:divBdr>
    </w:div>
    <w:div w:id="1852989602">
      <w:marLeft w:val="0"/>
      <w:marRight w:val="0"/>
      <w:marTop w:val="10"/>
      <w:marBottom w:val="10"/>
      <w:divBdr>
        <w:top w:val="none" w:sz="0" w:space="0" w:color="auto"/>
        <w:left w:val="none" w:sz="0" w:space="0" w:color="auto"/>
        <w:bottom w:val="none" w:sz="0" w:space="0" w:color="auto"/>
        <w:right w:val="none" w:sz="0" w:space="0" w:color="auto"/>
      </w:divBdr>
    </w:div>
    <w:div w:id="19277636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Ironboy</dc:creator>
  <cp:keywords/>
  <dc:description/>
  <cp:lastModifiedBy>Ironboy</cp:lastModifiedBy>
  <cp:revision>2</cp:revision>
  <dcterms:created xsi:type="dcterms:W3CDTF">2021-12-11T03:00:00Z</dcterms:created>
  <dcterms:modified xsi:type="dcterms:W3CDTF">2021-12-11T03:00:00Z</dcterms:modified>
</cp:coreProperties>
</file>