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54413">
      <w:pPr>
        <w:spacing w:line="500" w:lineRule="atLeast"/>
        <w:jc w:val="center"/>
        <w:divId w:val="1480461520"/>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154413">
      <w:pPr>
        <w:spacing w:line="500" w:lineRule="atLeast"/>
        <w:jc w:val="center"/>
        <w:divId w:val="772894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54413">
      <w:pPr>
        <w:spacing w:line="500" w:lineRule="atLeast"/>
        <w:jc w:val="right"/>
        <w:divId w:val="388380520"/>
        <w:rPr>
          <w:rFonts w:hint="eastAsia"/>
          <w:sz w:val="30"/>
          <w:szCs w:val="30"/>
        </w:rPr>
      </w:pPr>
      <w:r>
        <w:rPr>
          <w:rFonts w:hint="eastAsia"/>
          <w:sz w:val="30"/>
          <w:szCs w:val="30"/>
        </w:rPr>
        <w:t>（</w:t>
      </w:r>
      <w:r>
        <w:rPr>
          <w:rFonts w:hint="eastAsia"/>
          <w:sz w:val="30"/>
          <w:szCs w:val="30"/>
        </w:rPr>
        <w:t>2021</w:t>
      </w:r>
      <w:r>
        <w:rPr>
          <w:rFonts w:hint="eastAsia"/>
          <w:sz w:val="30"/>
          <w:szCs w:val="30"/>
        </w:rPr>
        <w:t>）最高法民申</w:t>
      </w:r>
      <w:r>
        <w:rPr>
          <w:rFonts w:hint="eastAsia"/>
          <w:sz w:val="30"/>
          <w:szCs w:val="30"/>
        </w:rPr>
        <w:t>3681</w:t>
      </w:r>
      <w:r>
        <w:rPr>
          <w:rFonts w:hint="eastAsia"/>
          <w:sz w:val="30"/>
          <w:szCs w:val="30"/>
        </w:rPr>
        <w:t>号</w:t>
      </w:r>
    </w:p>
    <w:p w:rsidR="00000000" w:rsidRDefault="00154413">
      <w:pPr>
        <w:spacing w:line="500" w:lineRule="atLeast"/>
        <w:ind w:firstLine="600"/>
        <w:divId w:val="936063544"/>
        <w:rPr>
          <w:rFonts w:hint="eastAsia"/>
          <w:sz w:val="30"/>
          <w:szCs w:val="30"/>
        </w:rPr>
      </w:pPr>
      <w:r>
        <w:rPr>
          <w:rFonts w:hint="eastAsia"/>
          <w:sz w:val="30"/>
          <w:szCs w:val="30"/>
        </w:rPr>
        <w:t>再审申请人（一审原告、二审上诉人）：中铁九局集团有限公司，住所地辽宁省沈阳市沈河区敬宾街</w:t>
      </w:r>
      <w:r>
        <w:rPr>
          <w:rFonts w:hint="eastAsia"/>
          <w:sz w:val="30"/>
          <w:szCs w:val="30"/>
        </w:rPr>
        <w:t>3-1</w:t>
      </w:r>
      <w:r>
        <w:rPr>
          <w:rFonts w:hint="eastAsia"/>
          <w:sz w:val="30"/>
          <w:szCs w:val="30"/>
        </w:rPr>
        <w:t>号。</w:t>
      </w:r>
    </w:p>
    <w:p w:rsidR="00000000" w:rsidRDefault="00154413">
      <w:pPr>
        <w:spacing w:line="500" w:lineRule="atLeast"/>
        <w:ind w:firstLine="600"/>
        <w:divId w:val="653753466"/>
        <w:rPr>
          <w:rFonts w:hint="eastAsia"/>
          <w:sz w:val="30"/>
          <w:szCs w:val="30"/>
        </w:rPr>
      </w:pPr>
      <w:r>
        <w:rPr>
          <w:rFonts w:hint="eastAsia"/>
          <w:sz w:val="30"/>
          <w:szCs w:val="30"/>
        </w:rPr>
        <w:t>法定代表人：赵中华，该公司董事长。</w:t>
      </w:r>
    </w:p>
    <w:p w:rsidR="00000000" w:rsidRDefault="00154413">
      <w:pPr>
        <w:spacing w:line="500" w:lineRule="atLeast"/>
        <w:ind w:firstLine="600"/>
        <w:divId w:val="188102863"/>
        <w:rPr>
          <w:rFonts w:hint="eastAsia"/>
          <w:sz w:val="30"/>
          <w:szCs w:val="30"/>
        </w:rPr>
      </w:pPr>
      <w:r>
        <w:rPr>
          <w:rFonts w:hint="eastAsia"/>
          <w:sz w:val="30"/>
          <w:szCs w:val="30"/>
        </w:rPr>
        <w:t>委托诉讼代理人：孟宪凯，该公司员工。</w:t>
      </w:r>
    </w:p>
    <w:p w:rsidR="00000000" w:rsidRDefault="00154413">
      <w:pPr>
        <w:spacing w:line="500" w:lineRule="atLeast"/>
        <w:ind w:firstLine="600"/>
        <w:divId w:val="2096708562"/>
        <w:rPr>
          <w:rFonts w:hint="eastAsia"/>
          <w:sz w:val="30"/>
          <w:szCs w:val="30"/>
        </w:rPr>
      </w:pPr>
      <w:r>
        <w:rPr>
          <w:rFonts w:hint="eastAsia"/>
          <w:sz w:val="30"/>
          <w:szCs w:val="30"/>
        </w:rPr>
        <w:t>再审申请人（一审原告、二审上诉人）：中铁九局集团有限公司成都分公司，住所地中国（四川）自由贸易试验区成都市天府新区宁波路东段</w:t>
      </w:r>
      <w:r>
        <w:rPr>
          <w:rFonts w:hint="eastAsia"/>
          <w:sz w:val="30"/>
          <w:szCs w:val="30"/>
        </w:rPr>
        <w:t>377</w:t>
      </w:r>
      <w:r>
        <w:rPr>
          <w:rFonts w:hint="eastAsia"/>
          <w:sz w:val="30"/>
          <w:szCs w:val="30"/>
        </w:rPr>
        <w:t>号</w:t>
      </w:r>
      <w:r>
        <w:rPr>
          <w:rFonts w:hint="eastAsia"/>
          <w:sz w:val="30"/>
          <w:szCs w:val="30"/>
        </w:rPr>
        <w:t>1</w:t>
      </w:r>
      <w:r>
        <w:rPr>
          <w:rFonts w:hint="eastAsia"/>
          <w:sz w:val="30"/>
          <w:szCs w:val="30"/>
        </w:rPr>
        <w:t>幢</w:t>
      </w:r>
      <w:r>
        <w:rPr>
          <w:rFonts w:hint="eastAsia"/>
          <w:sz w:val="30"/>
          <w:szCs w:val="30"/>
        </w:rPr>
        <w:t>21</w:t>
      </w:r>
      <w:r>
        <w:rPr>
          <w:rFonts w:hint="eastAsia"/>
          <w:sz w:val="30"/>
          <w:szCs w:val="30"/>
        </w:rPr>
        <w:t>—</w:t>
      </w:r>
      <w:r>
        <w:rPr>
          <w:rFonts w:hint="eastAsia"/>
          <w:sz w:val="30"/>
          <w:szCs w:val="30"/>
        </w:rPr>
        <w:t>22</w:t>
      </w:r>
      <w:r>
        <w:rPr>
          <w:rFonts w:hint="eastAsia"/>
          <w:sz w:val="30"/>
          <w:szCs w:val="30"/>
        </w:rPr>
        <w:t>层。</w:t>
      </w:r>
    </w:p>
    <w:p w:rsidR="00000000" w:rsidRDefault="00154413">
      <w:pPr>
        <w:spacing w:line="500" w:lineRule="atLeast"/>
        <w:ind w:firstLine="600"/>
        <w:divId w:val="2145542132"/>
        <w:rPr>
          <w:rFonts w:hint="eastAsia"/>
          <w:sz w:val="30"/>
          <w:szCs w:val="30"/>
        </w:rPr>
      </w:pPr>
      <w:r>
        <w:rPr>
          <w:rFonts w:hint="eastAsia"/>
          <w:sz w:val="30"/>
          <w:szCs w:val="30"/>
        </w:rPr>
        <w:t>负责人：杨延昭，该公司总经理。</w:t>
      </w:r>
    </w:p>
    <w:p w:rsidR="00000000" w:rsidRDefault="00154413">
      <w:pPr>
        <w:spacing w:line="500" w:lineRule="atLeast"/>
        <w:ind w:firstLine="600"/>
        <w:divId w:val="759836514"/>
        <w:rPr>
          <w:rFonts w:hint="eastAsia"/>
          <w:sz w:val="30"/>
          <w:szCs w:val="30"/>
        </w:rPr>
      </w:pPr>
      <w:r>
        <w:rPr>
          <w:rFonts w:hint="eastAsia"/>
          <w:sz w:val="30"/>
          <w:szCs w:val="30"/>
        </w:rPr>
        <w:t>委托诉讼代理人：车卉，该公司员工。</w:t>
      </w:r>
    </w:p>
    <w:p w:rsidR="00000000" w:rsidRDefault="00154413">
      <w:pPr>
        <w:spacing w:line="500" w:lineRule="atLeast"/>
        <w:ind w:firstLine="600"/>
        <w:divId w:val="1638951327"/>
        <w:rPr>
          <w:rFonts w:hint="eastAsia"/>
          <w:sz w:val="30"/>
          <w:szCs w:val="30"/>
        </w:rPr>
      </w:pPr>
      <w:r>
        <w:rPr>
          <w:rFonts w:hint="eastAsia"/>
          <w:sz w:val="30"/>
          <w:szCs w:val="30"/>
        </w:rPr>
        <w:t>被申请人（一审被告、二审被上诉人）：中诚信托有限责任公司，住所地北京市东城区安外大街</w:t>
      </w:r>
      <w:r>
        <w:rPr>
          <w:rFonts w:hint="eastAsia"/>
          <w:sz w:val="30"/>
          <w:szCs w:val="30"/>
        </w:rPr>
        <w:t>2</w:t>
      </w:r>
      <w:r>
        <w:rPr>
          <w:rFonts w:hint="eastAsia"/>
          <w:sz w:val="30"/>
          <w:szCs w:val="30"/>
        </w:rPr>
        <w:t>号。</w:t>
      </w:r>
    </w:p>
    <w:p w:rsidR="00000000" w:rsidRDefault="00154413">
      <w:pPr>
        <w:spacing w:line="500" w:lineRule="atLeast"/>
        <w:ind w:firstLine="600"/>
        <w:divId w:val="767849177"/>
        <w:rPr>
          <w:rFonts w:hint="eastAsia"/>
          <w:sz w:val="30"/>
          <w:szCs w:val="30"/>
        </w:rPr>
      </w:pPr>
      <w:r>
        <w:rPr>
          <w:rFonts w:hint="eastAsia"/>
          <w:sz w:val="30"/>
          <w:szCs w:val="30"/>
        </w:rPr>
        <w:t>法定代表人：牛成立，该公司董事长。</w:t>
      </w:r>
    </w:p>
    <w:p w:rsidR="00000000" w:rsidRDefault="00154413">
      <w:pPr>
        <w:spacing w:line="500" w:lineRule="atLeast"/>
        <w:ind w:firstLine="600"/>
        <w:divId w:val="602424579"/>
        <w:rPr>
          <w:rFonts w:hint="eastAsia"/>
          <w:sz w:val="30"/>
          <w:szCs w:val="30"/>
        </w:rPr>
      </w:pPr>
      <w:r>
        <w:rPr>
          <w:rFonts w:hint="eastAsia"/>
          <w:sz w:val="30"/>
          <w:szCs w:val="30"/>
        </w:rPr>
        <w:t>委托诉讼代理人：陈伟，北京大成（成都）律师事务所律师。</w:t>
      </w:r>
    </w:p>
    <w:p w:rsidR="00000000" w:rsidRDefault="00154413">
      <w:pPr>
        <w:spacing w:line="500" w:lineRule="atLeast"/>
        <w:ind w:firstLine="600"/>
        <w:divId w:val="317926595"/>
        <w:rPr>
          <w:rFonts w:hint="eastAsia"/>
          <w:sz w:val="30"/>
          <w:szCs w:val="30"/>
        </w:rPr>
      </w:pPr>
      <w:r>
        <w:rPr>
          <w:rFonts w:hint="eastAsia"/>
          <w:sz w:val="30"/>
          <w:szCs w:val="30"/>
        </w:rPr>
        <w:t>委托诉讼代理人：唐骄煜，北京大成（成都）律师事务所律师。</w:t>
      </w:r>
    </w:p>
    <w:p w:rsidR="00000000" w:rsidRDefault="00154413">
      <w:pPr>
        <w:spacing w:line="500" w:lineRule="atLeast"/>
        <w:ind w:firstLine="600"/>
        <w:divId w:val="1337076364"/>
        <w:rPr>
          <w:rFonts w:hint="eastAsia"/>
          <w:sz w:val="30"/>
          <w:szCs w:val="30"/>
        </w:rPr>
      </w:pPr>
      <w:r>
        <w:rPr>
          <w:rFonts w:hint="eastAsia"/>
          <w:sz w:val="30"/>
          <w:szCs w:val="30"/>
        </w:rPr>
        <w:t>再审申请人中铁九局集团有限公司（以下简称中铁九局集团）、中铁九局集团有限公司成都分公司（以下简称中铁九局成都分公司）因与被申请人中诚信托有限责任公司（以下简称中诚信托公司）执行异议之诉一案，不服四川省高级人民法院（</w:t>
      </w:r>
      <w:r>
        <w:rPr>
          <w:rFonts w:hint="eastAsia"/>
          <w:sz w:val="30"/>
          <w:szCs w:val="30"/>
        </w:rPr>
        <w:t>2020</w:t>
      </w:r>
      <w:r>
        <w:rPr>
          <w:rFonts w:hint="eastAsia"/>
          <w:sz w:val="30"/>
          <w:szCs w:val="30"/>
        </w:rPr>
        <w:t>）川民终</w:t>
      </w:r>
      <w:r>
        <w:rPr>
          <w:rFonts w:hint="eastAsia"/>
          <w:sz w:val="30"/>
          <w:szCs w:val="30"/>
        </w:rPr>
        <w:t>96</w:t>
      </w:r>
      <w:r>
        <w:rPr>
          <w:rFonts w:hint="eastAsia"/>
          <w:sz w:val="30"/>
          <w:szCs w:val="30"/>
        </w:rPr>
        <w:t>号民事判决，向本院申请再审。本院依法</w:t>
      </w:r>
      <w:r>
        <w:rPr>
          <w:rFonts w:hint="eastAsia"/>
          <w:sz w:val="30"/>
          <w:szCs w:val="30"/>
        </w:rPr>
        <w:t>组成合议庭进行了审查，现已审查终结。</w:t>
      </w:r>
    </w:p>
    <w:p w:rsidR="00000000" w:rsidRDefault="00154413">
      <w:pPr>
        <w:spacing w:line="500" w:lineRule="atLeast"/>
        <w:ind w:firstLine="600"/>
        <w:divId w:val="1079517808"/>
        <w:rPr>
          <w:rFonts w:hint="eastAsia"/>
          <w:sz w:val="30"/>
          <w:szCs w:val="30"/>
        </w:rPr>
      </w:pPr>
      <w:r>
        <w:rPr>
          <w:rFonts w:hint="eastAsia"/>
          <w:sz w:val="30"/>
          <w:szCs w:val="30"/>
        </w:rPr>
        <w:t>中铁九局集团、中铁九局成都分公司申请再审称：一、刘庆伟等人伪造中铁九局集团、中铁九局成都分公司的印章并冒</w:t>
      </w:r>
      <w:r>
        <w:rPr>
          <w:rFonts w:hint="eastAsia"/>
          <w:sz w:val="30"/>
          <w:szCs w:val="30"/>
        </w:rPr>
        <w:lastRenderedPageBreak/>
        <w:t>名其名义签署《保证合同》《授权书》《中铁九局集团有限公司办公会决议》等，原审法院未查清印章真伪，即以伪造证据作为裁判依据</w:t>
      </w:r>
      <w:r>
        <w:rPr>
          <w:rFonts w:hint="eastAsia"/>
          <w:sz w:val="30"/>
          <w:szCs w:val="30"/>
        </w:rPr>
        <w:t>,</w:t>
      </w:r>
      <w:r>
        <w:rPr>
          <w:rFonts w:hint="eastAsia"/>
          <w:sz w:val="30"/>
          <w:szCs w:val="30"/>
        </w:rPr>
        <w:t>认定事实错误。二、中铁九局集团向一审法院申请调取魏芳在公安机关的询问笔录，该院以该证据应属其自行收集提供的证据为由不予准许，违反法律规定。三、《最高人民法院关于在审理经济纠纷案件中涉及经济犯罪嫌疑若干问题的规定》第三条的适用前提是行为人使用单位的真</w:t>
      </w:r>
      <w:r>
        <w:rPr>
          <w:rFonts w:hint="eastAsia"/>
          <w:sz w:val="30"/>
          <w:szCs w:val="30"/>
        </w:rPr>
        <w:t>实印章，而本案刘庆伟等人私刻印章，不符合该条的适用前提。原审判决适用法律错误。四、原审法院对中诚信托公司是否审查《授权书》《中铁九局集团有限公司办公会决议》的真伪、是否审查内部有权机关决议等事实未查清，认定中诚信托公司已尽到善意审查义务错误。五、刘庆伟等人诈骗中诚信托公司贷款的行为属于个人犯罪行为而非职务行为</w:t>
      </w:r>
      <w:r>
        <w:rPr>
          <w:rFonts w:hint="eastAsia"/>
          <w:sz w:val="30"/>
          <w:szCs w:val="30"/>
        </w:rPr>
        <w:t>,</w:t>
      </w:r>
      <w:r>
        <w:rPr>
          <w:rFonts w:hint="eastAsia"/>
          <w:sz w:val="30"/>
          <w:szCs w:val="30"/>
        </w:rPr>
        <w:t>中铁九局集团、中铁九局成都分公司未参与、未获利。原审法院判决中铁九局集团、中铁九局成都分公司承担责任，缺乏依据。六、案涉（</w:t>
      </w:r>
      <w:r>
        <w:rPr>
          <w:rFonts w:hint="eastAsia"/>
          <w:sz w:val="30"/>
          <w:szCs w:val="30"/>
        </w:rPr>
        <w:t>2016</w:t>
      </w:r>
      <w:r>
        <w:rPr>
          <w:rFonts w:hint="eastAsia"/>
          <w:sz w:val="30"/>
          <w:szCs w:val="30"/>
        </w:rPr>
        <w:t>）成高证经字第</w:t>
      </w:r>
      <w:r>
        <w:rPr>
          <w:rFonts w:hint="eastAsia"/>
          <w:sz w:val="30"/>
          <w:szCs w:val="30"/>
        </w:rPr>
        <w:t>6387</w:t>
      </w:r>
      <w:r>
        <w:rPr>
          <w:rFonts w:hint="eastAsia"/>
          <w:sz w:val="30"/>
          <w:szCs w:val="30"/>
        </w:rPr>
        <w:t>号《具有强制执行效力的债权文书公证书》载明的民事</w:t>
      </w:r>
      <w:r>
        <w:rPr>
          <w:rFonts w:hint="eastAsia"/>
          <w:sz w:val="30"/>
          <w:szCs w:val="30"/>
        </w:rPr>
        <w:t>权利义务关系与事实不符，且程序违法，依法应当判决不予执行。二审中，中铁九局集团、中铁九局成都分公司依法申请追加公证机关为本案第三人，二审法院未予追加，适用法律错误。七、刘庆伟等人涉嫌贷款诈骗罪被公安机关立案，刑事案件与本案民事纠纷高度关联，依法本案应中止审理或移送公安机关。综上，本案符合《中华人民共和国民事诉讼法》第二百条第二项、第三项、第五项、第六项的规定，应当予以再审。</w:t>
      </w:r>
    </w:p>
    <w:p w:rsidR="00000000" w:rsidRDefault="00154413">
      <w:pPr>
        <w:spacing w:line="500" w:lineRule="atLeast"/>
        <w:ind w:firstLine="600"/>
        <w:divId w:val="948242418"/>
        <w:rPr>
          <w:rFonts w:hint="eastAsia"/>
          <w:sz w:val="30"/>
          <w:szCs w:val="30"/>
        </w:rPr>
      </w:pPr>
      <w:r>
        <w:rPr>
          <w:rFonts w:hint="eastAsia"/>
          <w:sz w:val="30"/>
          <w:szCs w:val="30"/>
        </w:rPr>
        <w:t>中诚信托公司述称：一、中铁九局集团、中铁九局成都分公司主张“印章系伪造”、“法院未调查取证”、“适用法律错误”等不能成立。无证据证明案</w:t>
      </w:r>
      <w:r>
        <w:rPr>
          <w:rFonts w:hint="eastAsia"/>
          <w:sz w:val="30"/>
          <w:szCs w:val="30"/>
        </w:rPr>
        <w:t>涉《保证合同》《授权书》《中铁九局集团有限公司办公会决议》的印章系伪造，且是否与样本一致、是否伪造，对《保证合同》效力不产生影响。原审法院不同意调查取证申请程序合法。二、中铁九局集团、中铁九局成都分公司关于中铁九局成都分公司担保行为无效的主张不能成立。中铁九局成都分公司提供担保有中铁九局集团的《授权书》及《中铁九局集团有限公司办公会决议》，中诚信托公司已经尽到了足够的审查义务。三、中铁九局集团、中铁九局成都分公司关于刘庆伟的行为不属于职务行为的主张不能成立。刘庆伟与中诚信托公司签订《保证合同》属于职务行为，</w:t>
      </w:r>
      <w:r>
        <w:rPr>
          <w:rFonts w:hint="eastAsia"/>
          <w:sz w:val="30"/>
          <w:szCs w:val="30"/>
        </w:rPr>
        <w:t>应由中铁九局集团、中铁九局成都分公司承担民事责任。四、案涉公证债权文书所载明的民事权利义务关系与客观事实相符。五、本案不应移送也不应中止审理。刘庆伟的行为若构成犯罪应由中铁九局集团、中铁九局成都分公司自行追究。六、中铁九局集团、中铁九局成都分公司的再审申请已经超过法定期限。综上，请求驳回中铁九局集团、中铁九局成都分公司的再审申请。</w:t>
      </w:r>
    </w:p>
    <w:p w:rsidR="00000000" w:rsidRDefault="00154413">
      <w:pPr>
        <w:spacing w:line="500" w:lineRule="atLeast"/>
        <w:ind w:firstLine="600"/>
        <w:divId w:val="1733962509"/>
        <w:rPr>
          <w:rFonts w:hint="eastAsia"/>
          <w:sz w:val="30"/>
          <w:szCs w:val="30"/>
        </w:rPr>
      </w:pPr>
      <w:r>
        <w:rPr>
          <w:rFonts w:hint="eastAsia"/>
          <w:sz w:val="30"/>
          <w:szCs w:val="30"/>
        </w:rPr>
        <w:t>本院经审查认为：首先，关于中铁九局成都分公司应否承担案涉《保证合同》项下义务问题。中铁九局集团、中铁九局成都分公司以《保证合同》《授权书》《中铁九局集团有限公司办公会决议》上加盖</w:t>
      </w:r>
      <w:r>
        <w:rPr>
          <w:rFonts w:hint="eastAsia"/>
          <w:sz w:val="30"/>
          <w:szCs w:val="30"/>
        </w:rPr>
        <w:t>的公章系刘庆伟私刻为由，主张《保证合同》并非中铁九局成都分公司的真实意思表示，中铁九局成都分公司不应承担《保证合同》项下义务。本院认为，合同是否为当事人的真实意思表示，应综合签约人在签约之时是否具有代理权、合同相对人对签约人的代理权是否进行了谨慎审查等情形进行判断；合同上公章的真假并非判断当事人真实意思表示的唯一依据。根据原审判决查明事实，案涉《借款合同》《保证合同》订立时，刘庆伟既担任《借款合同》项下主债务人中铁九局集团成都工程有限公司（以下简称中铁九局成都工程公司）的法定代表人，同时又任《保证合同》项下</w:t>
      </w:r>
      <w:r>
        <w:rPr>
          <w:rFonts w:hint="eastAsia"/>
          <w:sz w:val="30"/>
          <w:szCs w:val="30"/>
        </w:rPr>
        <w:t>担保人中铁九局成都分公司的负责人；中诚信托公司作为《借款合同》《保证合同》的债权人，审查了中铁九局成都分公司等的工商登记资料和中铁九局集团出具的有关授权中铁九局成都分公司可以对第三方借款提供连带责任保证、授权刘庆伟签字并加盖个人名章签订《借款合同》《保证合同》的《授权书》，以及《中铁九局集团有限公司办公会决议》，已经尽到了其合理注意义务。原审判决基于以上情形并结合中铁九局集团控股的四川建升房地产开发有限公司亦为案涉《借款合同》项下债务提供抵押担保并已办理了抵押登记的事实，认定中铁九局集团、中铁九局成都分公司</w:t>
      </w:r>
      <w:r>
        <w:rPr>
          <w:rFonts w:hint="eastAsia"/>
          <w:sz w:val="30"/>
          <w:szCs w:val="30"/>
        </w:rPr>
        <w:t>未提交证据证明中诚信托公司为《保证合同》的非善意相对人、刘庆伟的行为系履职行为其行为后果应当由中铁九局集团、中铁九局成都分公司承担，有事实依据和法律依据。中铁九局集团、中铁九局成都分公司关于原审法院未查明《保证合同》《授权书》《中铁九局集团有限公司办公会决议》上公章的真假、依据伪造证据认定案件事实以及未准予其调取证据的申请违反法律规定等主张，均不能成立。其次，本案中，尚无证据证明刘庆伟的行为构成刑事犯罪，且即便本案涉嫌刑事犯罪，但在无证据证明《保证合同》双方当事人具有恶意串通损害他人利益或国家利益等情形下，</w:t>
      </w:r>
      <w:r>
        <w:rPr>
          <w:rFonts w:hint="eastAsia"/>
          <w:sz w:val="30"/>
          <w:szCs w:val="30"/>
        </w:rPr>
        <w:t>《保证合同》并不具有应当认定为无效的法定情形。原审判决认定《保证合同》有效，并无不当。再次，如前所述，案涉《保证合同》应属中铁九局成都分公司的真实意思表示，中铁九局集团、中铁九局成都分公司应当履行《保证合同》项下义务。同时，公证机关在出具案涉公证债权文书执行证书前，已向中铁九局成都工程公司、中铁九局成都分公司等发送了《核实函》，载明《借款合同》《保证合同》项下各债务人可就其履行合同义务提出异议，但上述合同项下债务人均未在限定期限内提出异议。原审判决认定中铁九局集团、中铁九局成都分公司关于案涉公证债权文书载明</w:t>
      </w:r>
      <w:r>
        <w:rPr>
          <w:rFonts w:hint="eastAsia"/>
          <w:sz w:val="30"/>
          <w:szCs w:val="30"/>
        </w:rPr>
        <w:t>的民事权利义务关系与事实不符的主张不能成立，亦无不当。原审判决查明，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日，公证机关作出（</w:t>
      </w:r>
      <w:r>
        <w:rPr>
          <w:rFonts w:hint="eastAsia"/>
          <w:sz w:val="30"/>
          <w:szCs w:val="30"/>
        </w:rPr>
        <w:t>2017</w:t>
      </w:r>
      <w:r>
        <w:rPr>
          <w:rFonts w:hint="eastAsia"/>
          <w:sz w:val="30"/>
          <w:szCs w:val="30"/>
        </w:rPr>
        <w:t>）成高证复字第</w:t>
      </w:r>
      <w:r>
        <w:rPr>
          <w:rFonts w:hint="eastAsia"/>
          <w:sz w:val="30"/>
          <w:szCs w:val="30"/>
        </w:rPr>
        <w:t>1</w:t>
      </w:r>
      <w:r>
        <w:rPr>
          <w:rFonts w:hint="eastAsia"/>
          <w:sz w:val="30"/>
          <w:szCs w:val="30"/>
        </w:rPr>
        <w:t>号《公证复查决定书》。该《公证复查决定书》载明，公证员潘晶在办理公证时现场核验了刘庆伟的身份证明以及中铁九局成都工程公司和中铁九局成都分公司的营业执照、经工商调档的公司章程、《中铁九局成都工程有限公司股东会决议》《中铁九局集团有限公司办公会决议》《授权书》《同意担保函》。据此，原审判决认定案涉公证程序不违反法律规定，不应当追加公证机关为本案当事人，并无不当。最后，根据本案证据，足以</w:t>
      </w:r>
      <w:r>
        <w:rPr>
          <w:rFonts w:hint="eastAsia"/>
          <w:sz w:val="30"/>
          <w:szCs w:val="30"/>
        </w:rPr>
        <w:t>认定刘庆伟以中铁九局成都分公司名义与中诚信托公司签订的《保证合同》有效，刘庆伟涉嫌犯罪行为不影响中铁九局集团、中铁九局成都分公司应当向中诚信托公司承担本案民事责任。原审法院认定本案与刘庆伟涉嫌犯罪的刑事案件应当分别审理，本案不应中止审理或移送公安机关，适用法律正确。此外，经审查，中铁九局集团、中铁九局成都分公司的再审申请未超过法定期限。</w:t>
      </w:r>
    </w:p>
    <w:p w:rsidR="00000000" w:rsidRDefault="00154413">
      <w:pPr>
        <w:spacing w:line="500" w:lineRule="atLeast"/>
        <w:ind w:firstLine="600"/>
        <w:divId w:val="342785303"/>
        <w:rPr>
          <w:rFonts w:hint="eastAsia"/>
          <w:sz w:val="30"/>
          <w:szCs w:val="30"/>
        </w:rPr>
      </w:pPr>
      <w:r>
        <w:rPr>
          <w:rFonts w:hint="eastAsia"/>
          <w:sz w:val="30"/>
          <w:szCs w:val="30"/>
        </w:rPr>
        <w:t>综上，中铁九局集团、中铁九局成都分公司的再审申请不符合《中华人民共和国民事诉讼法》第二百条第二项、第三项、第五项、第六项规定的情形。依照《中华人民共和国民事诉讼法》第二百零</w:t>
      </w:r>
      <w:r>
        <w:rPr>
          <w:rFonts w:hint="eastAsia"/>
          <w:sz w:val="30"/>
          <w:szCs w:val="30"/>
        </w:rPr>
        <w:t>四条第一款，《最高人民法院关于适</w:t>
      </w:r>
      <w:r>
        <w:rPr>
          <w:rFonts w:hint="eastAsia"/>
          <w:sz w:val="30"/>
          <w:szCs w:val="30"/>
        </w:rPr>
        <w:t>用</w:t>
      </w:r>
      <w:r>
        <w:rPr>
          <w:rFonts w:hint="eastAsia"/>
          <w:sz w:val="30"/>
          <w:szCs w:val="30"/>
        </w:rPr>
        <w:t>的解释》第三百九十五条第二款规定，裁定如下：</w:t>
      </w:r>
    </w:p>
    <w:p w:rsidR="00000000" w:rsidRDefault="00154413">
      <w:pPr>
        <w:spacing w:line="500" w:lineRule="atLeast"/>
        <w:ind w:firstLine="600"/>
        <w:divId w:val="2055618276"/>
        <w:rPr>
          <w:rFonts w:hint="eastAsia"/>
          <w:sz w:val="30"/>
          <w:szCs w:val="30"/>
        </w:rPr>
      </w:pPr>
      <w:r>
        <w:rPr>
          <w:rFonts w:hint="eastAsia"/>
          <w:sz w:val="30"/>
          <w:szCs w:val="30"/>
        </w:rPr>
        <w:t>驳回中铁九局集团有限公司、中铁九局集团有限公司成都分公司的再审申请。</w:t>
      </w:r>
    </w:p>
    <w:p w:rsidR="00000000" w:rsidRDefault="00154413">
      <w:pPr>
        <w:spacing w:line="500" w:lineRule="atLeast"/>
        <w:jc w:val="right"/>
        <w:divId w:val="129691078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张爱珍</w:t>
      </w:r>
    </w:p>
    <w:p w:rsidR="00000000" w:rsidRDefault="00154413">
      <w:pPr>
        <w:spacing w:line="500" w:lineRule="atLeast"/>
        <w:jc w:val="right"/>
        <w:divId w:val="87716392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孙建国</w:t>
      </w:r>
    </w:p>
    <w:p w:rsidR="00000000" w:rsidRDefault="00154413">
      <w:pPr>
        <w:spacing w:line="500" w:lineRule="atLeast"/>
        <w:jc w:val="right"/>
        <w:divId w:val="208603210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孙晓光</w:t>
      </w:r>
    </w:p>
    <w:p w:rsidR="00000000" w:rsidRDefault="00154413">
      <w:pPr>
        <w:spacing w:line="500" w:lineRule="atLeast"/>
        <w:jc w:val="right"/>
        <w:divId w:val="26301517"/>
        <w:rPr>
          <w:rFonts w:hint="eastAsia"/>
          <w:sz w:val="30"/>
          <w:szCs w:val="30"/>
        </w:rPr>
      </w:pPr>
      <w:r>
        <w:rPr>
          <w:rFonts w:hint="eastAsia"/>
          <w:sz w:val="30"/>
          <w:szCs w:val="30"/>
        </w:rPr>
        <w:t>二〇二一年八月十六日</w:t>
      </w:r>
    </w:p>
    <w:p w:rsidR="00000000" w:rsidRDefault="00154413">
      <w:pPr>
        <w:spacing w:line="500" w:lineRule="atLeast"/>
        <w:jc w:val="right"/>
        <w:divId w:val="839269043"/>
        <w:rPr>
          <w:rFonts w:hint="eastAsia"/>
          <w:sz w:val="30"/>
          <w:szCs w:val="30"/>
        </w:rPr>
      </w:pPr>
      <w:r>
        <w:rPr>
          <w:rFonts w:hint="eastAsia"/>
          <w:sz w:val="30"/>
          <w:szCs w:val="30"/>
        </w:rPr>
        <w:t>法官助理　仇彦军</w:t>
      </w:r>
    </w:p>
    <w:p w:rsidR="00000000" w:rsidRDefault="00154413">
      <w:pPr>
        <w:spacing w:line="500" w:lineRule="atLeast"/>
        <w:jc w:val="right"/>
        <w:divId w:val="183888240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邓　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413" w:rsidRDefault="00154413" w:rsidP="00154413">
      <w:r>
        <w:separator/>
      </w:r>
    </w:p>
  </w:endnote>
  <w:endnote w:type="continuationSeparator" w:id="0">
    <w:p w:rsidR="00154413" w:rsidRDefault="00154413" w:rsidP="00154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413" w:rsidRDefault="00154413" w:rsidP="00154413">
      <w:r>
        <w:separator/>
      </w:r>
    </w:p>
  </w:footnote>
  <w:footnote w:type="continuationSeparator" w:id="0">
    <w:p w:rsidR="00154413" w:rsidRDefault="00154413" w:rsidP="001544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4413"/>
    <w:rsid w:val="0015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7EBAF14-C403-4E44-B6FC-390B46EE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44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4413"/>
    <w:rPr>
      <w:rFonts w:ascii="宋体" w:eastAsia="宋体" w:hAnsi="宋体" w:cs="宋体"/>
      <w:sz w:val="18"/>
      <w:szCs w:val="18"/>
    </w:rPr>
  </w:style>
  <w:style w:type="paragraph" w:styleId="a5">
    <w:name w:val="footer"/>
    <w:basedOn w:val="a"/>
    <w:link w:val="a6"/>
    <w:uiPriority w:val="99"/>
    <w:unhideWhenUsed/>
    <w:rsid w:val="00154413"/>
    <w:pPr>
      <w:tabs>
        <w:tab w:val="center" w:pos="4153"/>
        <w:tab w:val="right" w:pos="8306"/>
      </w:tabs>
      <w:snapToGrid w:val="0"/>
    </w:pPr>
    <w:rPr>
      <w:sz w:val="18"/>
      <w:szCs w:val="18"/>
    </w:rPr>
  </w:style>
  <w:style w:type="character" w:customStyle="1" w:styleId="a6">
    <w:name w:val="页脚 字符"/>
    <w:basedOn w:val="a0"/>
    <w:link w:val="a5"/>
    <w:uiPriority w:val="99"/>
    <w:rsid w:val="0015441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1517">
      <w:marLeft w:val="0"/>
      <w:marRight w:val="720"/>
      <w:marTop w:val="10"/>
      <w:marBottom w:val="10"/>
      <w:divBdr>
        <w:top w:val="none" w:sz="0" w:space="0" w:color="auto"/>
        <w:left w:val="none" w:sz="0" w:space="0" w:color="auto"/>
        <w:bottom w:val="none" w:sz="0" w:space="0" w:color="auto"/>
        <w:right w:val="none" w:sz="0" w:space="0" w:color="auto"/>
      </w:divBdr>
    </w:div>
    <w:div w:id="77289422">
      <w:marLeft w:val="0"/>
      <w:marRight w:val="0"/>
      <w:marTop w:val="10"/>
      <w:marBottom w:val="10"/>
      <w:divBdr>
        <w:top w:val="none" w:sz="0" w:space="0" w:color="auto"/>
        <w:left w:val="none" w:sz="0" w:space="0" w:color="auto"/>
        <w:bottom w:val="none" w:sz="0" w:space="0" w:color="auto"/>
        <w:right w:val="none" w:sz="0" w:space="0" w:color="auto"/>
      </w:divBdr>
    </w:div>
    <w:div w:id="188102863">
      <w:marLeft w:val="0"/>
      <w:marRight w:val="0"/>
      <w:marTop w:val="10"/>
      <w:marBottom w:val="10"/>
      <w:divBdr>
        <w:top w:val="none" w:sz="0" w:space="0" w:color="auto"/>
        <w:left w:val="none" w:sz="0" w:space="0" w:color="auto"/>
        <w:bottom w:val="none" w:sz="0" w:space="0" w:color="auto"/>
        <w:right w:val="none" w:sz="0" w:space="0" w:color="auto"/>
      </w:divBdr>
    </w:div>
    <w:div w:id="317926595">
      <w:marLeft w:val="0"/>
      <w:marRight w:val="0"/>
      <w:marTop w:val="10"/>
      <w:marBottom w:val="10"/>
      <w:divBdr>
        <w:top w:val="none" w:sz="0" w:space="0" w:color="auto"/>
        <w:left w:val="none" w:sz="0" w:space="0" w:color="auto"/>
        <w:bottom w:val="none" w:sz="0" w:space="0" w:color="auto"/>
        <w:right w:val="none" w:sz="0" w:space="0" w:color="auto"/>
      </w:divBdr>
    </w:div>
    <w:div w:id="342785303">
      <w:marLeft w:val="0"/>
      <w:marRight w:val="0"/>
      <w:marTop w:val="10"/>
      <w:marBottom w:val="10"/>
      <w:divBdr>
        <w:top w:val="none" w:sz="0" w:space="0" w:color="auto"/>
        <w:left w:val="none" w:sz="0" w:space="0" w:color="auto"/>
        <w:bottom w:val="none" w:sz="0" w:space="0" w:color="auto"/>
        <w:right w:val="none" w:sz="0" w:space="0" w:color="auto"/>
      </w:divBdr>
    </w:div>
    <w:div w:id="388380520">
      <w:marLeft w:val="0"/>
      <w:marRight w:val="0"/>
      <w:marTop w:val="10"/>
      <w:marBottom w:val="10"/>
      <w:divBdr>
        <w:top w:val="none" w:sz="0" w:space="0" w:color="auto"/>
        <w:left w:val="none" w:sz="0" w:space="0" w:color="auto"/>
        <w:bottom w:val="none" w:sz="0" w:space="0" w:color="auto"/>
        <w:right w:val="none" w:sz="0" w:space="0" w:color="auto"/>
      </w:divBdr>
    </w:div>
    <w:div w:id="602424579">
      <w:marLeft w:val="0"/>
      <w:marRight w:val="0"/>
      <w:marTop w:val="10"/>
      <w:marBottom w:val="10"/>
      <w:divBdr>
        <w:top w:val="none" w:sz="0" w:space="0" w:color="auto"/>
        <w:left w:val="none" w:sz="0" w:space="0" w:color="auto"/>
        <w:bottom w:val="none" w:sz="0" w:space="0" w:color="auto"/>
        <w:right w:val="none" w:sz="0" w:space="0" w:color="auto"/>
      </w:divBdr>
    </w:div>
    <w:div w:id="653753466">
      <w:marLeft w:val="0"/>
      <w:marRight w:val="0"/>
      <w:marTop w:val="10"/>
      <w:marBottom w:val="10"/>
      <w:divBdr>
        <w:top w:val="none" w:sz="0" w:space="0" w:color="auto"/>
        <w:left w:val="none" w:sz="0" w:space="0" w:color="auto"/>
        <w:bottom w:val="none" w:sz="0" w:space="0" w:color="auto"/>
        <w:right w:val="none" w:sz="0" w:space="0" w:color="auto"/>
      </w:divBdr>
    </w:div>
    <w:div w:id="759836514">
      <w:marLeft w:val="0"/>
      <w:marRight w:val="0"/>
      <w:marTop w:val="10"/>
      <w:marBottom w:val="10"/>
      <w:divBdr>
        <w:top w:val="none" w:sz="0" w:space="0" w:color="auto"/>
        <w:left w:val="none" w:sz="0" w:space="0" w:color="auto"/>
        <w:bottom w:val="none" w:sz="0" w:space="0" w:color="auto"/>
        <w:right w:val="none" w:sz="0" w:space="0" w:color="auto"/>
      </w:divBdr>
    </w:div>
    <w:div w:id="767849177">
      <w:marLeft w:val="0"/>
      <w:marRight w:val="0"/>
      <w:marTop w:val="10"/>
      <w:marBottom w:val="10"/>
      <w:divBdr>
        <w:top w:val="none" w:sz="0" w:space="0" w:color="auto"/>
        <w:left w:val="none" w:sz="0" w:space="0" w:color="auto"/>
        <w:bottom w:val="none" w:sz="0" w:space="0" w:color="auto"/>
        <w:right w:val="none" w:sz="0" w:space="0" w:color="auto"/>
      </w:divBdr>
    </w:div>
    <w:div w:id="839269043">
      <w:marLeft w:val="0"/>
      <w:marRight w:val="720"/>
      <w:marTop w:val="10"/>
      <w:marBottom w:val="10"/>
      <w:divBdr>
        <w:top w:val="none" w:sz="0" w:space="0" w:color="auto"/>
        <w:left w:val="none" w:sz="0" w:space="0" w:color="auto"/>
        <w:bottom w:val="none" w:sz="0" w:space="0" w:color="auto"/>
        <w:right w:val="none" w:sz="0" w:space="0" w:color="auto"/>
      </w:divBdr>
    </w:div>
    <w:div w:id="877163922">
      <w:marLeft w:val="0"/>
      <w:marRight w:val="720"/>
      <w:marTop w:val="10"/>
      <w:marBottom w:val="10"/>
      <w:divBdr>
        <w:top w:val="none" w:sz="0" w:space="0" w:color="auto"/>
        <w:left w:val="none" w:sz="0" w:space="0" w:color="auto"/>
        <w:bottom w:val="none" w:sz="0" w:space="0" w:color="auto"/>
        <w:right w:val="none" w:sz="0" w:space="0" w:color="auto"/>
      </w:divBdr>
    </w:div>
    <w:div w:id="936063544">
      <w:marLeft w:val="0"/>
      <w:marRight w:val="0"/>
      <w:marTop w:val="10"/>
      <w:marBottom w:val="10"/>
      <w:divBdr>
        <w:top w:val="none" w:sz="0" w:space="0" w:color="auto"/>
        <w:left w:val="none" w:sz="0" w:space="0" w:color="auto"/>
        <w:bottom w:val="none" w:sz="0" w:space="0" w:color="auto"/>
        <w:right w:val="none" w:sz="0" w:space="0" w:color="auto"/>
      </w:divBdr>
    </w:div>
    <w:div w:id="948242418">
      <w:marLeft w:val="0"/>
      <w:marRight w:val="0"/>
      <w:marTop w:val="10"/>
      <w:marBottom w:val="10"/>
      <w:divBdr>
        <w:top w:val="none" w:sz="0" w:space="0" w:color="auto"/>
        <w:left w:val="none" w:sz="0" w:space="0" w:color="auto"/>
        <w:bottom w:val="none" w:sz="0" w:space="0" w:color="auto"/>
        <w:right w:val="none" w:sz="0" w:space="0" w:color="auto"/>
      </w:divBdr>
    </w:div>
    <w:div w:id="1079517808">
      <w:marLeft w:val="0"/>
      <w:marRight w:val="0"/>
      <w:marTop w:val="10"/>
      <w:marBottom w:val="10"/>
      <w:divBdr>
        <w:top w:val="none" w:sz="0" w:space="0" w:color="auto"/>
        <w:left w:val="none" w:sz="0" w:space="0" w:color="auto"/>
        <w:bottom w:val="none" w:sz="0" w:space="0" w:color="auto"/>
        <w:right w:val="none" w:sz="0" w:space="0" w:color="auto"/>
      </w:divBdr>
    </w:div>
    <w:div w:id="1296910789">
      <w:marLeft w:val="0"/>
      <w:marRight w:val="720"/>
      <w:marTop w:val="10"/>
      <w:marBottom w:val="10"/>
      <w:divBdr>
        <w:top w:val="none" w:sz="0" w:space="0" w:color="auto"/>
        <w:left w:val="none" w:sz="0" w:space="0" w:color="auto"/>
        <w:bottom w:val="none" w:sz="0" w:space="0" w:color="auto"/>
        <w:right w:val="none" w:sz="0" w:space="0" w:color="auto"/>
      </w:divBdr>
    </w:div>
    <w:div w:id="1337076364">
      <w:marLeft w:val="0"/>
      <w:marRight w:val="0"/>
      <w:marTop w:val="10"/>
      <w:marBottom w:val="10"/>
      <w:divBdr>
        <w:top w:val="none" w:sz="0" w:space="0" w:color="auto"/>
        <w:left w:val="none" w:sz="0" w:space="0" w:color="auto"/>
        <w:bottom w:val="none" w:sz="0" w:space="0" w:color="auto"/>
        <w:right w:val="none" w:sz="0" w:space="0" w:color="auto"/>
      </w:divBdr>
    </w:div>
    <w:div w:id="1480461520">
      <w:marLeft w:val="0"/>
      <w:marRight w:val="0"/>
      <w:marTop w:val="10"/>
      <w:marBottom w:val="10"/>
      <w:divBdr>
        <w:top w:val="none" w:sz="0" w:space="0" w:color="auto"/>
        <w:left w:val="none" w:sz="0" w:space="0" w:color="auto"/>
        <w:bottom w:val="none" w:sz="0" w:space="0" w:color="auto"/>
        <w:right w:val="none" w:sz="0" w:space="0" w:color="auto"/>
      </w:divBdr>
    </w:div>
    <w:div w:id="1638951327">
      <w:marLeft w:val="0"/>
      <w:marRight w:val="0"/>
      <w:marTop w:val="10"/>
      <w:marBottom w:val="10"/>
      <w:divBdr>
        <w:top w:val="none" w:sz="0" w:space="0" w:color="auto"/>
        <w:left w:val="none" w:sz="0" w:space="0" w:color="auto"/>
        <w:bottom w:val="none" w:sz="0" w:space="0" w:color="auto"/>
        <w:right w:val="none" w:sz="0" w:space="0" w:color="auto"/>
      </w:divBdr>
    </w:div>
    <w:div w:id="1733962509">
      <w:marLeft w:val="0"/>
      <w:marRight w:val="0"/>
      <w:marTop w:val="10"/>
      <w:marBottom w:val="10"/>
      <w:divBdr>
        <w:top w:val="none" w:sz="0" w:space="0" w:color="auto"/>
        <w:left w:val="none" w:sz="0" w:space="0" w:color="auto"/>
        <w:bottom w:val="none" w:sz="0" w:space="0" w:color="auto"/>
        <w:right w:val="none" w:sz="0" w:space="0" w:color="auto"/>
      </w:divBdr>
    </w:div>
    <w:div w:id="1838882407">
      <w:marLeft w:val="0"/>
      <w:marRight w:val="720"/>
      <w:marTop w:val="10"/>
      <w:marBottom w:val="10"/>
      <w:divBdr>
        <w:top w:val="none" w:sz="0" w:space="0" w:color="auto"/>
        <w:left w:val="none" w:sz="0" w:space="0" w:color="auto"/>
        <w:bottom w:val="none" w:sz="0" w:space="0" w:color="auto"/>
        <w:right w:val="none" w:sz="0" w:space="0" w:color="auto"/>
      </w:divBdr>
    </w:div>
    <w:div w:id="2055618276">
      <w:marLeft w:val="0"/>
      <w:marRight w:val="0"/>
      <w:marTop w:val="10"/>
      <w:marBottom w:val="10"/>
      <w:divBdr>
        <w:top w:val="none" w:sz="0" w:space="0" w:color="auto"/>
        <w:left w:val="none" w:sz="0" w:space="0" w:color="auto"/>
        <w:bottom w:val="none" w:sz="0" w:space="0" w:color="auto"/>
        <w:right w:val="none" w:sz="0" w:space="0" w:color="auto"/>
      </w:divBdr>
    </w:div>
    <w:div w:id="2086032103">
      <w:marLeft w:val="0"/>
      <w:marRight w:val="720"/>
      <w:marTop w:val="10"/>
      <w:marBottom w:val="10"/>
      <w:divBdr>
        <w:top w:val="none" w:sz="0" w:space="0" w:color="auto"/>
        <w:left w:val="none" w:sz="0" w:space="0" w:color="auto"/>
        <w:bottom w:val="none" w:sz="0" w:space="0" w:color="auto"/>
        <w:right w:val="none" w:sz="0" w:space="0" w:color="auto"/>
      </w:divBdr>
    </w:div>
    <w:div w:id="2096708562">
      <w:marLeft w:val="0"/>
      <w:marRight w:val="0"/>
      <w:marTop w:val="10"/>
      <w:marBottom w:val="10"/>
      <w:divBdr>
        <w:top w:val="none" w:sz="0" w:space="0" w:color="auto"/>
        <w:left w:val="none" w:sz="0" w:space="0" w:color="auto"/>
        <w:bottom w:val="none" w:sz="0" w:space="0" w:color="auto"/>
        <w:right w:val="none" w:sz="0" w:space="0" w:color="auto"/>
      </w:divBdr>
    </w:div>
    <w:div w:id="21455421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Ironboy</dc:creator>
  <cp:keywords/>
  <dc:description/>
  <cp:lastModifiedBy>Ironboy</cp:lastModifiedBy>
  <cp:revision>2</cp:revision>
  <dcterms:created xsi:type="dcterms:W3CDTF">2021-12-11T03:00:00Z</dcterms:created>
  <dcterms:modified xsi:type="dcterms:W3CDTF">2021-12-11T03:00:00Z</dcterms:modified>
</cp:coreProperties>
</file>