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B3840">
      <w:pPr>
        <w:spacing w:line="500" w:lineRule="atLeast"/>
        <w:jc w:val="center"/>
        <w:divId w:val="1710690757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中华人民共和国最高人民法院</w:t>
      </w:r>
    </w:p>
    <w:p w:rsidR="00000000" w:rsidRDefault="009B3840">
      <w:pPr>
        <w:spacing w:line="500" w:lineRule="atLeast"/>
        <w:jc w:val="center"/>
        <w:divId w:val="118760094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裁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定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9B3840">
      <w:pPr>
        <w:spacing w:line="500" w:lineRule="atLeast"/>
        <w:jc w:val="right"/>
        <w:divId w:val="7538655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）最高法民申</w:t>
      </w:r>
      <w:r>
        <w:rPr>
          <w:rFonts w:hint="eastAsia"/>
          <w:sz w:val="30"/>
          <w:szCs w:val="30"/>
        </w:rPr>
        <w:t>1478</w:t>
      </w:r>
      <w:r>
        <w:rPr>
          <w:rFonts w:hint="eastAsia"/>
          <w:sz w:val="30"/>
          <w:szCs w:val="30"/>
        </w:rPr>
        <w:t>号</w:t>
      </w:r>
    </w:p>
    <w:p w:rsidR="00000000" w:rsidRDefault="009B3840">
      <w:pPr>
        <w:spacing w:line="500" w:lineRule="atLeast"/>
        <w:ind w:firstLine="600"/>
        <w:divId w:val="19840420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再审申请人（一审原告、二审上诉人）：四川天府银行股份有限公司成都锦江支行。住所地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四川省成都市锦江区东大街下东大街段</w:t>
      </w:r>
      <w:r>
        <w:rPr>
          <w:rFonts w:hint="eastAsia"/>
          <w:sz w:val="30"/>
          <w:szCs w:val="30"/>
        </w:rPr>
        <w:t>166</w:t>
      </w:r>
      <w:r>
        <w:rPr>
          <w:rFonts w:hint="eastAsia"/>
          <w:sz w:val="30"/>
          <w:szCs w:val="30"/>
        </w:rPr>
        <w:t>号。</w:t>
      </w:r>
    </w:p>
    <w:p w:rsidR="00000000" w:rsidRDefault="009B3840">
      <w:pPr>
        <w:spacing w:line="500" w:lineRule="atLeast"/>
        <w:ind w:firstLine="600"/>
        <w:divId w:val="624089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负责人：陈小燕，该支行行长。</w:t>
      </w:r>
    </w:p>
    <w:p w:rsidR="00000000" w:rsidRDefault="009B3840">
      <w:pPr>
        <w:spacing w:line="500" w:lineRule="atLeast"/>
        <w:ind w:firstLine="600"/>
        <w:divId w:val="8129865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委托诉讼代理人：王亮，北京安博（成都）律师事务所律师。</w:t>
      </w:r>
    </w:p>
    <w:p w:rsidR="00000000" w:rsidRDefault="009B3840">
      <w:pPr>
        <w:spacing w:line="500" w:lineRule="atLeast"/>
        <w:ind w:firstLine="600"/>
        <w:divId w:val="21152467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委托诉讼代理人：曾丹，北京安博（成都）律师事务所律师。</w:t>
      </w:r>
    </w:p>
    <w:p w:rsidR="00000000" w:rsidRDefault="009B3840">
      <w:pPr>
        <w:spacing w:line="500" w:lineRule="atLeast"/>
        <w:ind w:firstLine="600"/>
        <w:divId w:val="11512924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被申请人（一审被告、二审被上诉人）：四川千业环保产业发展有限公司。住所地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四川省成都市高新区高朋大道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号。</w:t>
      </w:r>
    </w:p>
    <w:p w:rsidR="00000000" w:rsidRDefault="009B3840">
      <w:pPr>
        <w:spacing w:line="500" w:lineRule="atLeast"/>
        <w:ind w:firstLine="600"/>
        <w:divId w:val="7813882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法定代表人：彭为光。</w:t>
      </w:r>
    </w:p>
    <w:p w:rsidR="00000000" w:rsidRDefault="009B3840">
      <w:pPr>
        <w:spacing w:line="500" w:lineRule="atLeast"/>
        <w:ind w:firstLine="600"/>
        <w:divId w:val="18178376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被申请人（一审被告、二审被上诉人）：四川千业泉峰投资集团有限公司。住所地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四川省成都市青羊区北大街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1-2</w:t>
      </w:r>
      <w:r>
        <w:rPr>
          <w:rFonts w:hint="eastAsia"/>
          <w:sz w:val="30"/>
          <w:szCs w:val="30"/>
        </w:rPr>
        <w:t>栋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楼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号。</w:t>
      </w:r>
    </w:p>
    <w:p w:rsidR="00000000" w:rsidRDefault="009B3840">
      <w:pPr>
        <w:spacing w:line="500" w:lineRule="atLeast"/>
        <w:ind w:firstLine="600"/>
        <w:divId w:val="4459286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法定代表人：彭为光。</w:t>
      </w:r>
    </w:p>
    <w:p w:rsidR="00000000" w:rsidRDefault="009B3840">
      <w:pPr>
        <w:spacing w:line="500" w:lineRule="atLeast"/>
        <w:ind w:firstLine="600"/>
        <w:divId w:val="14914825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被申请人（一审被告、二审被上诉人）：成都龙双建筑股份有限公司。住所地：四川省成都市龙泉驿区同安镇南街。</w:t>
      </w:r>
    </w:p>
    <w:p w:rsidR="00000000" w:rsidRDefault="009B3840">
      <w:pPr>
        <w:spacing w:line="500" w:lineRule="atLeast"/>
        <w:ind w:firstLine="600"/>
        <w:divId w:val="13307946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法定代表人：刘峻。</w:t>
      </w:r>
    </w:p>
    <w:p w:rsidR="00000000" w:rsidRDefault="009B3840">
      <w:pPr>
        <w:spacing w:line="500" w:lineRule="atLeast"/>
        <w:ind w:firstLine="600"/>
        <w:divId w:val="21454178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被申请人（一审被告、二审被上诉人）：彭为光，男，汉族，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日出生，住四川省自贡市自流井区。</w:t>
      </w:r>
    </w:p>
    <w:p w:rsidR="00000000" w:rsidRDefault="009B3840">
      <w:pPr>
        <w:spacing w:line="500" w:lineRule="atLeast"/>
        <w:ind w:firstLine="600"/>
        <w:divId w:val="17270259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被申请人（一审被告、二审被上诉人）：黄艳，女，汉族，</w:t>
      </w:r>
      <w:r>
        <w:rPr>
          <w:rFonts w:hint="eastAsia"/>
          <w:sz w:val="30"/>
          <w:szCs w:val="30"/>
        </w:rPr>
        <w:t>1964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日出生，住四川省自贡市自流井区。</w:t>
      </w:r>
    </w:p>
    <w:p w:rsidR="00000000" w:rsidRDefault="009B3840">
      <w:pPr>
        <w:spacing w:line="500" w:lineRule="atLeast"/>
        <w:ind w:firstLine="600"/>
        <w:divId w:val="5293452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再审申请人四川天府银行股份有限</w:t>
      </w:r>
      <w:r>
        <w:rPr>
          <w:rFonts w:hint="eastAsia"/>
          <w:sz w:val="30"/>
          <w:szCs w:val="30"/>
        </w:rPr>
        <w:t>公司成都锦江支行（以下简称天府银行锦江支行）因与被申请人四川千业环保产业发</w:t>
      </w:r>
      <w:r>
        <w:rPr>
          <w:rFonts w:hint="eastAsia"/>
          <w:sz w:val="30"/>
          <w:szCs w:val="30"/>
        </w:rPr>
        <w:lastRenderedPageBreak/>
        <w:t>展有限公司（以下简称千业环保公司）、四川千业泉峰投资集团有限公司（以下简称千业泉峰公司）、成都龙双建筑股份有限公司（以下简称龙双公司）、彭为光、黄艳借款合同纠纷一案，不服四川省高级人民法院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）川民终</w:t>
      </w:r>
      <w:r>
        <w:rPr>
          <w:rFonts w:hint="eastAsia"/>
          <w:sz w:val="30"/>
          <w:szCs w:val="30"/>
        </w:rPr>
        <w:t>37</w:t>
      </w:r>
      <w:r>
        <w:rPr>
          <w:rFonts w:hint="eastAsia"/>
          <w:sz w:val="30"/>
          <w:szCs w:val="30"/>
        </w:rPr>
        <w:t>号民事裁定，向本院申请再审。本院依法组成合议庭进行了审查，现已审查终结。</w:t>
      </w:r>
    </w:p>
    <w:p w:rsidR="00000000" w:rsidRDefault="009B3840">
      <w:pPr>
        <w:spacing w:line="500" w:lineRule="atLeast"/>
        <w:ind w:firstLine="600"/>
        <w:divId w:val="2796560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天府银行锦江支行申请再审称，（一）原审裁定适用法律确有错误。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天府银行锦江支行与千业环保公司、千业泉峰公司等因财产关系提起的民事诉讼，属于人民法院受案范</w:t>
      </w:r>
      <w:r>
        <w:rPr>
          <w:rFonts w:hint="eastAsia"/>
          <w:sz w:val="30"/>
          <w:szCs w:val="30"/>
        </w:rPr>
        <w:t>围。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千业环保公司、龙双公司、彭为光是否构成合同诈骗罪并不影响案涉金融借款合同的效力。刑法否定评价的对象应是采取虚假手段取得银行贷款的行为，而非在此过程中签订的合同本身，应当根据《中华人民共和国民法典》的规定认定合同效力。案涉借款人单方实施欺诈行为签订的借款合同并未损害国家利益，因天府银行锦江支行并未选择撤销，故该合同及保证合同有效。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即使千业环保公司、龙双公司、彭为光有犯罪事实，天府银行锦江支行仍享有民事救济权利。原审法院裁定驳回起诉，违反了《最高人民法院关于在审理经济纠纷案件中涉及经济犯罪嫌疑若干问</w:t>
      </w:r>
      <w:r>
        <w:rPr>
          <w:rFonts w:hint="eastAsia"/>
          <w:sz w:val="30"/>
          <w:szCs w:val="30"/>
        </w:rPr>
        <w:t>题的规定》（以下简称《在审理经济纠纷案件中涉及经济犯罪嫌疑若干问题的规定》）第三条的规定。（二）原审裁定遗漏了天府银行锦江支行要求千业泉峰公司、黄艳承担担保责任的诉讼请求。相关经济犯罪与千业泉峰公司、黄艳没有关联，千业泉峰公司、黄艳与天府银行锦江支行签订的《最高额保证合同》明确了担保范围、担保金额，应当承担保证责任。综上，天府银行锦江支行依据《中华人民共和国民事诉讼法》第二百条第六项、第十一项的规定申请再审。</w:t>
      </w:r>
    </w:p>
    <w:p w:rsidR="00000000" w:rsidRDefault="009B3840">
      <w:pPr>
        <w:spacing w:line="500" w:lineRule="atLeast"/>
        <w:ind w:firstLine="600"/>
        <w:divId w:val="480391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本院经审查认为，千业环保公司、龙双公司、彭为光涉嫌刑事犯罪一案，四川省高级人民法院已于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日作出（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）川刑终</w:t>
      </w:r>
      <w:r>
        <w:rPr>
          <w:rFonts w:hint="eastAsia"/>
          <w:sz w:val="30"/>
          <w:szCs w:val="30"/>
        </w:rPr>
        <w:t>85</w:t>
      </w:r>
      <w:r>
        <w:rPr>
          <w:rFonts w:hint="eastAsia"/>
          <w:sz w:val="30"/>
          <w:szCs w:val="30"/>
        </w:rPr>
        <w:t>号刑事裁定，认定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月，在案外人蒋祥晖的安排下，千业环保公司向天府银行锦江支行贷款</w:t>
      </w:r>
      <w:r>
        <w:rPr>
          <w:rFonts w:hint="eastAsia"/>
          <w:sz w:val="30"/>
          <w:szCs w:val="30"/>
        </w:rPr>
        <w:t>3000</w:t>
      </w:r>
      <w:r>
        <w:rPr>
          <w:rFonts w:hint="eastAsia"/>
          <w:sz w:val="30"/>
          <w:szCs w:val="30"/>
        </w:rPr>
        <w:t>万元，并以虚假的国有土地使用权作担保。该刑事裁定认定千业环保公司、龙双公司、彭为光构成骗取贷款罪，对千业环保公司、龙双公司参与骗取的贷款予以追缴，返还给被害单位，不足部分应予退赔。天府银行锦江支行作为该刑事案件确定的被害单位，其所受损失可在该案相关程序中获偿。就天府银行锦江支行提起的本案民事诉讼，原审法院依照《在审理经济纠纷案件中涉及经济犯罪嫌疑若干问题的规定》第十一条的规定，</w:t>
      </w:r>
      <w:r>
        <w:rPr>
          <w:rFonts w:hint="eastAsia"/>
          <w:sz w:val="30"/>
          <w:szCs w:val="30"/>
        </w:rPr>
        <w:t>裁定驳回起诉，不违反法律规定。天府银行锦江支行关于原审法院适用法律错误、遗漏诉讼请求的再审申请理由不能成立，本院依法不予支持。</w:t>
      </w:r>
    </w:p>
    <w:p w:rsidR="00000000" w:rsidRDefault="009B3840">
      <w:pPr>
        <w:spacing w:line="500" w:lineRule="atLeast"/>
        <w:ind w:firstLine="600"/>
        <w:divId w:val="20733881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综上，天府银行锦江支行的再审申请不符合《中华人民共和国民事诉讼法》第二百条第六项、第十一项规定的情形。本院依照《中华人民共和国民事诉讼法》第二百零四条第一款，《最高人民法院关于适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的解释》第三百九十五条第二款之规定，裁定如下：</w:t>
      </w:r>
    </w:p>
    <w:p w:rsidR="00000000" w:rsidRDefault="009B3840">
      <w:pPr>
        <w:spacing w:line="500" w:lineRule="atLeast"/>
        <w:ind w:firstLine="600"/>
        <w:divId w:val="13250828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驳回四川天府银行股份有限公司成都锦江支行的再审申请。</w:t>
      </w:r>
    </w:p>
    <w:p w:rsidR="00000000" w:rsidRDefault="009B3840">
      <w:pPr>
        <w:spacing w:line="500" w:lineRule="atLeast"/>
        <w:jc w:val="right"/>
        <w:divId w:val="1104394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审判长　　孙晓光</w:t>
      </w:r>
    </w:p>
    <w:p w:rsidR="00000000" w:rsidRDefault="009B3840">
      <w:pPr>
        <w:spacing w:line="500" w:lineRule="atLeast"/>
        <w:jc w:val="right"/>
        <w:divId w:val="9105794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刘丽芳</w:t>
      </w:r>
    </w:p>
    <w:p w:rsidR="00000000" w:rsidRDefault="009B3840">
      <w:pPr>
        <w:spacing w:line="500" w:lineRule="atLeast"/>
        <w:jc w:val="right"/>
        <w:divId w:val="12700427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张小洁</w:t>
      </w:r>
    </w:p>
    <w:p w:rsidR="00000000" w:rsidRDefault="009B3840">
      <w:pPr>
        <w:spacing w:line="500" w:lineRule="atLeast"/>
        <w:jc w:val="right"/>
        <w:divId w:val="15791680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二〇二一年五月三十一日</w:t>
      </w:r>
    </w:p>
    <w:p w:rsidR="00000000" w:rsidRDefault="009B3840">
      <w:pPr>
        <w:spacing w:line="500" w:lineRule="atLeast"/>
        <w:jc w:val="right"/>
        <w:divId w:val="20023878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隋艳红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840" w:rsidRDefault="009B3840" w:rsidP="009B3840">
      <w:r>
        <w:separator/>
      </w:r>
    </w:p>
  </w:endnote>
  <w:endnote w:type="continuationSeparator" w:id="0">
    <w:p w:rsidR="009B3840" w:rsidRDefault="009B3840" w:rsidP="009B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840" w:rsidRDefault="009B3840" w:rsidP="009B3840">
      <w:r>
        <w:separator/>
      </w:r>
    </w:p>
  </w:footnote>
  <w:footnote w:type="continuationSeparator" w:id="0">
    <w:p w:rsidR="009B3840" w:rsidRDefault="009B3840" w:rsidP="009B3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0"/>
    <w:rsid w:val="009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A6653C-B566-4682-B23F-45D49185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B3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84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8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84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1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9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44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60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6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5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2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43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4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9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75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8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6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5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09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7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9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0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4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1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7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8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2</cp:revision>
  <dcterms:created xsi:type="dcterms:W3CDTF">2021-12-11T03:00:00Z</dcterms:created>
  <dcterms:modified xsi:type="dcterms:W3CDTF">2021-12-11T03:00:00Z</dcterms:modified>
</cp:coreProperties>
</file>