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6F695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pPr>
      <w:r>
        <w:rPr>
          <w:rFonts w:hint="eastAsia" w:ascii="Times New Roman" w:hAnsi="Times New Roman" w:eastAsia="仿宋_GB2312" w:cs="Times New Roman"/>
          <w:b/>
          <w:bCs/>
          <w:i w:val="0"/>
          <w:iCs w:val="0"/>
          <w:caps w:val="0"/>
          <w:color w:val="0F1115"/>
          <w:spacing w:val="0"/>
          <w:kern w:val="2"/>
          <w:sz w:val="24"/>
          <w:szCs w:val="24"/>
          <w:shd w:val="clear" w:color="auto" w:fill="FFFFFF"/>
          <w:lang w:val="en-US" w:eastAsia="zh-CN" w:bidi="ar-SA"/>
        </w:rPr>
        <w:t>主题：基于动态演进数字孪生建模的Buck变换器参数性老化监测研究</w:t>
      </w:r>
    </w:p>
    <w:p w14:paraId="735043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pPr>
    </w:p>
    <w:p w14:paraId="5941319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仿宋_GB2312" w:cs="Times New Roman"/>
          <w:b/>
          <w:bCs/>
          <w:i w:val="0"/>
          <w:iCs w:val="0"/>
          <w:caps w:val="0"/>
          <w:color w:val="0F1115"/>
          <w:spacing w:val="0"/>
          <w:kern w:val="2"/>
          <w:sz w:val="24"/>
          <w:szCs w:val="24"/>
          <w:shd w:val="clear" w:color="auto" w:fill="FFFFFF"/>
          <w:lang w:val="en-US" w:eastAsia="zh-CN" w:bidi="ar-SA"/>
        </w:rPr>
      </w:pPr>
      <w:r>
        <w:rPr>
          <w:rFonts w:hint="eastAsia" w:ascii="Times New Roman" w:hAnsi="Times New Roman" w:eastAsia="仿宋_GB2312" w:cs="Times New Roman"/>
          <w:b/>
          <w:bCs/>
          <w:i w:val="0"/>
          <w:iCs w:val="0"/>
          <w:caps w:val="0"/>
          <w:color w:val="0F1115"/>
          <w:spacing w:val="0"/>
          <w:kern w:val="2"/>
          <w:sz w:val="24"/>
          <w:szCs w:val="24"/>
          <w:shd w:val="clear" w:color="auto" w:fill="FFFFFF"/>
          <w:lang w:val="en-US" w:eastAsia="zh-CN" w:bidi="ar-SA"/>
        </w:rPr>
        <w:t>背景与意义：</w:t>
      </w:r>
    </w:p>
    <w:p w14:paraId="1509BB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pPr>
      <w:r>
        <w:rPr>
          <w:rFonts w:hint="eastAsia"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t>Buck变换器广泛应用于信息技术、工业生产、航天航空和新能源汽车等领域。然而，随着应用范围不断扩展，工作环境愈发复杂，Buck变换器的故障率不断上升。因此，为提高系统的可靠性，降低维护成本，对Buck变换器进行状态监测变得至关重要。</w:t>
      </w:r>
    </w:p>
    <w:p w14:paraId="7CEAC2E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pPr>
      <w:r>
        <w:rPr>
          <w:rFonts w:hint="default"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t>与突发性、灾难性的“硬故障”不同，参数性老化故障是影响其长期运行可靠性的更普遍、更隐蔽的威胁。这类故障表现为：直流支撑电容器的容值缓慢衰减、等效串联电阻缓慢增大；IGBT及二极管的导通饱和压降、开关特性随热疲劳和材料老化而缓慢劣化，导致通流能力和导热性能下降等。</w:t>
      </w:r>
    </w:p>
    <w:p w14:paraId="628E5D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pPr>
      <w:r>
        <w:rPr>
          <w:rFonts w:hint="eastAsia"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t>传统的健康状态监测往往采用基于信号处理的方法，提取信号特征，利用其故障特征和健康系统的标准进行对比获得其健康状态。这种方</w:t>
      </w:r>
      <w:bookmarkStart w:id="8" w:name="_GoBack"/>
      <w:bookmarkEnd w:id="8"/>
      <w:r>
        <w:rPr>
          <w:rFonts w:hint="eastAsia"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t>法需要高精度的采样电路获取数据，且往往会破坏原有电路结构。本课题通过对现有文献中变换器健康状态监测方法的总结与理解，结合Buck变换器工作特性，提出基于动态演进数字孪生的监测方法，准确辨识关键器件的健康状态。</w:t>
      </w:r>
    </w:p>
    <w:p w14:paraId="346928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pPr>
    </w:p>
    <w:p w14:paraId="26D8FBA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仿宋_GB2312" w:cs="Times New Roman"/>
          <w:b/>
          <w:bCs/>
          <w:i w:val="0"/>
          <w:iCs w:val="0"/>
          <w:caps w:val="0"/>
          <w:color w:val="0F1115"/>
          <w:spacing w:val="0"/>
          <w:kern w:val="2"/>
          <w:sz w:val="24"/>
          <w:szCs w:val="24"/>
          <w:shd w:val="clear" w:color="auto" w:fill="FFFFFF"/>
          <w:lang w:val="en-US" w:eastAsia="zh-CN" w:bidi="ar-SA"/>
        </w:rPr>
      </w:pPr>
      <w:r>
        <w:rPr>
          <w:rFonts w:hint="eastAsia" w:ascii="Times New Roman" w:hAnsi="Times New Roman" w:eastAsia="仿宋_GB2312" w:cs="Times New Roman"/>
          <w:b/>
          <w:bCs/>
          <w:i w:val="0"/>
          <w:iCs w:val="0"/>
          <w:caps w:val="0"/>
          <w:color w:val="0F1115"/>
          <w:spacing w:val="0"/>
          <w:kern w:val="2"/>
          <w:sz w:val="24"/>
          <w:szCs w:val="24"/>
          <w:shd w:val="clear" w:color="auto" w:fill="FFFFFF"/>
          <w:lang w:val="en-US" w:eastAsia="zh-CN" w:bidi="ar-SA"/>
        </w:rPr>
        <w:t>主要任务：</w:t>
      </w:r>
    </w:p>
    <w:p w14:paraId="5984245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pPr>
      <w:r>
        <w:rPr>
          <w:rFonts w:hint="default"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t>1.</w:t>
      </w:r>
      <w:r>
        <w:rPr>
          <w:rFonts w:hint="default"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tab/>
      </w:r>
      <w:r>
        <w:rPr>
          <w:rFonts w:hint="default"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t xml:space="preserve">阅读电力电子器件可靠性研究的相关文献，理解电力电子装置关键元器件的失效机理与基于数字孪生的分析方法；                                                                       </w:t>
      </w:r>
    </w:p>
    <w:p w14:paraId="674AF71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pPr>
      <w:r>
        <w:rPr>
          <w:rFonts w:hint="default"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t>2.</w:t>
      </w:r>
      <w:r>
        <w:rPr>
          <w:rFonts w:hint="default"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tab/>
      </w:r>
      <w:r>
        <w:rPr>
          <w:rFonts w:hint="default"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t>总结并学习掌握现有Buck变换器</w:t>
      </w:r>
      <w:r>
        <w:rPr>
          <w:rFonts w:hint="eastAsia"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t>状态</w:t>
      </w:r>
      <w:r>
        <w:rPr>
          <w:rFonts w:hint="default"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t xml:space="preserve">监测方法的主要分类、原理及其具体实现过程；       </w:t>
      </w:r>
    </w:p>
    <w:p w14:paraId="2D1CAF3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pPr>
      <w:r>
        <w:rPr>
          <w:rFonts w:hint="default"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t>3.</w:t>
      </w:r>
      <w:r>
        <w:rPr>
          <w:rFonts w:hint="default"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tab/>
      </w:r>
      <w:r>
        <w:rPr>
          <w:rFonts w:hint="default"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t>结合失效机理，提出基于</w:t>
      </w:r>
      <w:r>
        <w:rPr>
          <w:rFonts w:hint="eastAsia"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t>动态演进</w:t>
      </w:r>
      <w:r>
        <w:rPr>
          <w:rFonts w:hint="default"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t>数字孪生</w:t>
      </w:r>
      <w:r>
        <w:rPr>
          <w:rFonts w:hint="eastAsia"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t>建模</w:t>
      </w:r>
      <w:r>
        <w:rPr>
          <w:rFonts w:hint="default"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t>的Buck变换器</w:t>
      </w:r>
      <w:r>
        <w:rPr>
          <w:rFonts w:hint="eastAsia"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t>参数性老化</w:t>
      </w:r>
      <w:r>
        <w:rPr>
          <w:rFonts w:hint="default"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t xml:space="preserve">监测方法；                      </w:t>
      </w:r>
    </w:p>
    <w:p w14:paraId="0A3031E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pPr>
      <w:r>
        <w:rPr>
          <w:rFonts w:hint="default"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t>4.</w:t>
      </w:r>
      <w:r>
        <w:rPr>
          <w:rFonts w:hint="default"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tab/>
      </w:r>
      <w:r>
        <w:rPr>
          <w:rFonts w:hint="default"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t xml:space="preserve">在所提方法的基础上，实现面向实际应用的Buck变换器剩余寿命预测。                  </w:t>
      </w:r>
    </w:p>
    <w:p w14:paraId="6703F46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b/>
          <w:bCs/>
          <w:i w:val="0"/>
          <w:iCs w:val="0"/>
          <w:caps w:val="0"/>
          <w:color w:val="0F1115"/>
          <w:spacing w:val="0"/>
          <w:kern w:val="2"/>
          <w:sz w:val="24"/>
          <w:szCs w:val="24"/>
          <w:shd w:val="clear" w:color="auto" w:fill="FFFFFF"/>
          <w:lang w:val="en-US" w:eastAsia="zh-CN" w:bidi="ar-SA"/>
        </w:rPr>
      </w:pPr>
    </w:p>
    <w:p w14:paraId="46B883B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仿宋_GB2312" w:cs="Times New Roman"/>
          <w:b/>
          <w:bCs/>
          <w:i w:val="0"/>
          <w:iCs w:val="0"/>
          <w:caps w:val="0"/>
          <w:color w:val="0F1115"/>
          <w:spacing w:val="0"/>
          <w:kern w:val="2"/>
          <w:sz w:val="24"/>
          <w:szCs w:val="24"/>
          <w:shd w:val="clear" w:color="auto" w:fill="FFFFFF"/>
          <w:lang w:val="en-US" w:eastAsia="zh-CN" w:bidi="ar-SA"/>
        </w:rPr>
      </w:pPr>
      <w:r>
        <w:rPr>
          <w:rFonts w:hint="eastAsia" w:ascii="Times New Roman" w:hAnsi="Times New Roman" w:eastAsia="仿宋_GB2312" w:cs="Times New Roman"/>
          <w:b/>
          <w:bCs/>
          <w:i w:val="0"/>
          <w:iCs w:val="0"/>
          <w:caps w:val="0"/>
          <w:color w:val="0F1115"/>
          <w:spacing w:val="0"/>
          <w:kern w:val="2"/>
          <w:sz w:val="24"/>
          <w:szCs w:val="24"/>
          <w:shd w:val="clear" w:color="auto" w:fill="FFFFFF"/>
          <w:lang w:val="en-US" w:eastAsia="zh-CN" w:bidi="ar-SA"/>
        </w:rPr>
        <w:t>模型要求：</w:t>
      </w:r>
    </w:p>
    <w:p w14:paraId="58AD5AC1">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pPr>
      <w:r>
        <w:rPr>
          <w:rFonts w:hint="eastAsia" w:ascii="Times New Roman" w:hAnsi="Times New Roman" w:eastAsia="仿宋_GB2312" w:cs="Times New Roman"/>
          <w:b w:val="0"/>
          <w:bCs w:val="0"/>
          <w:i w:val="0"/>
          <w:iCs w:val="0"/>
          <w:color w:val="0F1115"/>
          <w:spacing w:val="0"/>
          <w:kern w:val="2"/>
          <w:sz w:val="24"/>
          <w:szCs w:val="24"/>
          <w:shd w:val="clear" w:color="auto" w:fill="FFFFFF"/>
          <w:lang w:val="en-US" w:eastAsia="zh-CN" w:bidi="ar-SA"/>
        </w:rPr>
        <w:t>B</w:t>
      </w:r>
      <w:r>
        <w:rPr>
          <w:rFonts w:hint="eastAsia"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t>uck变换器电路模型；</w:t>
      </w:r>
    </w:p>
    <w:p w14:paraId="2CA55309">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pPr>
      <w:r>
        <w:rPr>
          <w:rFonts w:hint="eastAsia" w:ascii="Times New Roman" w:hAnsi="Times New Roman" w:eastAsia="仿宋_GB2312" w:cs="Times New Roman"/>
          <w:b w:val="0"/>
          <w:bCs w:val="0"/>
          <w:i w:val="0"/>
          <w:iCs w:val="0"/>
          <w:color w:val="0F1115"/>
          <w:spacing w:val="0"/>
          <w:kern w:val="2"/>
          <w:sz w:val="24"/>
          <w:szCs w:val="24"/>
          <w:shd w:val="clear" w:color="auto" w:fill="FFFFFF"/>
          <w:lang w:val="en-US" w:eastAsia="zh-CN" w:bidi="ar-SA"/>
        </w:rPr>
        <w:t>B</w:t>
      </w:r>
      <w:r>
        <w:rPr>
          <w:rFonts w:hint="eastAsia"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t>uck变换器热路模型；</w:t>
      </w:r>
    </w:p>
    <w:p w14:paraId="662B29D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default"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pPr>
      <w:r>
        <w:rPr>
          <w:rFonts w:hint="eastAsia" w:ascii="Times New Roman" w:hAnsi="Times New Roman" w:eastAsia="仿宋_GB2312" w:cs="Times New Roman"/>
          <w:b w:val="0"/>
          <w:bCs w:val="0"/>
          <w:i w:val="0"/>
          <w:iCs w:val="0"/>
          <w:color w:val="0F1115"/>
          <w:spacing w:val="0"/>
          <w:kern w:val="2"/>
          <w:sz w:val="24"/>
          <w:szCs w:val="24"/>
          <w:shd w:val="clear" w:color="auto" w:fill="FFFFFF"/>
          <w:lang w:val="en-US" w:eastAsia="zh-CN" w:bidi="ar-SA"/>
        </w:rPr>
        <w:t>B</w:t>
      </w:r>
      <w:r>
        <w:rPr>
          <w:rFonts w:hint="eastAsia"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t>uck变换器控制回路模型。</w:t>
      </w:r>
    </w:p>
    <w:p w14:paraId="429045AD">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pPr>
    </w:p>
    <w:p w14:paraId="01B987AF">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仿宋_GB2312" w:cs="Times New Roman"/>
          <w:b/>
          <w:bCs/>
          <w:i w:val="0"/>
          <w:iCs w:val="0"/>
          <w:caps w:val="0"/>
          <w:color w:val="0F1115"/>
          <w:spacing w:val="0"/>
          <w:kern w:val="2"/>
          <w:sz w:val="24"/>
          <w:szCs w:val="24"/>
          <w:shd w:val="clear" w:color="auto" w:fill="FFFFFF"/>
          <w:lang w:val="en-US" w:eastAsia="zh-CN" w:bidi="ar-SA"/>
        </w:rPr>
      </w:pPr>
      <w:r>
        <w:rPr>
          <w:rFonts w:hint="eastAsia" w:ascii="Times New Roman" w:hAnsi="Times New Roman" w:eastAsia="仿宋_GB2312" w:cs="Times New Roman"/>
          <w:b/>
          <w:bCs/>
          <w:i w:val="0"/>
          <w:iCs w:val="0"/>
          <w:caps w:val="0"/>
          <w:color w:val="0F1115"/>
          <w:spacing w:val="0"/>
          <w:kern w:val="2"/>
          <w:sz w:val="24"/>
          <w:szCs w:val="24"/>
          <w:shd w:val="clear" w:color="auto" w:fill="FFFFFF"/>
          <w:lang w:val="en-US" w:eastAsia="zh-CN" w:bidi="ar-SA"/>
        </w:rPr>
        <w:t>参考文献：</w:t>
      </w:r>
    </w:p>
    <w:p w14:paraId="5AA40387">
      <w:pPr>
        <w:keepNext w:val="0"/>
        <w:keepLines w:val="0"/>
        <w:pageBreakBefore w:val="0"/>
        <w:widowControl w:val="0"/>
        <w:numPr>
          <w:ilvl w:val="0"/>
          <w:numId w:val="3"/>
        </w:numPr>
        <w:kinsoku/>
        <w:wordWrap/>
        <w:overflowPunct/>
        <w:topLinePunct w:val="0"/>
        <w:autoSpaceDE/>
        <w:autoSpaceDN/>
        <w:bidi w:val="0"/>
        <w:snapToGrid/>
        <w:textAlignment w:val="auto"/>
        <w:rPr>
          <w:rFonts w:hint="default"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pPr>
      <w:r>
        <w:rPr>
          <w:rFonts w:hint="default" w:ascii="Times New Roman" w:hAnsi="Times New Roman" w:eastAsia="仿宋_GB2312" w:cs="Times New Roman"/>
          <w:sz w:val="21"/>
          <w:szCs w:val="21"/>
          <w:highlight w:val="none"/>
        </w:rPr>
        <w:t>Peng Y. A Digital Twin Based Estimation Method for Health Indicators of DC–DC Converters[J].  IEEE Transactions on Power Electronics</w:t>
      </w:r>
      <w:r>
        <w:rPr>
          <w:rFonts w:hint="default" w:ascii="Times New Roman" w:hAnsi="Times New Roman" w:eastAsia="仿宋_GB2312" w:cs="Times New Roman"/>
          <w:sz w:val="21"/>
          <w:szCs w:val="21"/>
          <w:highlight w:val="none"/>
          <w:lang w:val="en-US" w:eastAsia="zh-CN"/>
        </w:rPr>
        <w:t xml:space="preserve">, </w:t>
      </w:r>
      <w:r>
        <w:rPr>
          <w:rFonts w:hint="default" w:ascii="Times New Roman" w:hAnsi="Times New Roman" w:eastAsia="仿宋_GB2312" w:cs="Times New Roman"/>
          <w:sz w:val="21"/>
          <w:szCs w:val="21"/>
          <w:highlight w:val="none"/>
        </w:rPr>
        <w:t>2021, 36(2).</w:t>
      </w:r>
    </w:p>
    <w:p w14:paraId="565E92B9">
      <w:pPr>
        <w:keepNext w:val="0"/>
        <w:keepLines w:val="0"/>
        <w:pageBreakBefore w:val="0"/>
        <w:widowControl w:val="0"/>
        <w:numPr>
          <w:ilvl w:val="0"/>
          <w:numId w:val="3"/>
        </w:numPr>
        <w:kinsoku/>
        <w:wordWrap/>
        <w:overflowPunct/>
        <w:topLinePunct w:val="0"/>
        <w:autoSpaceDE/>
        <w:autoSpaceDN/>
        <w:bidi w:val="0"/>
        <w:snapToGrid/>
        <w:textAlignment w:val="auto"/>
        <w:rPr>
          <w:rFonts w:hint="default" w:ascii="Times New Roman" w:hAnsi="Times New Roman" w:eastAsia="仿宋_GB2312" w:cs="Times New Roman"/>
          <w:sz w:val="21"/>
          <w:szCs w:val="21"/>
          <w:highlight w:val="none"/>
          <w:lang w:val="en-US" w:eastAsia="zh-CN"/>
        </w:rPr>
      </w:pPr>
      <w:r>
        <w:rPr>
          <w:rFonts w:hint="eastAsia" w:ascii="Times New Roman" w:hAnsi="Times New Roman" w:eastAsia="仿宋_GB2312" w:cs="Times New Roman"/>
          <w:sz w:val="21"/>
          <w:szCs w:val="21"/>
          <w:highlight w:val="none"/>
          <w:lang w:val="en-US" w:eastAsia="zh-CN"/>
        </w:rPr>
        <w:t xml:space="preserve">S. </w:t>
      </w:r>
      <w:r>
        <w:rPr>
          <w:rFonts w:hint="default" w:ascii="Times New Roman" w:hAnsi="Times New Roman" w:eastAsia="仿宋_GB2312" w:cs="Times New Roman"/>
          <w:sz w:val="21"/>
          <w:szCs w:val="21"/>
          <w:highlight w:val="none"/>
          <w:lang w:val="en-US" w:eastAsia="zh-CN"/>
        </w:rPr>
        <w:t xml:space="preserve">Zhao and H. Wang, "Enabling Data-Driven Condition Monitoring of Power Electronic Systems With Artificial Intelligence: Concepts, Tools, and Developments," in IEEE Power Electronics Magazine, vol. 8, no. 1, pp. 18-27, March 2021. </w:t>
      </w:r>
    </w:p>
    <w:p w14:paraId="51CFAC12">
      <w:pPr>
        <w:keepNext w:val="0"/>
        <w:keepLines w:val="0"/>
        <w:pageBreakBefore w:val="0"/>
        <w:widowControl w:val="0"/>
        <w:numPr>
          <w:ilvl w:val="0"/>
          <w:numId w:val="3"/>
        </w:numPr>
        <w:kinsoku/>
        <w:wordWrap/>
        <w:overflowPunct/>
        <w:topLinePunct w:val="0"/>
        <w:autoSpaceDE/>
        <w:autoSpaceDN/>
        <w:bidi w:val="0"/>
        <w:snapToGrid/>
        <w:textAlignment w:val="auto"/>
        <w:rPr>
          <w:rFonts w:hint="default"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pPr>
      <w:r>
        <w:rPr>
          <w:rFonts w:hint="default" w:ascii="Times New Roman" w:hAnsi="Times New Roman" w:eastAsia="仿宋_GB2312" w:cs="Times New Roman"/>
          <w:sz w:val="21"/>
          <w:szCs w:val="21"/>
          <w:highlight w:val="none"/>
          <w:lang w:val="en-US" w:eastAsia="zh-CN"/>
        </w:rPr>
        <w:t xml:space="preserve">马铭遥,韩添侠,陈强,等.一种基于分数阶微积分的CCM Boost变换器准在线无源参数的数字孪生辨识方法[J].中国电机工程学报,2024,44(06):2340-2350.   </w:t>
      </w:r>
      <w:r>
        <w:rPr>
          <w:rFonts w:hint="default" w:ascii="Times New Roman" w:hAnsi="Times New Roman" w:eastAsia="仿宋_GB2312" w:cs="Times New Roman"/>
          <w:b w:val="0"/>
          <w:bCs w:val="0"/>
          <w:i w:val="0"/>
          <w:iCs w:val="0"/>
          <w:caps w:val="0"/>
          <w:color w:val="0F1115"/>
          <w:spacing w:val="0"/>
          <w:kern w:val="2"/>
          <w:sz w:val="24"/>
          <w:szCs w:val="24"/>
          <w:shd w:val="clear" w:color="auto" w:fill="FFFFFF"/>
          <w:lang w:val="en-US" w:eastAsia="zh-CN" w:bidi="ar-SA"/>
        </w:rPr>
        <w:t xml:space="preserve">                               </w:t>
      </w:r>
    </w:p>
    <w:p w14:paraId="5E602B0E">
      <w:pPr>
        <w:keepNext w:val="0"/>
        <w:keepLines w:val="0"/>
        <w:pageBreakBefore w:val="0"/>
        <w:widowControl w:val="0"/>
        <w:numPr>
          <w:ilvl w:val="0"/>
          <w:numId w:val="3"/>
        </w:numPr>
        <w:kinsoku/>
        <w:wordWrap/>
        <w:overflowPunct/>
        <w:topLinePunct w:val="0"/>
        <w:autoSpaceDE/>
        <w:autoSpaceDN/>
        <w:bidi w:val="0"/>
        <w:snapToGrid/>
        <w:textAlignment w:val="auto"/>
        <w:rPr>
          <w:rFonts w:hint="default" w:ascii="Times New Roman" w:hAnsi="Times New Roman" w:eastAsia="仿宋_GB2312" w:cs="Times New Roman"/>
          <w:sz w:val="21"/>
          <w:szCs w:val="21"/>
          <w:highlight w:val="none"/>
          <w:lang w:val="en-US" w:eastAsia="zh-CN"/>
        </w:rPr>
      </w:pPr>
      <w:r>
        <w:rPr>
          <w:rFonts w:hint="default" w:ascii="Times New Roman" w:hAnsi="Times New Roman" w:eastAsia="仿宋_GB2312" w:cs="Times New Roman"/>
          <w:sz w:val="21"/>
          <w:szCs w:val="21"/>
          <w:highlight w:val="none"/>
          <w:lang w:val="en-US" w:eastAsia="zh-CN"/>
        </w:rPr>
        <w:t xml:space="preserve">Q. Deng, X. Feng, S. Zhao, B. Gou, H. Wang and X. Ge, "Lightweight Machine-Learning-Based Diagnosis for Power Electronic Systems Subject to Imbalanced Data," in IEEE Journal of Emerging and Selected Topics in Industrial Electronics, vol. 5, no. 2, pp. 733-744, April 2024. </w:t>
      </w:r>
    </w:p>
    <w:p w14:paraId="1078FE60">
      <w:pPr>
        <w:keepNext w:val="0"/>
        <w:keepLines w:val="0"/>
        <w:pageBreakBefore w:val="0"/>
        <w:widowControl w:val="0"/>
        <w:numPr>
          <w:ilvl w:val="0"/>
          <w:numId w:val="3"/>
        </w:numPr>
        <w:kinsoku/>
        <w:wordWrap/>
        <w:overflowPunct/>
        <w:topLinePunct w:val="0"/>
        <w:autoSpaceDE/>
        <w:autoSpaceDN/>
        <w:bidi w:val="0"/>
        <w:snapToGrid/>
        <w:textAlignment w:val="auto"/>
        <w:rPr>
          <w:rFonts w:hint="default" w:ascii="Times New Roman" w:hAnsi="Times New Roman" w:eastAsia="仿宋_GB2312" w:cs="Times New Roman"/>
          <w:sz w:val="21"/>
          <w:szCs w:val="21"/>
          <w:highlight w:val="none"/>
          <w:lang w:val="en-US" w:eastAsia="zh-CN"/>
        </w:rPr>
      </w:pPr>
      <w:bookmarkStart w:id="0" w:name="_Ref193370233"/>
      <w:r>
        <w:rPr>
          <w:rFonts w:hint="default" w:ascii="Times New Roman" w:hAnsi="Times New Roman" w:eastAsia="仿宋_GB2312" w:cs="Times New Roman"/>
          <w:sz w:val="21"/>
          <w:szCs w:val="21"/>
          <w:highlight w:val="none"/>
          <w:lang w:val="en-US" w:eastAsia="zh-CN"/>
        </w:rPr>
        <w:t>Lei Z, Zhou H, Dai X, et al. Digital twin based monitoring and control for DC-DC converters[J]. Nature Communications, 2023, 14(1): 5604.</w:t>
      </w:r>
      <w:bookmarkEnd w:id="0"/>
    </w:p>
    <w:p w14:paraId="5D2B14AF">
      <w:pPr>
        <w:keepNext w:val="0"/>
        <w:keepLines w:val="0"/>
        <w:pageBreakBefore w:val="0"/>
        <w:widowControl w:val="0"/>
        <w:numPr>
          <w:ilvl w:val="0"/>
          <w:numId w:val="3"/>
        </w:numPr>
        <w:kinsoku/>
        <w:wordWrap/>
        <w:overflowPunct/>
        <w:topLinePunct w:val="0"/>
        <w:autoSpaceDE/>
        <w:autoSpaceDN/>
        <w:bidi w:val="0"/>
        <w:snapToGrid/>
        <w:textAlignment w:val="auto"/>
        <w:rPr>
          <w:rFonts w:hint="default" w:ascii="Times New Roman" w:hAnsi="Times New Roman" w:eastAsia="仿宋_GB2312" w:cs="Times New Roman"/>
          <w:sz w:val="21"/>
          <w:szCs w:val="21"/>
          <w:highlight w:val="none"/>
          <w:lang w:val="en-US" w:eastAsia="zh-CN"/>
        </w:rPr>
      </w:pPr>
      <w:bookmarkStart w:id="1" w:name="_Ref193370308"/>
      <w:r>
        <w:rPr>
          <w:rFonts w:hint="default" w:ascii="Times New Roman" w:hAnsi="Times New Roman" w:eastAsia="仿宋_GB2312" w:cs="Times New Roman"/>
          <w:sz w:val="21"/>
          <w:szCs w:val="21"/>
          <w:highlight w:val="none"/>
          <w:lang w:val="en-US" w:eastAsia="zh-CN"/>
        </w:rPr>
        <w:t>Li B X, Low K S. Low sampling rate online parameters monitoring of DC–DC converters for predictive-maintenance using biogeography-based optimization[J]. IEEE Transactions on Power Electronics, 2015, 31(4): 2870-2879.</w:t>
      </w:r>
      <w:bookmarkEnd w:id="1"/>
    </w:p>
    <w:p w14:paraId="4B55E2B8">
      <w:pPr>
        <w:keepNext w:val="0"/>
        <w:keepLines w:val="0"/>
        <w:pageBreakBefore w:val="0"/>
        <w:widowControl w:val="0"/>
        <w:numPr>
          <w:ilvl w:val="0"/>
          <w:numId w:val="3"/>
        </w:numPr>
        <w:kinsoku/>
        <w:wordWrap/>
        <w:overflowPunct/>
        <w:topLinePunct w:val="0"/>
        <w:autoSpaceDE/>
        <w:autoSpaceDN/>
        <w:bidi w:val="0"/>
        <w:snapToGrid/>
        <w:textAlignment w:val="auto"/>
        <w:rPr>
          <w:rFonts w:hint="default" w:ascii="Times New Roman" w:hAnsi="Times New Roman" w:eastAsia="仿宋_GB2312" w:cs="Times New Roman"/>
          <w:sz w:val="21"/>
          <w:szCs w:val="21"/>
          <w:highlight w:val="none"/>
          <w:lang w:val="en-US" w:eastAsia="zh-CN"/>
        </w:rPr>
      </w:pPr>
      <w:bookmarkStart w:id="2" w:name="_Ref193370421"/>
      <w:r>
        <w:rPr>
          <w:rFonts w:hint="default" w:ascii="Times New Roman" w:hAnsi="Times New Roman" w:eastAsia="仿宋_GB2312" w:cs="Times New Roman"/>
          <w:sz w:val="21"/>
          <w:szCs w:val="21"/>
          <w:highlight w:val="none"/>
          <w:lang w:val="en-US" w:eastAsia="zh-CN"/>
        </w:rPr>
        <w:t>Peng Y, Zhao S, Wang H. A digital twin based estimation method for health indicators of DC–DC converters[J]. IEEE Transactions on Power Electronics, 2020, 36(2): 2105-2118.</w:t>
      </w:r>
      <w:bookmarkEnd w:id="2"/>
    </w:p>
    <w:p w14:paraId="2BB954C6">
      <w:pPr>
        <w:keepNext w:val="0"/>
        <w:keepLines w:val="0"/>
        <w:pageBreakBefore w:val="0"/>
        <w:widowControl w:val="0"/>
        <w:numPr>
          <w:ilvl w:val="0"/>
          <w:numId w:val="3"/>
        </w:numPr>
        <w:kinsoku/>
        <w:wordWrap/>
        <w:overflowPunct/>
        <w:topLinePunct w:val="0"/>
        <w:autoSpaceDE/>
        <w:autoSpaceDN/>
        <w:bidi w:val="0"/>
        <w:snapToGrid/>
        <w:textAlignment w:val="auto"/>
        <w:rPr>
          <w:rFonts w:hint="default" w:ascii="Times New Roman" w:hAnsi="Times New Roman" w:eastAsia="仿宋_GB2312" w:cs="Times New Roman"/>
          <w:sz w:val="21"/>
          <w:szCs w:val="21"/>
          <w:highlight w:val="none"/>
          <w:lang w:val="en-US" w:eastAsia="zh-CN"/>
        </w:rPr>
      </w:pPr>
      <w:bookmarkStart w:id="3" w:name="_Ref193370828"/>
      <w:r>
        <w:rPr>
          <w:rFonts w:hint="default" w:ascii="Times New Roman" w:hAnsi="Times New Roman" w:eastAsia="仿宋_GB2312" w:cs="Times New Roman"/>
          <w:sz w:val="21"/>
          <w:szCs w:val="21"/>
          <w:highlight w:val="none"/>
          <w:lang w:val="en-US" w:eastAsia="zh-CN"/>
        </w:rPr>
        <w:t>Poon J, Jain P, Spanos C, et al. Fault prognosis for power electronics systems using adaptive parameter identification[J]. IEEE Transactions on Industry Applications, 2017, 53(3): 2862-2870.</w:t>
      </w:r>
      <w:bookmarkEnd w:id="3"/>
    </w:p>
    <w:p w14:paraId="610D94C9">
      <w:pPr>
        <w:keepNext w:val="0"/>
        <w:keepLines w:val="0"/>
        <w:pageBreakBefore w:val="0"/>
        <w:widowControl w:val="0"/>
        <w:numPr>
          <w:ilvl w:val="0"/>
          <w:numId w:val="3"/>
        </w:numPr>
        <w:kinsoku/>
        <w:wordWrap/>
        <w:overflowPunct/>
        <w:topLinePunct w:val="0"/>
        <w:autoSpaceDE/>
        <w:autoSpaceDN/>
        <w:bidi w:val="0"/>
        <w:snapToGrid/>
        <w:textAlignment w:val="auto"/>
        <w:rPr>
          <w:rFonts w:hint="default" w:ascii="Times New Roman" w:hAnsi="Times New Roman" w:eastAsia="仿宋_GB2312" w:cs="Times New Roman"/>
          <w:sz w:val="21"/>
          <w:szCs w:val="21"/>
          <w:highlight w:val="none"/>
          <w:lang w:val="en-US" w:eastAsia="zh-CN"/>
        </w:rPr>
      </w:pPr>
      <w:bookmarkStart w:id="4" w:name="_Ref193370910"/>
      <w:r>
        <w:rPr>
          <w:rFonts w:hint="default" w:ascii="Times New Roman" w:hAnsi="Times New Roman" w:eastAsia="仿宋_GB2312" w:cs="Times New Roman"/>
          <w:sz w:val="21"/>
          <w:szCs w:val="21"/>
          <w:highlight w:val="none"/>
          <w:lang w:val="en-US" w:eastAsia="zh-CN"/>
        </w:rPr>
        <w:t>杨晓婷.基于数字孪生模型的DC-DC变换器状态监测方法研究[D].黑龙江大学,2023.DOI:10.27123/d.cnki.ghlju.2023.000372.</w:t>
      </w:r>
      <w:bookmarkEnd w:id="4"/>
    </w:p>
    <w:p w14:paraId="54D13FD5">
      <w:pPr>
        <w:keepNext w:val="0"/>
        <w:keepLines w:val="0"/>
        <w:pageBreakBefore w:val="0"/>
        <w:widowControl w:val="0"/>
        <w:numPr>
          <w:ilvl w:val="0"/>
          <w:numId w:val="3"/>
        </w:numPr>
        <w:kinsoku/>
        <w:wordWrap/>
        <w:overflowPunct/>
        <w:topLinePunct w:val="0"/>
        <w:autoSpaceDE/>
        <w:autoSpaceDN/>
        <w:bidi w:val="0"/>
        <w:snapToGrid/>
        <w:textAlignment w:val="auto"/>
        <w:rPr>
          <w:rFonts w:hint="default" w:ascii="Times New Roman" w:hAnsi="Times New Roman" w:eastAsia="仿宋_GB2312" w:cs="Times New Roman"/>
          <w:sz w:val="21"/>
          <w:szCs w:val="21"/>
          <w:highlight w:val="none"/>
          <w:lang w:val="en-US" w:eastAsia="zh-CN"/>
        </w:rPr>
      </w:pPr>
      <w:bookmarkStart w:id="5" w:name="_Ref193312981"/>
      <w:r>
        <w:rPr>
          <w:rFonts w:hint="default" w:ascii="Times New Roman" w:hAnsi="Times New Roman" w:eastAsia="仿宋_GB2312" w:cs="Times New Roman"/>
          <w:sz w:val="21"/>
          <w:szCs w:val="21"/>
          <w:highlight w:val="none"/>
          <w:lang w:val="en-US" w:eastAsia="zh-CN"/>
        </w:rPr>
        <w:t>宫元凯.面向数字孪生的变流器关键元器件参数与状态监测技术研究[D].浙江大学,2023.DOI:10.27461/d.cnki.gzjdx.2023.001738.</w:t>
      </w:r>
      <w:bookmarkEnd w:id="5"/>
    </w:p>
    <w:p w14:paraId="02D51098">
      <w:pPr>
        <w:keepNext w:val="0"/>
        <w:keepLines w:val="0"/>
        <w:pageBreakBefore w:val="0"/>
        <w:widowControl w:val="0"/>
        <w:numPr>
          <w:ilvl w:val="0"/>
          <w:numId w:val="3"/>
        </w:numPr>
        <w:kinsoku/>
        <w:wordWrap/>
        <w:overflowPunct/>
        <w:topLinePunct w:val="0"/>
        <w:autoSpaceDE/>
        <w:autoSpaceDN/>
        <w:bidi w:val="0"/>
        <w:snapToGrid/>
        <w:textAlignment w:val="auto"/>
        <w:rPr>
          <w:rFonts w:hint="default" w:ascii="Times New Roman" w:hAnsi="Times New Roman" w:eastAsia="仿宋_GB2312" w:cs="Times New Roman"/>
          <w:sz w:val="21"/>
          <w:szCs w:val="21"/>
          <w:highlight w:val="none"/>
          <w:lang w:val="en-US" w:eastAsia="zh-CN"/>
        </w:rPr>
      </w:pPr>
      <w:r>
        <w:rPr>
          <w:rFonts w:hint="default" w:ascii="Times New Roman" w:hAnsi="Times New Roman" w:eastAsia="仿宋_GB2312" w:cs="Times New Roman"/>
          <w:sz w:val="21"/>
          <w:szCs w:val="21"/>
          <w:highlight w:val="none"/>
          <w:lang w:val="en-US" w:eastAsia="zh-CN"/>
        </w:rPr>
        <w:t xml:space="preserve">徐强.基于数字孪生的DC-DC变换器健康状态监测方法设计与实现[D].西南交通大学,2023.DOI:10.27414/d.cnki.gxnju.2023.000717.  </w:t>
      </w:r>
    </w:p>
    <w:p w14:paraId="07C25984">
      <w:pPr>
        <w:keepNext w:val="0"/>
        <w:keepLines w:val="0"/>
        <w:pageBreakBefore w:val="0"/>
        <w:widowControl w:val="0"/>
        <w:numPr>
          <w:ilvl w:val="0"/>
          <w:numId w:val="3"/>
        </w:numPr>
        <w:kinsoku/>
        <w:wordWrap/>
        <w:overflowPunct/>
        <w:topLinePunct w:val="0"/>
        <w:autoSpaceDE/>
        <w:autoSpaceDN/>
        <w:bidi w:val="0"/>
        <w:snapToGrid/>
        <w:textAlignment w:val="auto"/>
        <w:rPr>
          <w:rFonts w:hint="default" w:ascii="Times New Roman" w:hAnsi="Times New Roman" w:eastAsia="仿宋_GB2312" w:cs="Times New Roman"/>
          <w:sz w:val="21"/>
          <w:szCs w:val="21"/>
          <w:highlight w:val="none"/>
          <w:lang w:val="en-US" w:eastAsia="zh-CN"/>
        </w:rPr>
      </w:pPr>
      <w:r>
        <w:rPr>
          <w:rFonts w:hint="default" w:ascii="Times New Roman" w:hAnsi="Times New Roman" w:eastAsia="仿宋_GB2312" w:cs="Times New Roman"/>
          <w:sz w:val="21"/>
          <w:szCs w:val="21"/>
          <w:highlight w:val="none"/>
          <w:lang w:val="en-US" w:eastAsia="zh-CN"/>
        </w:rPr>
        <w:t>王林国.基于混杂系统模型的电力电子电路参数性故障诊断[D].浙江大学,2006.</w:t>
      </w:r>
    </w:p>
    <w:p w14:paraId="41DEA7BC">
      <w:pPr>
        <w:keepNext w:val="0"/>
        <w:keepLines w:val="0"/>
        <w:pageBreakBefore w:val="0"/>
        <w:widowControl w:val="0"/>
        <w:numPr>
          <w:ilvl w:val="0"/>
          <w:numId w:val="3"/>
        </w:numPr>
        <w:kinsoku/>
        <w:wordWrap/>
        <w:overflowPunct/>
        <w:topLinePunct w:val="0"/>
        <w:autoSpaceDE/>
        <w:autoSpaceDN/>
        <w:bidi w:val="0"/>
        <w:snapToGrid/>
        <w:textAlignment w:val="auto"/>
        <w:rPr>
          <w:rFonts w:hint="default" w:ascii="Times New Roman" w:hAnsi="Times New Roman" w:eastAsia="仿宋_GB2312" w:cs="Times New Roman"/>
          <w:sz w:val="21"/>
          <w:szCs w:val="21"/>
          <w:highlight w:val="none"/>
          <w:lang w:val="en-US" w:eastAsia="zh-CN"/>
        </w:rPr>
      </w:pPr>
      <w:bookmarkStart w:id="6" w:name="_Ref193447612"/>
      <w:r>
        <w:rPr>
          <w:rFonts w:hint="default" w:ascii="Times New Roman" w:hAnsi="Times New Roman" w:eastAsia="仿宋_GB2312" w:cs="Times New Roman"/>
          <w:sz w:val="21"/>
          <w:szCs w:val="21"/>
          <w:highlight w:val="none"/>
          <w:lang w:val="en-US" w:eastAsia="zh-CN"/>
        </w:rPr>
        <w:t>王万全.非侵入式单相逆变器关键器件渐变失效监测技术研究[D].南京航空航天大学,2022.DOI:10.27239/d.cnki.gnhhu.2022.000488.</w:t>
      </w:r>
      <w:bookmarkEnd w:id="6"/>
    </w:p>
    <w:p w14:paraId="72CF5399">
      <w:pPr>
        <w:keepNext w:val="0"/>
        <w:keepLines w:val="0"/>
        <w:pageBreakBefore w:val="0"/>
        <w:widowControl w:val="0"/>
        <w:numPr>
          <w:ilvl w:val="0"/>
          <w:numId w:val="3"/>
        </w:numPr>
        <w:kinsoku/>
        <w:wordWrap/>
        <w:overflowPunct/>
        <w:topLinePunct w:val="0"/>
        <w:autoSpaceDE/>
        <w:autoSpaceDN/>
        <w:bidi w:val="0"/>
        <w:snapToGrid/>
        <w:textAlignment w:val="auto"/>
        <w:rPr>
          <w:rFonts w:hint="default" w:ascii="Times New Roman" w:hAnsi="Times New Roman" w:eastAsia="仿宋_GB2312" w:cs="Times New Roman"/>
          <w:sz w:val="21"/>
          <w:szCs w:val="21"/>
          <w:highlight w:val="none"/>
          <w:lang w:val="en-US" w:eastAsia="zh-CN"/>
        </w:rPr>
      </w:pPr>
      <w:r>
        <w:rPr>
          <w:rFonts w:hint="default" w:ascii="Times New Roman" w:hAnsi="Times New Roman" w:eastAsia="仿宋_GB2312" w:cs="Times New Roman"/>
          <w:sz w:val="21"/>
          <w:szCs w:val="21"/>
          <w:highlight w:val="none"/>
          <w:lang w:val="en-US" w:eastAsia="zh-CN"/>
        </w:rPr>
        <w:t>魏新港.Buck变换器关键器件非侵入式健康状态监测与故障预警[D].北京交通大学,2021.DOI:10.26944/d.cnki.gbfju.2021.002668.</w:t>
      </w:r>
    </w:p>
    <w:p w14:paraId="31B5869D">
      <w:pPr>
        <w:keepNext w:val="0"/>
        <w:keepLines w:val="0"/>
        <w:pageBreakBefore w:val="0"/>
        <w:widowControl w:val="0"/>
        <w:numPr>
          <w:ilvl w:val="0"/>
          <w:numId w:val="3"/>
        </w:numPr>
        <w:kinsoku/>
        <w:wordWrap/>
        <w:overflowPunct/>
        <w:topLinePunct w:val="0"/>
        <w:autoSpaceDE/>
        <w:autoSpaceDN/>
        <w:bidi w:val="0"/>
        <w:snapToGrid/>
        <w:textAlignment w:val="auto"/>
        <w:rPr>
          <w:rFonts w:hint="default" w:ascii="Times New Roman" w:hAnsi="Times New Roman" w:eastAsia="仿宋_GB2312" w:cs="Times New Roman"/>
          <w:sz w:val="21"/>
          <w:szCs w:val="21"/>
          <w:highlight w:val="none"/>
          <w:lang w:val="en-US" w:eastAsia="zh-CN"/>
        </w:rPr>
      </w:pPr>
      <w:bookmarkStart w:id="7" w:name="_Ref193804721"/>
      <w:r>
        <w:rPr>
          <w:rFonts w:hint="default" w:ascii="Times New Roman" w:hAnsi="Times New Roman" w:eastAsia="仿宋_GB2312" w:cs="Times New Roman"/>
          <w:sz w:val="21"/>
          <w:szCs w:val="21"/>
          <w:highlight w:val="none"/>
          <w:lang w:val="en-US" w:eastAsia="zh-CN"/>
        </w:rPr>
        <w:t>王馨扬.基于数字孪生的移相全桥倍流整流电路状态监测研究[D].哈尔滨工业大学,2023.DOI:10.27061/d.cnki.ghgdu.2023.001674.</w:t>
      </w:r>
      <w:bookmarkEnd w:id="7"/>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9EC13C"/>
    <w:multiLevelType w:val="singleLevel"/>
    <w:tmpl w:val="C79EC13C"/>
    <w:lvl w:ilvl="0" w:tentative="0">
      <w:start w:val="1"/>
      <w:numFmt w:val="decimal"/>
      <w:suff w:val="space"/>
      <w:lvlText w:val="%1."/>
      <w:lvlJc w:val="left"/>
    </w:lvl>
  </w:abstractNum>
  <w:abstractNum w:abstractNumId="1">
    <w:nsid w:val="1FF402BE"/>
    <w:multiLevelType w:val="multilevel"/>
    <w:tmpl w:val="1FF402BE"/>
    <w:lvl w:ilvl="0" w:tentative="0">
      <w:start w:val="1"/>
      <w:numFmt w:val="decimal"/>
      <w:pStyle w:val="4"/>
      <w:lvlText w:val="[%1]"/>
      <w:lvlJc w:val="left"/>
      <w:pPr>
        <w:tabs>
          <w:tab w:val="left" w:pos="1055"/>
        </w:tabs>
        <w:ind w:left="1055" w:hanging="488"/>
      </w:pPr>
      <w:rPr>
        <w:rFonts w:hint="default" w:ascii="Times New Roman" w:hAnsi="Times New Roman" w:eastAsia="宋体"/>
        <w:b w:val="0"/>
        <w:i w:val="0"/>
        <w:snapToGrid w:val="0"/>
        <w:sz w:val="21"/>
        <w:szCs w:val="24"/>
      </w:rPr>
    </w:lvl>
    <w:lvl w:ilvl="1" w:tentative="0">
      <w:start w:val="1"/>
      <w:numFmt w:val="lowerLetter"/>
      <w:lvlText w:val="%2)"/>
      <w:lvlJc w:val="left"/>
      <w:pPr>
        <w:tabs>
          <w:tab w:val="left" w:pos="1407"/>
        </w:tabs>
        <w:ind w:left="1407" w:hanging="420"/>
      </w:pPr>
    </w:lvl>
    <w:lvl w:ilvl="2" w:tentative="0">
      <w:start w:val="1"/>
      <w:numFmt w:val="lowerRoman"/>
      <w:lvlText w:val="%3."/>
      <w:lvlJc w:val="right"/>
      <w:pPr>
        <w:tabs>
          <w:tab w:val="left" w:pos="1827"/>
        </w:tabs>
        <w:ind w:left="1827" w:hanging="420"/>
      </w:pPr>
    </w:lvl>
    <w:lvl w:ilvl="3" w:tentative="0">
      <w:start w:val="1"/>
      <w:numFmt w:val="decimal"/>
      <w:lvlText w:val="%4."/>
      <w:lvlJc w:val="left"/>
      <w:pPr>
        <w:tabs>
          <w:tab w:val="left" w:pos="2247"/>
        </w:tabs>
        <w:ind w:left="2247" w:hanging="420"/>
      </w:pPr>
    </w:lvl>
    <w:lvl w:ilvl="4" w:tentative="0">
      <w:start w:val="1"/>
      <w:numFmt w:val="lowerLetter"/>
      <w:lvlText w:val="%5)"/>
      <w:lvlJc w:val="left"/>
      <w:pPr>
        <w:tabs>
          <w:tab w:val="left" w:pos="2667"/>
        </w:tabs>
        <w:ind w:left="2667" w:hanging="420"/>
      </w:pPr>
    </w:lvl>
    <w:lvl w:ilvl="5" w:tentative="0">
      <w:start w:val="1"/>
      <w:numFmt w:val="lowerRoman"/>
      <w:lvlText w:val="%6."/>
      <w:lvlJc w:val="right"/>
      <w:pPr>
        <w:tabs>
          <w:tab w:val="left" w:pos="3087"/>
        </w:tabs>
        <w:ind w:left="3087" w:hanging="420"/>
      </w:pPr>
    </w:lvl>
    <w:lvl w:ilvl="6" w:tentative="0">
      <w:start w:val="1"/>
      <w:numFmt w:val="decimal"/>
      <w:lvlText w:val="%7."/>
      <w:lvlJc w:val="left"/>
      <w:pPr>
        <w:tabs>
          <w:tab w:val="left" w:pos="3507"/>
        </w:tabs>
        <w:ind w:left="3507" w:hanging="420"/>
      </w:pPr>
    </w:lvl>
    <w:lvl w:ilvl="7" w:tentative="0">
      <w:start w:val="1"/>
      <w:numFmt w:val="lowerLetter"/>
      <w:lvlText w:val="%8)"/>
      <w:lvlJc w:val="left"/>
      <w:pPr>
        <w:tabs>
          <w:tab w:val="left" w:pos="3927"/>
        </w:tabs>
        <w:ind w:left="3927" w:hanging="420"/>
      </w:pPr>
    </w:lvl>
    <w:lvl w:ilvl="8" w:tentative="0">
      <w:start w:val="1"/>
      <w:numFmt w:val="lowerRoman"/>
      <w:lvlText w:val="%9."/>
      <w:lvlJc w:val="right"/>
      <w:pPr>
        <w:tabs>
          <w:tab w:val="left" w:pos="4347"/>
        </w:tabs>
        <w:ind w:left="4347" w:hanging="420"/>
      </w:pPr>
    </w:lvl>
  </w:abstractNum>
  <w:abstractNum w:abstractNumId="2">
    <w:nsid w:val="64764992"/>
    <w:multiLevelType w:val="singleLevel"/>
    <w:tmpl w:val="64764992"/>
    <w:lvl w:ilvl="0" w:tentative="0">
      <w:start w:val="1"/>
      <w:numFmt w:val="decimal"/>
      <w:lvlText w:val="[%1]"/>
      <w:lvlJc w:val="left"/>
      <w:pPr>
        <w:tabs>
          <w:tab w:val="left" w:pos="312"/>
        </w:tabs>
      </w:pPr>
      <w:rPr>
        <w:rFonts w:hint="default"/>
        <w:sz w:val="21"/>
        <w:szCs w:val="21"/>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9622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参考文献"/>
    <w:basedOn w:val="1"/>
    <w:qFormat/>
    <w:uiPriority w:val="0"/>
    <w:pPr>
      <w:numPr>
        <w:ilvl w:val="0"/>
        <w:numId w:val="1"/>
      </w:numPr>
      <w:tabs>
        <w:tab w:val="left" w:pos="488"/>
      </w:tabs>
      <w:overflowPunct w:val="0"/>
      <w:autoSpaceDN w:val="0"/>
      <w:adjustRightInd w:val="0"/>
      <w:snapToGrid w:val="0"/>
      <w:ind w:firstLine="0" w:firstLineChars="0"/>
    </w:pPr>
    <w:rPr>
      <w:rFonts w:cs="Courier New"/>
      <w:snapToGrid w:val="0"/>
      <w:kern w:val="0"/>
      <w:sz w:val="2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2025-12-29T02:31:59Z</dcterms:created>
  <dc:creator>lcl</dc:creator>
  <cp:lastModifiedBy>lcl</cp:lastModifiedBy>
  <dcterms:modified xsi:type="dcterms:W3CDTF">2025-12-29T03:10:30Z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eyJoZGlkIjoiYmYzYzZiOGU1Mjk2OWZmNDcxOWMzYWI2ZjhhZDMzMDgiLCJ1c2VySWQiOiIzODA0ODcwNDUifQ==</vt:lpwstr>
  </property>
  <property fmtid="{D5CDD505-2E9C-101B-9397-08002B2CF9AE}" pid="4" name="ICV">
    <vt:lpwstr>1CB741258F1743E988AE76797602C3EE_12</vt:lpwstr>
  </property>
</Properties>
</file>