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Arial" w:hAnsi="Arial" w:cs="Arial"/>
          <w:b/>
          <w:sz w:val="32"/>
          <w:szCs w:val="32"/>
        </w:rPr>
      </w:pPr>
      <w:r>
        <w:rPr>
          <w:rFonts w:cs="Arial" w:ascii="Arial" w:hAnsi="Arial"/>
          <w:b/>
          <w:sz w:val="32"/>
          <w:szCs w:val="32"/>
        </w:rPr>
        <w:t>APPENDICES:</w:t>
      </w:r>
      <w:r>
        <w:rPr>
          <w:rStyle w:val="FootnoteReference"/>
          <w:rFonts w:cs="Arial" w:ascii="Arial" w:hAnsi="Arial"/>
          <w:b/>
          <w:sz w:val="32"/>
          <w:szCs w:val="32"/>
        </w:rPr>
        <w:footnoteReference w:id="2"/>
      </w:r>
    </w:p>
    <w:p>
      <w:pPr>
        <w:pStyle w:val="TOC3"/>
        <w:rPr/>
      </w:pPr>
      <w:r>
        <w:rPr/>
      </w:r>
    </w:p>
    <w:p>
      <w:pPr>
        <w:pStyle w:val="TOC3"/>
        <w:ind w:hanging="2160" w:left="2160"/>
        <w:rPr/>
      </w:pPr>
      <w:r>
        <w:rPr/>
        <w:t>Appendix A: Hazard Vulnerability Assessment (HVA)</w:t>
      </w:r>
    </w:p>
    <w:p>
      <w:pPr>
        <w:pStyle w:val="TOC3"/>
        <w:ind w:hanging="900" w:left="900"/>
        <w:rPr/>
      </w:pPr>
      <w:r>
        <w:rPr/>
        <w:tab/>
        <w:t>Facility Specific HVA</w:t>
      </w:r>
    </w:p>
    <w:p>
      <w:pPr>
        <w:pStyle w:val="TOC3"/>
        <w:ind w:hanging="900" w:left="900"/>
        <w:rPr/>
      </w:pPr>
      <w:r>
        <w:rPr/>
        <w:tab/>
        <w:t>Community HVA – PLACEHOLDER</w:t>
      </w:r>
    </w:p>
    <w:p>
      <w:pPr>
        <w:pStyle w:val="TOC3"/>
        <w:ind w:hanging="900" w:left="900"/>
        <w:rPr/>
      </w:pPr>
      <w:r>
        <w:rPr/>
        <w:tab/>
        <w:t>Evidence of HVA Annual Analysis &amp; Review</w:t>
      </w:r>
    </w:p>
    <w:p>
      <w:pPr>
        <w:pStyle w:val="TOC3"/>
        <w:spacing w:before="120" w:after="0"/>
        <w:ind w:hanging="2160" w:left="2160"/>
        <w:rPr/>
      </w:pPr>
      <w:r>
        <w:rPr/>
        <w:t>Appendix B: Mutual Aid Agreements / Memorandum(s) of Understanding - SAMPLE</w:t>
      </w:r>
    </w:p>
    <w:p>
      <w:pPr>
        <w:pStyle w:val="TOC3"/>
        <w:spacing w:before="120" w:after="0"/>
        <w:ind w:hanging="2160" w:left="2160"/>
        <w:rPr>
          <w:b/>
        </w:rPr>
      </w:pPr>
      <w:r>
        <w:rPr/>
        <w:t>Appendix C: Compliance Schedule / Calendar</w:t>
      </w:r>
    </w:p>
    <w:p>
      <w:pPr>
        <w:pStyle w:val="TOC3"/>
        <w:spacing w:before="120" w:after="0"/>
        <w:ind w:hanging="2160" w:left="2160"/>
        <w:rPr/>
      </w:pPr>
      <w:r>
        <w:rPr/>
        <w:t>Appendix D: Vendor Agreement - SAMPLE</w:t>
      </w:r>
    </w:p>
    <w:p>
      <w:pPr>
        <w:pStyle w:val="Normal"/>
        <w:spacing w:lineRule="auto" w:line="360" w:before="120" w:after="0"/>
        <w:rPr>
          <w:rFonts w:ascii="Arial" w:hAnsi="Arial" w:cs="Arial"/>
        </w:rPr>
      </w:pPr>
      <w:r>
        <w:rPr>
          <w:rFonts w:cs="Arial" w:ascii="Arial" w:hAnsi="Arial"/>
        </w:rPr>
        <w:t xml:space="preserve">Appendix E: Evacuation Route Maps – PLACEHOLDER </w:t>
      </w:r>
    </w:p>
    <w:p>
      <w:pPr>
        <w:pStyle w:val="TOC3"/>
        <w:spacing w:before="120" w:after="0"/>
        <w:ind w:hanging="2160" w:left="2160"/>
        <w:rPr/>
      </w:pPr>
      <w:r>
        <w:rPr/>
        <w:t>Appendix F: Organizational Chart and Roster of Staff with Key Disaster Roles</w:t>
      </w:r>
    </w:p>
    <w:p>
      <w:pPr>
        <w:pStyle w:val="TOC3"/>
        <w:spacing w:before="120" w:after="0"/>
        <w:ind w:hanging="2160" w:left="2160"/>
        <w:rPr/>
      </w:pPr>
      <w:r>
        <w:rPr/>
        <w:t xml:space="preserve">Appendix G: Resident and Responsible Party - Emergency Communications Plan – SAMPLE </w:t>
      </w:r>
    </w:p>
    <w:p>
      <w:pPr>
        <w:pStyle w:val="TOC3"/>
        <w:spacing w:before="120" w:after="0"/>
        <w:ind w:hanging="2160" w:left="2160"/>
        <w:rPr/>
      </w:pPr>
      <w:r>
        <w:rPr/>
        <w:t>Appendix H: Staff Competency Post Training Test - SAMPLE</w:t>
      </w:r>
    </w:p>
    <w:p>
      <w:pPr>
        <w:pStyle w:val="TOC3"/>
        <w:spacing w:before="120" w:after="0"/>
        <w:ind w:hanging="2160" w:left="2160"/>
        <w:rPr/>
      </w:pPr>
      <w:r>
        <w:rPr/>
        <w:t>Appendix I: Collaborative and Cooperative Planning Efforts Documentation</w:t>
      </w:r>
    </w:p>
    <w:p>
      <w:pPr>
        <w:pStyle w:val="TOC3"/>
        <w:spacing w:before="120" w:after="0"/>
        <w:ind w:hanging="2160" w:left="2160"/>
        <w:rPr/>
      </w:pPr>
      <w:r>
        <w:rPr/>
        <w:t>Appendix J: Annual Analysis and Review</w:t>
      </w:r>
    </w:p>
    <w:p>
      <w:pPr>
        <w:pStyle w:val="TOC3"/>
        <w:spacing w:before="120" w:after="0"/>
        <w:ind w:hanging="2160" w:left="2160"/>
        <w:rPr/>
      </w:pPr>
      <w:r>
        <w:rPr/>
        <w:t>Appendix K: EPP Quick Reference Guide (11x17)</w:t>
      </w:r>
    </w:p>
    <w:p>
      <w:pPr>
        <w:pStyle w:val="TOC3"/>
        <w:spacing w:before="120" w:after="0"/>
        <w:ind w:hanging="2160" w:left="2160"/>
        <w:rPr/>
      </w:pPr>
      <w:r>
        <w:rPr/>
        <w:t>Appendix L: 1135 Waivers</w:t>
      </w:r>
    </w:p>
    <w:p>
      <w:pPr>
        <w:pStyle w:val="TOC3"/>
        <w:spacing w:lineRule="auto" w:line="480" w:before="120" w:after="0"/>
        <w:ind w:hanging="2160" w:left="2160"/>
        <w:rPr/>
      </w:pPr>
      <w:r>
        <w:rPr/>
        <w:t>Appendix M: PPE Burn Rate Calculator</w:t>
      </w:r>
    </w:p>
    <w:p>
      <w:pPr>
        <w:pStyle w:val="Normal"/>
        <w:spacing w:lineRule="auto" w:line="480"/>
        <w:rPr>
          <w:rFonts w:ascii="Arial" w:hAnsi="Arial" w:cs="Arial"/>
        </w:rPr>
      </w:pPr>
      <w:r>
        <w:rPr>
          <w:rFonts w:cs="Arial" w:ascii="Arial" w:hAnsi="Arial"/>
        </w:rPr>
        <w:t>Appendix N: Contact Listing for Facility Physicians</w:t>
      </w:r>
    </w:p>
    <w:p>
      <w:pPr>
        <w:pStyle w:val="Normal"/>
        <w:spacing w:lineRule="auto" w:line="480"/>
        <w:rPr>
          <w:rFonts w:ascii="Arial" w:hAnsi="Arial" w:cs="Arial"/>
        </w:rPr>
      </w:pPr>
      <w:r>
        <w:rPr>
          <w:rFonts w:cs="Arial" w:ascii="Arial" w:hAnsi="Arial"/>
        </w:rPr>
        <w:t>Appendix O: Entities Providing Services Under Arrangement</w:t>
      </w:r>
    </w:p>
    <w:p>
      <w:pPr>
        <w:pStyle w:val="Normal"/>
        <w:spacing w:lineRule="auto" w:line="480"/>
        <w:rPr>
          <w:rFonts w:ascii="Arial" w:hAnsi="Arial" w:cs="Arial"/>
        </w:rPr>
      </w:pPr>
      <w:r>
        <w:rPr>
          <w:rFonts w:cs="Arial" w:ascii="Arial" w:hAnsi="Arial"/>
        </w:rPr>
        <w:t>Appendix P: Contact Listing for Facility Volunteers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footnotePr>
        <w:numFmt w:val="decimal"/>
      </w:footnotePr>
      <w:type w:val="nextPage"/>
      <w:pgSz w:w="12240" w:h="15840"/>
      <w:pgMar w:left="1440" w:right="1440" w:gutter="0" w:header="720" w:top="1440" w:footer="432" w:bottom="1440"/>
      <w:pgNumType w:fmt="decimal"/>
      <w:formProt w:val="false"/>
      <w:vAlign w:val="center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rFonts w:ascii="Arial" w:hAnsi="Arial" w:cs="Arial"/>
        <w:b/>
        <w:bCs/>
        <w:sz w:val="20"/>
        <w:szCs w:val="20"/>
      </w:rPr>
    </w:pPr>
    <w:r>
      <w:rPr/>
    </w:r>
  </w:p>
  <w:p>
    <w:pPr>
      <w:pStyle w:val="Footer"/>
      <w:rPr>
        <w:rFonts w:ascii="Calibri" w:hAnsi="Calibri" w:asciiTheme="minorHAnsi" w:hAnsiTheme="minorHAnsi"/>
        <w:sz w:val="22"/>
        <w:szCs w:val="22"/>
      </w:rPr>
    </w:pPr>
    <w:r>
      <w:rPr>
        <w:rFonts w:ascii="Calibri" w:hAnsi="Calibri" w:asciiTheme="minorHAnsi" w:hAnsiTheme="minorHAnsi"/>
        <w:sz w:val="22"/>
        <w:szCs w:val="22"/>
      </w:rPr>
      <w:tab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rFonts w:ascii="Arial" w:hAnsi="Arial" w:cs="Arial"/>
        <w:b/>
        <w:bCs/>
        <w:sz w:val="20"/>
        <w:szCs w:val="20"/>
      </w:rPr>
    </w:pPr>
    <w:r>
      <w:rPr/>
    </w:r>
  </w:p>
  <w:p>
    <w:pPr>
      <w:pStyle w:val="Footer"/>
      <w:rPr>
        <w:rFonts w:ascii="Calibri" w:hAnsi="Calibri" w:asciiTheme="minorHAnsi" w:hAnsiTheme="minorHAnsi"/>
        <w:sz w:val="22"/>
        <w:szCs w:val="22"/>
      </w:rPr>
    </w:pPr>
    <w:r>
      <w:rPr>
        <w:rFonts w:ascii="Calibri" w:hAnsi="Calibri" w:asciiTheme="minorHAnsi" w:hAnsiTheme="minorHAnsi"/>
        <w:sz w:val="22"/>
        <w:szCs w:val="22"/>
      </w:rPr>
      <w:tab/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Text"/>
        <w:rPr>
          <w:rFonts w:ascii="Calibri" w:hAnsi="Calibri"/>
        </w:rPr>
      </w:pPr>
      <w:r>
        <w:rPr>
          <w:rStyle w:val="FootnoteCharacters"/>
        </w:rPr>
        <w:footnoteRef/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>Customize Appendices and insert into plan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keepLines/>
      <w:widowControl w:val="false"/>
      <w:rPr>
        <w:rFonts w:ascii="Calibri" w:hAnsi="Calibri" w:cs="Aharoni"/>
        <w:b/>
        <w:color w:val="595959"/>
        <w:sz w:val="32"/>
        <w:szCs w:val="32"/>
      </w:rPr>
    </w:pPr>
    <w:r>
      <w:rPr>
        <w:rFonts w:cs="Aharoni" w:ascii="Calibri" w:hAnsi="Calibri"/>
        <w:b/>
        <w:color w:val="595959"/>
        <w:kern w:val="2"/>
        <w:sz w:val="32"/>
        <w:szCs w:val="32"/>
      </w:rPr>
      <w:t>EMERGENCY</w:t>
    </w:r>
    <w:r>
      <w:rPr>
        <w:rFonts w:cs="Aharoni" w:ascii="Calibri" w:hAnsi="Calibri"/>
        <w:b/>
        <w:color w:val="595959"/>
        <w:sz w:val="32"/>
        <w:szCs w:val="32"/>
      </w:rPr>
      <w:t xml:space="preserve"> OPERATIONS PLAN</w:t>
    </w:r>
  </w:p>
  <w:p>
    <w:pPr>
      <w:pStyle w:val="Normal"/>
      <w:rPr>
        <w:rFonts w:ascii="Arial" w:hAnsi="Arial" w:cs="Arial"/>
        <w:sz w:val="28"/>
        <w:szCs w:val="28"/>
      </w:rPr>
    </w:pPr>
    <w:r>
      <w:rPr>
        <w:rFonts w:cs="Arial" w:ascii="Arial" w:hAnsi="Arial"/>
        <w:sz w:val="28"/>
        <w:szCs w:val="28"/>
      </w:rPr>
      <mc:AlternateContent>
        <mc:Choice Requires="wps">
          <w:drawing>
            <wp:anchor behindDoc="1" distT="27940" distB="19685" distL="19050" distR="19050" simplePos="0" locked="0" layoutInCell="1" allowOverlap="1" relativeHeight="2" wp14:anchorId="23E8FA40">
              <wp:simplePos x="0" y="0"/>
              <wp:positionH relativeFrom="column">
                <wp:posOffset>0</wp:posOffset>
              </wp:positionH>
              <wp:positionV relativeFrom="paragraph">
                <wp:posOffset>66040</wp:posOffset>
              </wp:positionV>
              <wp:extent cx="4162425" cy="635"/>
              <wp:effectExtent l="19685" t="19685" r="19050" b="19050"/>
              <wp:wrapNone/>
              <wp:docPr id="1" name="Straight Arrow Connector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62320" cy="720"/>
                      </a:xfrm>
                      <a:prstGeom prst="straightConnector1">
                        <a:avLst/>
                      </a:prstGeom>
                      <a:noFill/>
                      <a:ln w="38100">
                        <a:solidFill>
                          <a:srgbClr val="8a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type id="_x0000_t32" coordsize="21600,21600" o:spt="32" path="m,l21600,21600nfe">
              <v:stroke joinstyle="miter"/>
              <v:path gradientshapeok="t" o:connecttype="rect" textboxrect="0,0,21600,21600"/>
            </v:shapetype>
            <v:shape id="shape_0" ID="Straight Arrow Connector 1" path="m0,0l-2147483648,-2147483647e" stroked="t" o:allowincell="f" style="position:absolute;margin-left:0pt;margin-top:5.2pt;width:327.7pt;height:0pt;mso-wrap-style:none;v-text-anchor:middle" wp14:anchorId="23E8FA40" type="_x0000_t32">
              <v:fill o:detectmouseclick="t" on="false"/>
              <v:stroke color="#8a0000" weight="38160" joinstyle="round" endcap="flat"/>
              <w10:wrap type="none"/>
            </v:shape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keepLines/>
      <w:widowControl w:val="false"/>
      <w:rPr>
        <w:rFonts w:ascii="Calibri" w:hAnsi="Calibri" w:cs="Aharoni"/>
        <w:b/>
        <w:color w:val="595959"/>
        <w:sz w:val="32"/>
        <w:szCs w:val="32"/>
      </w:rPr>
    </w:pPr>
    <w:r>
      <w:rPr>
        <w:rFonts w:cs="Aharoni" w:ascii="Calibri" w:hAnsi="Calibri"/>
        <w:b/>
        <w:color w:val="595959"/>
        <w:kern w:val="2"/>
        <w:sz w:val="32"/>
        <w:szCs w:val="32"/>
      </w:rPr>
      <w:t>EMERGENCY</w:t>
    </w:r>
    <w:r>
      <w:rPr>
        <w:rFonts w:cs="Aharoni" w:ascii="Calibri" w:hAnsi="Calibri"/>
        <w:b/>
        <w:color w:val="595959"/>
        <w:sz w:val="32"/>
        <w:szCs w:val="32"/>
      </w:rPr>
      <w:t xml:space="preserve"> OPERATIONS PLAN</w:t>
    </w:r>
  </w:p>
  <w:p>
    <w:pPr>
      <w:pStyle w:val="Normal"/>
      <w:rPr>
        <w:rFonts w:ascii="Arial" w:hAnsi="Arial" w:cs="Arial"/>
        <w:sz w:val="28"/>
        <w:szCs w:val="28"/>
      </w:rPr>
    </w:pPr>
    <w:r>
      <w:rPr>
        <w:rFonts w:cs="Arial" w:ascii="Arial" w:hAnsi="Arial"/>
        <w:sz w:val="28"/>
        <w:szCs w:val="28"/>
      </w:rPr>
      <mc:AlternateContent>
        <mc:Choice Requires="wps">
          <w:drawing>
            <wp:anchor behindDoc="1" distT="27940" distB="19685" distL="19050" distR="19050" simplePos="0" locked="0" layoutInCell="1" allowOverlap="1" relativeHeight="2" wp14:anchorId="23E8FA40">
              <wp:simplePos x="0" y="0"/>
              <wp:positionH relativeFrom="column">
                <wp:posOffset>0</wp:posOffset>
              </wp:positionH>
              <wp:positionV relativeFrom="paragraph">
                <wp:posOffset>66040</wp:posOffset>
              </wp:positionV>
              <wp:extent cx="4162425" cy="635"/>
              <wp:effectExtent l="19685" t="19685" r="19050" b="19050"/>
              <wp:wrapNone/>
              <wp:docPr id="2" name="Straight Arrow Connector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62320" cy="720"/>
                      </a:xfrm>
                      <a:prstGeom prst="straightConnector1">
                        <a:avLst/>
                      </a:prstGeom>
                      <a:noFill/>
                      <a:ln w="38100">
                        <a:solidFill>
                          <a:srgbClr val="8a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shape_0" ID="Straight Arrow Connector 1" path="m0,0l-2147483648,-2147483647e" stroked="t" o:allowincell="f" style="position:absolute;margin-left:0pt;margin-top:5.2pt;width:327.7pt;height:0pt;mso-wrap-style:none;v-text-anchor:middle" wp14:anchorId="23E8FA40" type="_x0000_t32">
              <v:fill o:detectmouseclick="t" on="false"/>
              <v:stroke color="#8a0000" weight="38160" joinstyle="round" endcap="flat"/>
              <w10:wrap type="none"/>
            </v:shape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footnotePr>
    <w:numFmt w:val="decimal"/>
    <w:footnote w:id="0"/>
    <w:footnote w:id="1"/>
  </w:foot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0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uiPriority="0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53fda"/>
    <w:pPr>
      <w:widowControl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otnoteTextChar" w:customStyle="1">
    <w:name w:val="Footnote Text Char"/>
    <w:basedOn w:val="DefaultParagraphFont"/>
    <w:link w:val="FootnoteText"/>
    <w:semiHidden/>
    <w:qFormat/>
    <w:rsid w:val="00353fda"/>
    <w:rPr>
      <w:rFonts w:ascii="Times New Roman" w:hAnsi="Times New Roman" w:eastAsia="Times New Roman" w:cs="Times New Roman"/>
      <w:sz w:val="20"/>
      <w:szCs w:val="20"/>
    </w:rPr>
  </w:style>
  <w:style w:type="character" w:styleId="FootnoteCharacters">
    <w:name w:val="Footnote Characters"/>
    <w:semiHidden/>
    <w:unhideWhenUsed/>
    <w:qFormat/>
    <w:rsid w:val="00353fda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eaderChar" w:customStyle="1">
    <w:name w:val="Header Char"/>
    <w:basedOn w:val="DefaultParagraphFont"/>
    <w:link w:val="Header"/>
    <w:qFormat/>
    <w:rsid w:val="00353fda"/>
    <w:rPr>
      <w:rFonts w:ascii="Times New Roman" w:hAnsi="Times New Roman" w:eastAsia="Times New Roman" w:cs="Times New Roman"/>
      <w:sz w:val="24"/>
      <w:szCs w:val="24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353fda"/>
    <w:rPr>
      <w:rFonts w:ascii="Times New Roman" w:hAnsi="Times New Roman" w:eastAsia="Times New Roman" w:cs="Times New Roman"/>
      <w:sz w:val="24"/>
      <w:szCs w:val="24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OC3">
    <w:name w:val="TOC 3"/>
    <w:basedOn w:val="Normal"/>
    <w:next w:val="Normal"/>
    <w:autoRedefine/>
    <w:unhideWhenUsed/>
    <w:rsid w:val="00353fda"/>
    <w:pPr>
      <w:tabs>
        <w:tab w:val="clear" w:pos="720"/>
        <w:tab w:val="right" w:pos="9350" w:leader="dot"/>
      </w:tabs>
      <w:spacing w:lineRule="auto" w:line="360"/>
      <w:ind w:hanging="1440" w:left="2160"/>
    </w:pPr>
    <w:rPr>
      <w:rFonts w:ascii="Arial" w:hAnsi="Arial" w:eastAsia="Times" w:cs="Arial"/>
    </w:rPr>
  </w:style>
  <w:style w:type="paragraph" w:styleId="FootnoteText">
    <w:name w:val="Footnote Text"/>
    <w:basedOn w:val="Normal"/>
    <w:link w:val="FootnoteTextChar"/>
    <w:semiHidden/>
    <w:unhideWhenUsed/>
    <w:rsid w:val="00353fda"/>
    <w:pPr/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nhideWhenUsed/>
    <w:rsid w:val="00353fda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353fda"/>
    <w:pPr>
      <w:tabs>
        <w:tab w:val="clear" w:pos="720"/>
        <w:tab w:val="center" w:pos="4680" w:leader="none"/>
        <w:tab w:val="right" w:pos="9360" w:leader="none"/>
      </w:tabs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otnotes" Target="footnotes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Application>LibreOffice/24.2.7.2$Linux_X86_64 LibreOffice_project/420$Build-2</Application>
  <AppVersion>15.0000</AppVersion>
  <Pages>1</Pages>
  <Words>142</Words>
  <Characters>882</Characters>
  <CharactersWithSpaces>1012</CharactersWithSpaces>
  <Paragraphs>23</Paragraphs>
  <Company>Microsoft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2022-05-12T20:25:00Z</dcterms:created>
  <dc:creator>Julie Blue</dc:creator>
  <dc:description/>
  <dc:language>en-US</dc:language>
  <cp:lastModifiedBy/>
  <cp:lastPrinted>2022-05-12T18:04:00Z</cp:lastPrinted>
  <dcterms:modified xsi:type="dcterms:W3CDTF">2026-04-21T19:19:32Z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