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32"/>
          <w:szCs w:val="32"/>
        </w:rPr>
      </w:pPr>
      <w:r>
        <w:rPr>
          <w:rFonts w:eastAsia="Calibri" w:cs="Calibri" w:ascii="Cheltenham" w:hAnsi="Cheltenham"/>
          <w:color w:val="221E1F"/>
          <w:sz w:val="28"/>
          <w:szCs w:val="28"/>
        </w:rPr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&lt;Insert Facility Name&gt;</w:t>
      </w:r>
      <w:r>
        <w:rPr>
          <w:rStyle w:val="FootnoteReference"/>
          <w:rFonts w:cs="Arial" w:ascii="Arial" w:hAnsi="Arial"/>
          <w:b/>
          <w:sz w:val="32"/>
          <w:szCs w:val="32"/>
        </w:rPr>
        <w:footnoteReference w:id="2"/>
      </w:r>
    </w:p>
    <w:p>
      <w:pPr>
        <w:pStyle w:val="Normal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EMERGENCY PREPAREDNESS PROGRAM</w:t>
      </w:r>
    </w:p>
    <w:p>
      <w:pPr>
        <w:pStyle w:val="Normal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</w:r>
    </w:p>
    <w:p>
      <w:pPr>
        <w:pStyle w:val="Normal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TABLE OF CONTENTS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EMERGENCY MANAGEMENT PLAN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hanging="2160" w:left="216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SECTION A: </w:t>
        <w:tab/>
        <w:t>POLICIES AND PLANNING</w:t>
      </w:r>
    </w:p>
    <w:p>
      <w:pPr>
        <w:pStyle w:val="TOC2"/>
        <w:ind w:hanging="0" w:left="720"/>
        <w:rPr/>
      </w:pPr>
      <w:r>
        <w:rPr/>
        <w:t>Policy and Organizational Statements</w:t>
        <w:tab/>
      </w:r>
    </w:p>
    <w:p>
      <w:pPr>
        <w:pStyle w:val="TOC2"/>
        <w:ind w:hanging="0" w:left="720"/>
        <w:rPr/>
      </w:pPr>
      <w:r>
        <w:rPr/>
        <w:t>Risk Assessment Process</w:t>
        <w:tab/>
      </w:r>
    </w:p>
    <w:p>
      <w:pPr>
        <w:pStyle w:val="TOC2"/>
        <w:ind w:hanging="0" w:left="720"/>
        <w:rPr/>
      </w:pPr>
      <w:r>
        <w:rPr/>
        <w:t>Mitigation Overview</w:t>
        <w:tab/>
      </w:r>
    </w:p>
    <w:p>
      <w:pPr>
        <w:pStyle w:val="TOC2"/>
        <w:ind w:hanging="0" w:left="720"/>
        <w:rPr/>
      </w:pPr>
      <w:r>
        <w:rPr/>
        <w:t>Planning Assumptions</w:t>
        <w:tab/>
        <w:t xml:space="preserve"> </w:t>
      </w:r>
    </w:p>
    <w:p>
      <w:pPr>
        <w:pStyle w:val="TOC2"/>
        <w:ind w:hanging="0" w:left="720"/>
        <w:rPr/>
      </w:pPr>
      <w:r>
        <w:rPr/>
        <w:t>Communications</w:t>
        <w:tab/>
      </w:r>
    </w:p>
    <w:p>
      <w:pPr>
        <w:pStyle w:val="TOC2"/>
        <w:ind w:hanging="0" w:left="720"/>
        <w:rPr/>
      </w:pPr>
      <w:r>
        <w:rPr/>
        <w:t>Resident and Family Information</w:t>
        <w:tab/>
      </w:r>
    </w:p>
    <w:p>
      <w:pPr>
        <w:pStyle w:val="TOC2"/>
        <w:ind w:hanging="0" w:left="720"/>
        <w:rPr/>
      </w:pPr>
      <w:r>
        <w:rPr/>
        <w:t>Continuity of Operations</w:t>
        <w:tab/>
      </w:r>
    </w:p>
    <w:p>
      <w:pPr>
        <w:pStyle w:val="TOC2"/>
        <w:ind w:firstLine="720" w:left="720"/>
        <w:rPr/>
      </w:pPr>
      <w:r>
        <w:rPr/>
        <w:t>Role of the Facility under an 1135 Waiver</w:t>
        <w:tab/>
      </w:r>
    </w:p>
    <w:p>
      <w:pPr>
        <w:pStyle w:val="TOC2"/>
        <w:ind w:firstLine="720" w:left="720"/>
        <w:rPr/>
      </w:pPr>
      <w:r>
        <w:rPr/>
        <w:t>Serving as an Alternate Care Site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Shelter in Place Plan</w:t>
        <w:tab/>
      </w:r>
    </w:p>
    <w:p>
      <w:pPr>
        <w:pStyle w:val="TOC2"/>
        <w:ind w:hanging="0" w:left="720"/>
        <w:rPr/>
      </w:pPr>
      <w:r>
        <w:rPr/>
        <w:t>Loss of Utilities</w:t>
        <w:tab/>
      </w:r>
    </w:p>
    <w:p>
      <w:pPr>
        <w:pStyle w:val="TOC2"/>
        <w:ind w:hanging="0" w:left="720"/>
        <w:rPr/>
      </w:pPr>
      <w:r>
        <w:rPr/>
        <w:t>Authority to Activate the Plan</w:t>
        <w:tab/>
        <w:tab/>
      </w:r>
    </w:p>
    <w:p>
      <w:pPr>
        <w:pStyle w:val="TOC2"/>
        <w:ind w:hanging="0" w:left="720"/>
        <w:rPr/>
      </w:pPr>
      <w:r>
        <w:rPr/>
        <w:t>Order of Succession  - Incident Command Team</w:t>
        <w:tab/>
      </w:r>
    </w:p>
    <w:p>
      <w:pPr>
        <w:pStyle w:val="TOC2"/>
        <w:ind w:hanging="0" w:left="720"/>
        <w:rPr/>
      </w:pPr>
      <w:r>
        <w:rPr/>
        <w:t>Disaster Staffing</w:t>
        <w:tab/>
      </w:r>
    </w:p>
    <w:p>
      <w:pPr>
        <w:pStyle w:val="TOC2"/>
        <w:ind w:hanging="0" w:left="720"/>
        <w:rPr/>
      </w:pPr>
      <w:r>
        <w:rPr/>
        <w:t>Resident Medical Information</w:t>
        <w:tab/>
      </w:r>
    </w:p>
    <w:p>
      <w:pPr>
        <w:pStyle w:val="TOC2"/>
        <w:ind w:hanging="0" w:left="720"/>
        <w:rPr/>
      </w:pPr>
      <w:r>
        <w:rPr/>
        <w:t>Training and Testing Program</w:t>
        <w:tab/>
      </w:r>
    </w:p>
    <w:p>
      <w:pPr>
        <w:pStyle w:val="TOC2"/>
        <w:ind w:hanging="0" w:left="1440"/>
        <w:rPr/>
      </w:pPr>
      <w:r>
        <w:rPr/>
        <w:t>Training</w:t>
        <w:tab/>
      </w:r>
    </w:p>
    <w:p>
      <w:pPr>
        <w:pStyle w:val="TOC2"/>
        <w:ind w:hanging="0" w:left="1440"/>
        <w:rPr/>
      </w:pPr>
      <w:r>
        <w:rPr/>
        <w:t>Annual Testing</w:t>
        <w:tab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2160" w:left="2160"/>
        <w:rPr>
          <w:rFonts w:ascii="Arial" w:hAnsi="Arial" w:cs="Arial"/>
          <w:b/>
        </w:rPr>
      </w:pPr>
      <w:r>
        <w:rPr>
          <w:rFonts w:cs="Arial" w:ascii="Arial" w:hAnsi="Arial"/>
          <w:b/>
        </w:rPr>
        <w:t>EMERGENCY OPERATIONS PLAN</w:t>
      </w:r>
    </w:p>
    <w:p>
      <w:pPr>
        <w:pStyle w:val="Normal"/>
        <w:ind w:hanging="2160" w:left="21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hanging="2160" w:left="216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SECTION B: </w:t>
        <w:tab/>
        <w:t>PROCEDURES APPLICABLE TO ALL HAZARD RESPONSES</w:t>
      </w:r>
    </w:p>
    <w:p>
      <w:pPr>
        <w:pStyle w:val="Normal"/>
        <w:tabs>
          <w:tab w:val="clear" w:pos="720"/>
          <w:tab w:val="right" w:pos="9360" w:leader="dot"/>
        </w:tabs>
        <w:ind w:left="720"/>
        <w:rPr>
          <w:rFonts w:ascii="Arial" w:hAnsi="Arial" w:cs="Arial"/>
        </w:rPr>
      </w:pPr>
      <w:bookmarkStart w:id="0" w:name="OLE_LINK28"/>
      <w:r>
        <w:rPr>
          <w:rFonts w:cs="Arial" w:ascii="Arial" w:hAnsi="Arial"/>
        </w:rPr>
        <w:t>Activation of Emergency Operations Plan (EOP)</w:t>
        <w:tab/>
      </w:r>
    </w:p>
    <w:p>
      <w:pPr>
        <w:pStyle w:val="Normal"/>
        <w:tabs>
          <w:tab w:val="clear" w:pos="720"/>
          <w:tab w:val="right" w:pos="9360" w:leader="dot"/>
        </w:tabs>
        <w:ind w:left="1440"/>
        <w:rPr>
          <w:rFonts w:ascii="Arial" w:hAnsi="Arial" w:cs="Arial"/>
        </w:rPr>
      </w:pPr>
      <w:r>
        <w:rPr>
          <w:rFonts w:cs="Arial" w:ascii="Arial" w:hAnsi="Arial"/>
        </w:rPr>
        <w:t>Emergency Codes</w:t>
        <w:tab/>
      </w:r>
    </w:p>
    <w:p>
      <w:pPr>
        <w:pStyle w:val="TOC2"/>
        <w:ind w:hanging="0" w:left="1440"/>
        <w:rPr/>
      </w:pPr>
      <w:bookmarkStart w:id="1" w:name="OLE_LINK28"/>
      <w:r>
        <w:rPr/>
        <w:t>Activation of the Incident Command System</w:t>
      </w:r>
      <w:bookmarkEnd w:id="1"/>
      <w:r>
        <w:rPr/>
        <w:tab/>
        <w:t xml:space="preserve"> </w:t>
      </w:r>
    </w:p>
    <w:p>
      <w:pPr>
        <w:pStyle w:val="TOC2"/>
        <w:ind w:hanging="0" w:left="720"/>
        <w:rPr/>
      </w:pPr>
      <w:r>
        <w:rPr/>
        <w:t>Communications Plan</w:t>
        <w:tab/>
      </w:r>
    </w:p>
    <w:p>
      <w:pPr>
        <w:pStyle w:val="TOC2"/>
        <w:spacing w:lineRule="auto" w:line="240"/>
        <w:ind w:hanging="0" w:left="1440"/>
        <w:rPr/>
      </w:pPr>
      <w:r>
        <w:rPr/>
        <w:t>Internal Communications During a Disaster</w:t>
        <w:tab/>
      </w:r>
    </w:p>
    <w:p>
      <w:pPr>
        <w:pStyle w:val="TOC2"/>
        <w:ind w:hanging="0" w:left="1440"/>
        <w:rPr/>
      </w:pPr>
      <w:r>
        <w:rPr/>
        <w:t>External Communications During a Disaster</w:t>
        <w:tab/>
      </w:r>
    </w:p>
    <w:p>
      <w:pPr>
        <w:pStyle w:val="TOC2"/>
        <w:ind w:hanging="0" w:left="720"/>
        <w:rPr/>
      </w:pPr>
      <w:r>
        <w:rPr/>
        <w:t>Managing Resources and Assets During a Disaster</w:t>
        <w:tab/>
      </w:r>
    </w:p>
    <w:p>
      <w:pPr>
        <w:pStyle w:val="Normal"/>
        <w:tabs>
          <w:tab w:val="clear" w:pos="720"/>
          <w:tab w:val="right" w:pos="9360" w:leader="dot"/>
        </w:tabs>
        <w:ind w:left="1440"/>
        <w:rPr>
          <w:rFonts w:ascii="Arial" w:hAnsi="Arial" w:cs="Arial"/>
        </w:rPr>
      </w:pPr>
      <w:r>
        <w:rPr>
          <w:rFonts w:cs="Arial" w:ascii="Arial" w:hAnsi="Arial"/>
        </w:rPr>
        <w:t>Responsibilities for Ensuring Critical Supplies &amp; Activities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left="1440"/>
        <w:rPr>
          <w:rFonts w:ascii="Arial" w:hAnsi="Arial" w:cs="Arial"/>
        </w:rPr>
      </w:pPr>
      <w:r>
        <w:rPr>
          <w:rFonts w:cs="Arial" w:ascii="Arial" w:hAnsi="Arial"/>
        </w:rPr>
        <w:t>Baseline Assessment of 96</w:t>
      </w:r>
      <w:r>
        <w:rPr>
          <w:rStyle w:val="FootnoteReference"/>
          <w:rFonts w:cs="Arial" w:ascii="Arial" w:hAnsi="Arial"/>
        </w:rPr>
        <w:footnoteReference w:id="3"/>
      </w:r>
      <w:r>
        <w:rPr>
          <w:rFonts w:cs="Arial" w:ascii="Arial" w:hAnsi="Arial"/>
        </w:rPr>
        <w:t xml:space="preserve"> Hr Capability</w:t>
        <w:tab/>
        <w:t xml:space="preserve"> </w:t>
      </w:r>
    </w:p>
    <w:p>
      <w:pPr>
        <w:pStyle w:val="TOC2"/>
        <w:ind w:hanging="0" w:left="720"/>
        <w:rPr/>
      </w:pPr>
      <w:r>
        <w:rPr/>
        <w:t>Managing Security and Safety During a Disaster</w:t>
        <w:tab/>
      </w:r>
    </w:p>
    <w:p>
      <w:pPr>
        <w:pStyle w:val="TOC2"/>
        <w:ind w:hanging="0" w:left="1350"/>
        <w:rPr/>
      </w:pPr>
      <w:r>
        <w:rPr/>
        <w:t>Building Lockdown</w:t>
        <w:tab/>
      </w:r>
    </w:p>
    <w:p>
      <w:pPr>
        <w:pStyle w:val="TOC2"/>
        <w:ind w:hanging="0" w:left="720"/>
        <w:rPr/>
      </w:pPr>
      <w:r>
        <w:rPr/>
        <w:t>Management of Staff During a Disaster</w:t>
        <w:tab/>
      </w:r>
    </w:p>
    <w:p>
      <w:pPr>
        <w:pStyle w:val="Normal"/>
        <w:tabs>
          <w:tab w:val="clear" w:pos="720"/>
          <w:tab w:val="right" w:pos="9360" w:leader="dot"/>
        </w:tabs>
        <w:ind w:firstLine="180" w:left="1260"/>
        <w:rPr>
          <w:rFonts w:ascii="Arial" w:hAnsi="Arial" w:cs="Arial"/>
        </w:rPr>
      </w:pPr>
      <w:r>
        <w:rPr>
          <w:rFonts w:cs="Arial" w:ascii="Arial" w:hAnsi="Arial"/>
        </w:rPr>
        <w:t>Notification of Off-Duty Staff / Disaster Staffing Options</w:t>
        <w:tab/>
        <w:t xml:space="preserve"> </w:t>
      </w:r>
    </w:p>
    <w:p>
      <w:pPr>
        <w:pStyle w:val="Normal"/>
        <w:tabs>
          <w:tab w:val="clear" w:pos="720"/>
          <w:tab w:val="right" w:pos="9360" w:leader="dot"/>
        </w:tabs>
        <w:ind w:firstLine="900" w:left="540"/>
        <w:rPr>
          <w:rFonts w:ascii="Arial" w:hAnsi="Arial" w:cs="Arial"/>
        </w:rPr>
      </w:pPr>
      <w:r>
        <w:rPr>
          <w:rFonts w:cs="Arial" w:ascii="Arial" w:hAnsi="Arial"/>
        </w:rPr>
        <w:t>Staff Sheltering</w:t>
        <w:tab/>
      </w:r>
    </w:p>
    <w:p>
      <w:pPr>
        <w:pStyle w:val="Normal"/>
        <w:tabs>
          <w:tab w:val="clear" w:pos="720"/>
          <w:tab w:val="right" w:pos="9360" w:leader="dot"/>
        </w:tabs>
        <w:ind w:firstLine="900" w:left="540"/>
        <w:rPr>
          <w:rFonts w:ascii="Arial" w:hAnsi="Arial" w:cs="Arial"/>
        </w:rPr>
      </w:pPr>
      <w:r>
        <w:rPr>
          <w:rFonts w:cs="Arial" w:ascii="Arial" w:hAnsi="Arial"/>
        </w:rPr>
        <w:t>Staff Family Sheltering</w:t>
        <w:tab/>
      </w:r>
    </w:p>
    <w:p>
      <w:pPr>
        <w:pStyle w:val="Normal"/>
        <w:tabs>
          <w:tab w:val="clear" w:pos="720"/>
          <w:tab w:val="right" w:pos="9360" w:leader="dot"/>
        </w:tabs>
        <w:ind w:firstLine="900" w:left="540"/>
        <w:rPr>
          <w:rFonts w:ascii="Arial" w:hAnsi="Arial" w:cs="Arial"/>
        </w:rPr>
      </w:pPr>
      <w:r>
        <w:rPr>
          <w:rFonts w:cs="Arial" w:ascii="Arial" w:hAnsi="Arial"/>
        </w:rPr>
        <w:t>Staff Pets Sheltering</w:t>
        <w:tab/>
        <w:t xml:space="preserve"> </w:t>
      </w:r>
    </w:p>
    <w:p>
      <w:pPr>
        <w:pStyle w:val="Normal"/>
        <w:tabs>
          <w:tab w:val="clear" w:pos="720"/>
          <w:tab w:val="right" w:pos="9360" w:leader="dot"/>
        </w:tabs>
        <w:ind w:firstLine="180" w:left="1260"/>
        <w:rPr>
          <w:rFonts w:ascii="Arial" w:hAnsi="Arial" w:cs="Arial"/>
        </w:rPr>
      </w:pPr>
      <w:r>
        <w:rPr>
          <w:rFonts w:cs="Arial" w:ascii="Arial" w:hAnsi="Arial"/>
        </w:rPr>
        <w:t>Critical Incident Stress Debriefing (CISD) for Staff</w:t>
        <w:tab/>
      </w:r>
    </w:p>
    <w:p>
      <w:pPr>
        <w:pStyle w:val="Normal"/>
        <w:tabs>
          <w:tab w:val="clear" w:pos="720"/>
          <w:tab w:val="right" w:pos="9360" w:leader="dot"/>
        </w:tabs>
        <w:ind w:firstLine="180" w:left="1260"/>
        <w:rPr>
          <w:rFonts w:ascii="Arial" w:hAnsi="Arial" w:cs="Arial"/>
        </w:rPr>
      </w:pPr>
      <w:r>
        <w:rPr>
          <w:rFonts w:cs="Arial" w:ascii="Arial" w:hAnsi="Arial"/>
        </w:rPr>
        <w:t>Loss of Parking / Inability to Commute</w:t>
        <w:tab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OC2"/>
        <w:ind w:hanging="0" w:left="720"/>
        <w:rPr/>
      </w:pPr>
      <w:r>
        <w:rPr/>
        <w:t>Managing Utilities During a Disaster</w:t>
        <w:tab/>
      </w:r>
    </w:p>
    <w:p>
      <w:pPr>
        <w:pStyle w:val="TOC2"/>
        <w:ind w:hanging="0" w:left="720"/>
        <w:rPr/>
      </w:pPr>
      <w:r>
        <w:rPr/>
        <w:t>Managing Residents During a Disaster</w:t>
        <w:tab/>
      </w:r>
    </w:p>
    <w:p>
      <w:pPr>
        <w:pStyle w:val="Normal"/>
        <w:tabs>
          <w:tab w:val="clear" w:pos="720"/>
          <w:tab w:val="right" w:pos="9360" w:leader="dot"/>
        </w:tabs>
        <w:ind w:left="1440"/>
        <w:rPr>
          <w:rFonts w:ascii="Arial" w:hAnsi="Arial" w:cs="Arial"/>
        </w:rPr>
      </w:pPr>
      <w:r>
        <w:rPr>
          <w:rFonts w:cs="Arial" w:ascii="Arial" w:hAnsi="Arial"/>
        </w:rPr>
        <w:t>Census Reduction Plan</w:t>
        <w:tab/>
        <w:t xml:space="preserve"> </w:t>
      </w:r>
    </w:p>
    <w:p>
      <w:pPr>
        <w:pStyle w:val="Normal"/>
        <w:tabs>
          <w:tab w:val="clear" w:pos="720"/>
          <w:tab w:val="right" w:pos="9360" w:leader="dot"/>
        </w:tabs>
        <w:ind w:left="1440"/>
        <w:rPr>
          <w:rFonts w:ascii="Arial" w:hAnsi="Arial" w:cs="Arial"/>
        </w:rPr>
      </w:pPr>
      <w:r>
        <w:rPr>
          <w:rFonts w:cs="Arial" w:ascii="Arial" w:hAnsi="Arial"/>
        </w:rPr>
        <w:t>Morgue / Mass Fatality Plan</w:t>
        <w:tab/>
      </w:r>
    </w:p>
    <w:p>
      <w:pPr>
        <w:pStyle w:val="Normal"/>
        <w:tabs>
          <w:tab w:val="clear" w:pos="720"/>
          <w:tab w:val="right" w:pos="9360" w:leader="dot"/>
        </w:tabs>
        <w:ind w:left="1440"/>
        <w:rPr>
          <w:rFonts w:ascii="Arial" w:hAnsi="Arial" w:cs="Arial"/>
        </w:rPr>
      </w:pPr>
      <w:r>
        <w:rPr>
          <w:rFonts w:cs="Arial" w:ascii="Arial" w:hAnsi="Arial"/>
        </w:rPr>
        <w:t>Surge Capacity Plan</w:t>
        <w:tab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SECTION C:</w:t>
        <w:tab/>
        <w:tab/>
        <w:t>INCIDENT COMMAND SYSTEM</w:t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  <w:lang w:val="en-US"/>
        </w:rPr>
        <w:t>Incident Command System – Concept of Operations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</w:rPr>
        <w:t>Activation of the Incident Command System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</w:rPr>
        <w:t>Incident Command Organizational Chart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</w:rPr>
        <w:t>Command Center Organizational Chart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</w:rPr>
        <w:t>Job Action Sheets and Associated Forms</w:t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1080"/>
        <w:rPr>
          <w:rFonts w:ascii="Arial" w:hAnsi="Arial" w:cs="Arial"/>
        </w:rPr>
      </w:pPr>
      <w:r>
        <w:rPr>
          <w:rFonts w:cs="Arial" w:ascii="Arial" w:hAnsi="Arial"/>
        </w:rPr>
        <w:t>Incident Commander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HICS Incident Action Plan (IAP) Quick Start</w:t>
        <w:tab/>
        <w:t xml:space="preserve"> </w:t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1080"/>
        <w:rPr>
          <w:rFonts w:ascii="Arial" w:hAnsi="Arial" w:cs="Arial"/>
          <w:lang w:val="en-US"/>
        </w:rPr>
      </w:pPr>
      <w:r>
        <w:rPr>
          <w:rFonts w:cs="Arial" w:ascii="Arial" w:hAnsi="Arial"/>
        </w:rPr>
        <w:t>Documentation Recorder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1080"/>
        <w:rPr>
          <w:rFonts w:ascii="Arial" w:hAnsi="Arial" w:cs="Arial"/>
          <w:lang w:val="en-US"/>
        </w:rPr>
      </w:pPr>
      <w:r>
        <w:rPr>
          <w:rFonts w:cs="Arial" w:ascii="Arial" w:hAnsi="Arial"/>
        </w:rPr>
        <w:t>Safety/Security/Liaison Officer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1080"/>
        <w:rPr>
          <w:rFonts w:ascii="Arial" w:hAnsi="Arial" w:cs="Arial"/>
          <w:lang w:val="en-US"/>
        </w:rPr>
      </w:pPr>
      <w:r>
        <w:rPr>
          <w:rFonts w:cs="Arial" w:ascii="Arial" w:hAnsi="Arial"/>
        </w:rPr>
        <w:t>Public Information Officer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</w:rPr>
        <w:tab/>
      </w:r>
      <w:r>
        <w:rPr>
          <w:rFonts w:cs="Arial" w:ascii="Arial" w:hAnsi="Arial"/>
          <w:lang w:val="en-US"/>
        </w:rPr>
        <w:t>Logistics Section Chief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1080"/>
        <w:rPr>
          <w:rFonts w:ascii="Arial" w:hAnsi="Arial" w:cs="Arial"/>
        </w:rPr>
      </w:pPr>
      <w:r>
        <w:rPr>
          <w:rFonts w:cs="Arial" w:ascii="Arial" w:hAnsi="Arial"/>
        </w:rPr>
        <w:t>Planning Section Chief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ab/>
        <w:tab/>
        <w:t>Labor Pool Unit Leader</w:t>
        <w:tab/>
        <w:t xml:space="preserve"> </w:t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ind w:left="180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Floor Evacuation Team – Team Leader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ind w:left="1800"/>
        <w:rPr>
          <w:rFonts w:ascii="Arial" w:hAnsi="Arial" w:cs="Arial"/>
        </w:rPr>
      </w:pPr>
      <w:r>
        <w:rPr>
          <w:rFonts w:cs="Arial" w:ascii="Arial" w:hAnsi="Arial"/>
        </w:rPr>
        <w:t>Elevator Evacuation Team – Team Leader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ind w:left="1800"/>
        <w:rPr>
          <w:rFonts w:ascii="Arial" w:hAnsi="Arial" w:cs="Arial"/>
        </w:rPr>
      </w:pPr>
      <w:r>
        <w:rPr>
          <w:rFonts w:cs="Arial" w:ascii="Arial" w:hAnsi="Arial"/>
        </w:rPr>
        <w:t>Stairwell Evacuation Team – Team Leader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1800"/>
        <w:rPr>
          <w:rFonts w:ascii="Arial" w:hAnsi="Arial" w:cs="Arial"/>
          <w:lang w:val="en-US"/>
        </w:rPr>
      </w:pPr>
      <w:r>
        <w:rPr>
          <w:rFonts w:cs="Arial" w:ascii="Arial" w:hAnsi="Arial"/>
        </w:rPr>
        <w:t>Discharge Floor Evacuation Team – Team Leader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360"/>
        <w:rPr>
          <w:rFonts w:ascii="Arial" w:hAnsi="Arial" w:cs="Arial"/>
        </w:rPr>
      </w:pPr>
      <w:r>
        <w:rPr>
          <w:rFonts w:cs="Arial" w:ascii="Arial" w:hAnsi="Arial"/>
        </w:rPr>
        <w:tab/>
        <w:tab/>
        <w:t>Finance Section Chief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</w:rPr>
        <w:tab/>
        <w:t>Operations Section Chief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ind w:left="1080"/>
        <w:rPr>
          <w:rFonts w:ascii="Arial" w:hAnsi="Arial" w:cs="Arial"/>
          <w:lang w:val="en-US"/>
        </w:rPr>
      </w:pPr>
      <w:r>
        <w:rPr>
          <w:rFonts w:cs="Arial" w:ascii="Arial" w:hAnsi="Arial"/>
        </w:rPr>
        <w:tab/>
        <w:t>Nursing Supervisor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Director of Nursing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Charge Nurse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Department</w:t>
        <w:tab/>
        <w:t xml:space="preserve"> </w:t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ind w:left="108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ab/>
      </w:r>
      <w:r>
        <w:rPr>
          <w:rFonts w:cs="Arial" w:ascii="Arial" w:hAnsi="Arial"/>
        </w:rPr>
        <w:t xml:space="preserve">Director 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</w:rPr>
        <w:tab/>
        <w:tab/>
        <w:t>Triage Unit Leader</w:t>
        <w:tab/>
      </w:r>
    </w:p>
    <w:p>
      <w:pPr>
        <w:pStyle w:val="Footer"/>
        <w:tabs>
          <w:tab w:val="clear" w:pos="4320"/>
          <w:tab w:val="clear" w:pos="8640"/>
          <w:tab w:val="left" w:pos="360" w:leader="none"/>
          <w:tab w:val="left" w:pos="720" w:leader="none"/>
          <w:tab w:val="left" w:pos="1080" w:leader="none"/>
          <w:tab w:val="left" w:pos="1800" w:leader="none"/>
          <w:tab w:val="right" w:pos="9360" w:leader="dot"/>
        </w:tabs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</w:rPr>
        <w:tab/>
        <w:tab/>
        <w:t>Holding Area Unit Leader</w:t>
        <w:tab/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SECTION D:</w:t>
        <w:tab/>
        <w:tab/>
        <w:t xml:space="preserve">FULL BUILDING EVACUATION PLAN </w:t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  <w:lang w:val="en-US"/>
        </w:rPr>
        <w:t>Full Building Evacuation Algorithm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  <w:lang w:val="en-US"/>
        </w:rPr>
        <w:t>Introduction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</w:rPr>
        <w:t>Action Plan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Activation of Plan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Activate Labor Pool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Transportation (Internal / External)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Census Reduction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Assignment of Resident Evacuation Staff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Holding Areas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Communications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Evacuation Prioritization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Staff and Emergency Services Internal Routes of Travel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Evacuation Order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Resident Placement into other Facilities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Resident Medical Records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Medications &amp; Federally Controlled Substances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Care and Treatment of Evacuees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144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Resident Personal Belongings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  <w:lang w:val="en-US"/>
        </w:rPr>
      </w:pPr>
      <w:bookmarkStart w:id="2" w:name="OLE_LINK33"/>
      <w:r>
        <w:rPr>
          <w:rFonts w:cs="Arial" w:ascii="Arial" w:hAnsi="Arial"/>
        </w:rPr>
        <w:t>Resident Preparation Guides</w:t>
      </w:r>
      <w:r>
        <w:rPr>
          <w:rFonts w:cs="Arial" w:ascii="Arial" w:hAnsi="Arial"/>
          <w:lang w:val="en-US"/>
        </w:rPr>
        <w:t>: Independent Living Residents</w:t>
        <w:tab/>
      </w:r>
      <w:bookmarkEnd w:id="2"/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</w:rPr>
        <w:t>Resident Preparation Guides</w:t>
      </w:r>
      <w:r>
        <w:rPr>
          <w:rFonts w:cs="Arial" w:ascii="Arial" w:hAnsi="Arial"/>
          <w:lang w:val="en-US"/>
        </w:rPr>
        <w:t>: Assisted Living Residents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</w:rPr>
        <w:t>Resident Preparation Guides</w:t>
      </w:r>
      <w:r>
        <w:rPr>
          <w:rFonts w:cs="Arial" w:ascii="Arial" w:hAnsi="Arial"/>
          <w:lang w:val="en-US"/>
        </w:rPr>
        <w:t>: Skilled Nursing Residents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Resident Evacuation Tracking Form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  <w:lang w:val="en-US"/>
        </w:rPr>
      </w:pPr>
      <w:r>
        <w:rPr>
          <w:rFonts w:cs="Arial" w:ascii="Arial" w:hAnsi="Arial"/>
        </w:rPr>
        <w:t>Evacuation Floor Plans</w:t>
        <w:tab/>
      </w:r>
    </w:p>
    <w:p>
      <w:pPr>
        <w:pStyle w:val="Footer"/>
        <w:tabs>
          <w:tab w:val="clear" w:pos="4320"/>
          <w:tab w:val="clear" w:pos="8640"/>
          <w:tab w:val="right" w:pos="9360" w:leader="dot"/>
        </w:tabs>
        <w:spacing w:lineRule="auto" w:line="360"/>
        <w:ind w:left="720"/>
        <w:rPr>
          <w:rFonts w:ascii="Arial" w:hAnsi="Arial" w:cs="Arial"/>
        </w:rPr>
      </w:pPr>
      <w:r>
        <w:rPr>
          <w:rFonts w:cs="Arial" w:ascii="Arial" w:hAnsi="Arial"/>
          <w:lang w:val="en-US"/>
        </w:rPr>
        <w:t>Receiving Facilities for Evacuation</w:t>
        <w:tab/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SECTION E:</w:t>
        <w:tab/>
        <w:tab/>
        <w:t>EMERGENCY PROCEDURES FOR SPECIFIC EVENTS</w:t>
      </w:r>
    </w:p>
    <w:p>
      <w:pPr>
        <w:pStyle w:val="TOC2"/>
        <w:ind w:hanging="0" w:left="720"/>
        <w:rPr/>
      </w:pPr>
      <w:r>
        <w:rPr/>
        <w:t>Active Shooter/Person with a Weapon</w:t>
        <w:tab/>
      </w:r>
    </w:p>
    <w:p>
      <w:pPr>
        <w:pStyle w:val="TOC2"/>
        <w:ind w:hanging="0" w:left="720"/>
        <w:rPr/>
      </w:pPr>
      <w:r>
        <w:rPr/>
        <w:t>Bioterrorism / Terrorism</w:t>
        <w:tab/>
      </w:r>
    </w:p>
    <w:p>
      <w:pPr>
        <w:pStyle w:val="TOC3"/>
        <w:rPr/>
      </w:pPr>
      <w:r>
        <w:rPr/>
        <w:t>Bomb Threat / Suspicious Package</w:t>
        <w:tab/>
      </w:r>
    </w:p>
    <w:p>
      <w:pPr>
        <w:pStyle w:val="TOC3"/>
        <w:rPr/>
      </w:pPr>
      <w:r>
        <w:rPr/>
        <w:t>Carbon Monoxide Alarm Activation</w:t>
      </w:r>
      <w:r>
        <w:rPr>
          <w:rStyle w:val="FootnoteReference"/>
        </w:rPr>
        <w:footnoteReference w:id="4"/>
      </w:r>
      <w:r>
        <w:rPr>
          <w:color w:val="FF0000"/>
        </w:rPr>
        <w:t xml:space="preserve"> </w:t>
      </w:r>
      <w:r>
        <w:rPr/>
        <w:tab/>
      </w:r>
    </w:p>
    <w:p>
      <w:pPr>
        <w:pStyle w:val="TOC3"/>
        <w:rPr/>
      </w:pPr>
      <w:r>
        <w:rPr/>
        <w:t>Civil Disturbance / Demonstrations</w:t>
        <w:tab/>
      </w:r>
    </w:p>
    <w:p>
      <w:pPr>
        <w:pStyle w:val="TOC3"/>
        <w:rPr/>
      </w:pPr>
      <w:r>
        <w:rPr/>
        <w:t>Contamination of the Outside Air</w:t>
        <w:tab/>
      </w:r>
    </w:p>
    <w:p>
      <w:pPr>
        <w:pStyle w:val="TOC3"/>
        <w:rPr/>
      </w:pPr>
      <w:r>
        <w:rPr/>
        <w:t>Data Breach “Cyber Attack”</w:t>
        <w:tab/>
      </w:r>
    </w:p>
    <w:p>
      <w:pPr>
        <w:pStyle w:val="TOC3"/>
        <w:rPr/>
      </w:pPr>
      <w:r>
        <w:rPr/>
        <w:t>Earthquake</w:t>
        <w:tab/>
      </w:r>
    </w:p>
    <w:p>
      <w:pPr>
        <w:pStyle w:val="TOC3"/>
        <w:rPr/>
      </w:pPr>
      <w:r>
        <w:rPr/>
        <w:t>Emerging Infectious Disease</w:t>
      </w:r>
      <w:r>
        <w:rPr>
          <w:rStyle w:val="FootnoteReference"/>
        </w:rPr>
        <w:footnoteReference w:id="5"/>
      </w:r>
      <w:r>
        <w:rPr/>
        <w:tab/>
      </w:r>
    </w:p>
    <w:p>
      <w:pPr>
        <w:pStyle w:val="TOC3"/>
        <w:rPr/>
      </w:pPr>
      <w:r>
        <w:rPr/>
        <w:t>Fire</w:t>
        <w:tab/>
      </w:r>
    </w:p>
    <w:p>
      <w:pPr>
        <w:pStyle w:val="TOC3"/>
        <w:rPr/>
      </w:pPr>
      <w:r>
        <w:rPr/>
        <w:t>Flood (Internal &amp; External)</w:t>
        <w:tab/>
      </w:r>
    </w:p>
    <w:p>
      <w:pPr>
        <w:pStyle w:val="TOC3"/>
        <w:rPr/>
      </w:pPr>
      <w:r>
        <w:rPr/>
        <w:t>Hazardous Material Spill or Leak</w:t>
        <w:tab/>
      </w:r>
    </w:p>
    <w:p>
      <w:pPr>
        <w:pStyle w:val="TOC3"/>
        <w:rPr/>
      </w:pPr>
      <w:r>
        <w:rPr/>
        <w:t>Hostage Taking</w:t>
        <w:tab/>
      </w:r>
    </w:p>
    <w:p>
      <w:pPr>
        <w:pStyle w:val="TOC3"/>
        <w:rPr/>
      </w:pPr>
      <w:r>
        <w:rPr/>
        <w:t>Hurricane</w:t>
      </w:r>
      <w:r>
        <w:rPr>
          <w:rStyle w:val="FootnoteReference"/>
        </w:rPr>
        <w:footnoteReference w:id="6"/>
      </w:r>
      <w:r>
        <w:rPr/>
        <w:tab/>
      </w:r>
    </w:p>
    <w:p>
      <w:pPr>
        <w:pStyle w:val="TOC3"/>
        <w:rPr/>
      </w:pPr>
      <w:r>
        <w:rPr/>
        <w:t>Loss of Central Services:</w:t>
      </w:r>
    </w:p>
    <w:p>
      <w:pPr>
        <w:pStyle w:val="TOC3"/>
        <w:ind w:left="1440"/>
        <w:rPr/>
      </w:pPr>
      <w:r>
        <w:rPr/>
        <w:t>Loss of Air Conditioning / High Heat</w:t>
        <w:tab/>
      </w:r>
    </w:p>
    <w:p>
      <w:pPr>
        <w:pStyle w:val="TOC3"/>
        <w:ind w:left="1440"/>
        <w:rPr/>
      </w:pPr>
      <w:r>
        <w:rPr/>
        <w:t>Loss of Cooking Ability</w:t>
        <w:tab/>
      </w:r>
    </w:p>
    <w:p>
      <w:pPr>
        <w:pStyle w:val="TOC3"/>
        <w:ind w:left="1440"/>
        <w:rPr/>
      </w:pPr>
      <w:r>
        <w:rPr/>
        <w:t>Loss of Electric Service</w:t>
        <w:tab/>
      </w:r>
    </w:p>
    <w:p>
      <w:pPr>
        <w:pStyle w:val="TOC3"/>
        <w:ind w:left="2160"/>
        <w:rPr/>
      </w:pPr>
      <w:r>
        <w:rPr/>
        <w:t>Loss of Electric Service During Dialysis</w:t>
        <w:tab/>
      </w:r>
    </w:p>
    <w:p>
      <w:pPr>
        <w:pStyle w:val="TOC3"/>
        <w:ind w:left="2160"/>
        <w:rPr/>
      </w:pPr>
      <w:r>
        <w:rPr/>
        <w:t>Loss of Emergency Generator Power</w:t>
      </w:r>
    </w:p>
    <w:p>
      <w:pPr>
        <w:pStyle w:val="TOC3"/>
        <w:ind w:left="1440"/>
        <w:rPr/>
      </w:pPr>
      <w:r>
        <w:rPr/>
        <w:t>Loss of Elevator Service</w:t>
        <w:tab/>
      </w:r>
    </w:p>
    <w:p>
      <w:pPr>
        <w:pStyle w:val="TOC3"/>
        <w:ind w:firstLine="720" w:left="1440"/>
        <w:rPr/>
      </w:pPr>
      <w:r>
        <w:rPr/>
        <w:t>Loss of Fire Protection Systems</w:t>
        <w:tab/>
      </w:r>
    </w:p>
    <w:p>
      <w:pPr>
        <w:pStyle w:val="TOC3"/>
        <w:ind w:firstLine="720" w:left="1440"/>
        <w:rPr/>
      </w:pPr>
      <w:r>
        <w:rPr/>
        <w:t>Fire Watch Procedures</w:t>
        <w:tab/>
      </w:r>
    </w:p>
    <w:p>
      <w:pPr>
        <w:pStyle w:val="TOC3"/>
        <w:ind w:left="1440"/>
        <w:rPr/>
      </w:pPr>
      <w:r>
        <w:rPr/>
        <w:t>Loss of Heating System</w:t>
        <w:tab/>
      </w:r>
    </w:p>
    <w:p>
      <w:pPr>
        <w:pStyle w:val="TOC3"/>
        <w:ind w:left="1440"/>
        <w:rPr/>
      </w:pPr>
      <w:r>
        <w:rPr/>
        <w:t>Loss of Information Technology</w:t>
        <w:tab/>
      </w:r>
    </w:p>
    <w:p>
      <w:pPr>
        <w:pStyle w:val="TOC3"/>
        <w:ind w:left="1440"/>
        <w:rPr/>
      </w:pPr>
      <w:r>
        <w:rPr/>
        <w:t>Loss of Natural Gas / Propane</w:t>
      </w:r>
      <w:r>
        <w:rPr>
          <w:rStyle w:val="FootnoteReference"/>
        </w:rPr>
        <w:footnoteReference w:id="7"/>
      </w:r>
      <w:r>
        <w:rPr/>
        <w:tab/>
      </w:r>
    </w:p>
    <w:p>
      <w:pPr>
        <w:pStyle w:val="TOC3"/>
        <w:ind w:left="1440"/>
        <w:rPr/>
      </w:pPr>
      <w:r>
        <w:rPr/>
        <w:t>Loss of Oxygen / Vacuum</w:t>
      </w:r>
      <w:r>
        <w:rPr>
          <w:rStyle w:val="FootnoteReference"/>
        </w:rPr>
        <w:footnoteReference w:id="8"/>
      </w:r>
      <w:r>
        <w:rPr/>
        <w:tab/>
      </w:r>
    </w:p>
    <w:p>
      <w:pPr>
        <w:pStyle w:val="TOC3"/>
        <w:ind w:left="1440"/>
        <w:rPr/>
      </w:pPr>
      <w:r>
        <w:rPr/>
        <w:t>Loss of Sewer / Waste System</w:t>
        <w:tab/>
      </w:r>
    </w:p>
    <w:p>
      <w:pPr>
        <w:pStyle w:val="TOC3"/>
        <w:ind w:left="1440"/>
        <w:rPr/>
      </w:pPr>
      <w:r>
        <w:rPr/>
        <w:t>Loss of Steam Pressure</w:t>
      </w:r>
      <w:r>
        <w:rPr>
          <w:rStyle w:val="FootnoteReference"/>
        </w:rPr>
        <w:footnoteReference w:id="9"/>
      </w:r>
      <w:r>
        <w:rPr/>
        <w:tab/>
      </w:r>
    </w:p>
    <w:p>
      <w:pPr>
        <w:pStyle w:val="TOC3"/>
        <w:ind w:left="1440"/>
        <w:rPr/>
      </w:pPr>
      <w:r>
        <w:rPr/>
        <w:t>Loss of Telephone Service / Internal Communications / Nurse Call</w:t>
        <w:tab/>
      </w:r>
    </w:p>
    <w:p>
      <w:pPr>
        <w:pStyle w:val="TOC3"/>
        <w:ind w:left="1440"/>
        <w:rPr/>
      </w:pPr>
      <w:r>
        <w:rPr/>
        <w:t>Loss of Water Service / Contamination of Water Supply</w:t>
        <w:tab/>
      </w:r>
    </w:p>
    <w:p>
      <w:pPr>
        <w:pStyle w:val="TOC3"/>
        <w:ind w:firstLine="720" w:left="1440"/>
        <w:rPr/>
      </w:pPr>
      <w:r>
        <w:rPr/>
        <w:t>Loss of Water Service During Dialysis</w:t>
        <w:tab/>
      </w:r>
    </w:p>
    <w:p>
      <w:pPr>
        <w:pStyle w:val="TOC3"/>
        <w:rPr/>
      </w:pPr>
      <w:r>
        <w:rPr/>
        <w:t>Missing Resident</w:t>
        <w:tab/>
      </w:r>
    </w:p>
    <w:p>
      <w:pPr>
        <w:pStyle w:val="TOC3"/>
        <w:rPr/>
      </w:pPr>
      <w:r>
        <w:rPr/>
        <w:t>Natural Gas</w:t>
      </w:r>
      <w:r>
        <w:rPr>
          <w:rStyle w:val="FootnoteReference"/>
        </w:rPr>
        <w:footnoteReference w:id="10"/>
      </w:r>
      <w:r>
        <w:rPr/>
        <w:t xml:space="preserve"> Odor / Propane Odor / Leak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Pandemic Emergency Plan – Emerging Infectious Disease</w:t>
      </w:r>
      <w:r>
        <w:rPr>
          <w:rStyle w:val="FootnoteReference"/>
          <w:rFonts w:cs="Arial" w:ascii="Arial" w:hAnsi="Arial"/>
        </w:rPr>
        <w:footnoteReference w:id="11"/>
      </w:r>
      <w:r>
        <w:rPr>
          <w:rFonts w:cs="Arial" w:ascii="Arial" w:hAnsi="Arial"/>
        </w:rPr>
        <w:tab/>
      </w:r>
    </w:p>
    <w:p>
      <w:pPr>
        <w:pStyle w:val="TOC3"/>
        <w:rPr/>
      </w:pPr>
      <w:r>
        <w:rPr/>
        <w:t>Security Situation</w:t>
        <w:tab/>
      </w:r>
    </w:p>
    <w:p>
      <w:pPr>
        <w:pStyle w:val="TOC3"/>
        <w:rPr/>
      </w:pPr>
      <w:r>
        <w:rPr/>
        <w:t>Snow Emergency / Ice Storm</w:t>
      </w:r>
      <w:r>
        <w:rPr>
          <w:rStyle w:val="FootnoteReference"/>
        </w:rPr>
        <w:footnoteReference w:id="12"/>
      </w:r>
      <w:r>
        <w:rPr/>
        <w:tab/>
      </w:r>
    </w:p>
    <w:p>
      <w:pPr>
        <w:pStyle w:val="TOC3"/>
        <w:rPr/>
      </w:pPr>
      <w:r>
        <w:rPr/>
        <w:t>Tornado / High Winds</w:t>
        <w:tab/>
      </w:r>
    </w:p>
    <w:p>
      <w:pPr>
        <w:pStyle w:val="TOC3"/>
        <w:rPr/>
      </w:pPr>
      <w:r>
        <w:rPr/>
        <w:t>Volcanic Eruption</w:t>
      </w:r>
      <w:r>
        <w:rPr>
          <w:rStyle w:val="FootnoteReference"/>
        </w:rPr>
        <w:footnoteReference w:id="13"/>
      </w:r>
      <w:r>
        <w:rPr/>
        <w:tab/>
      </w:r>
    </w:p>
    <w:p>
      <w:pPr>
        <w:pStyle w:val="TOC3"/>
        <w:rPr/>
      </w:pPr>
      <w:r>
        <w:rPr/>
        <w:t>Wildfire</w:t>
      </w:r>
      <w:r>
        <w:rPr>
          <w:rStyle w:val="FootnoteReference"/>
        </w:rPr>
        <w:footnoteReference w:id="14"/>
      </w:r>
      <w:r>
        <w:rPr/>
        <w:tab/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hanging="2160" w:left="216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SECTION F: </w:t>
        <w:tab/>
        <w:t>EMERGENCY RESOURCES AND LISTS</w:t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Facility Information Detail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 w:left="720"/>
        <w:rPr>
          <w:rFonts w:ascii="Arial" w:hAnsi="Arial" w:cs="Arial"/>
        </w:rPr>
      </w:pPr>
      <w:r>
        <w:rPr>
          <w:rFonts w:cs="Arial" w:ascii="Arial" w:hAnsi="Arial"/>
        </w:rPr>
        <w:t>Emergency Contacts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 w:left="720"/>
        <w:rPr>
          <w:rFonts w:ascii="Arial" w:hAnsi="Arial" w:cs="Arial"/>
        </w:rPr>
      </w:pPr>
      <w:r>
        <w:rPr>
          <w:rFonts w:cs="Arial" w:ascii="Arial" w:hAnsi="Arial"/>
        </w:rPr>
        <w:t>Supply Delivery Location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Disaster Kit Contents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Emergency Response Agency Phone Numbers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External Response Partners Phone Numbers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Emergency Bedding Materials</w:t>
        <w:tab/>
        <w:t xml:space="preserve"> </w:t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Emergency Food Supply List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Emergency Transport Equipment to Move Residents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Elevator Keys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Transportation Resources – Facility Owned Vehicles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7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UTILITY MANAGEMENT</w:t>
      </w:r>
    </w:p>
    <w:p>
      <w:pPr>
        <w:pStyle w:val="Normal"/>
        <w:tabs>
          <w:tab w:val="clear" w:pos="720"/>
          <w:tab w:val="left" w:pos="1440" w:leader="none"/>
          <w:tab w:val="right" w:pos="9360" w:leader="dot"/>
        </w:tabs>
        <w:ind w:hanging="720" w:left="1440"/>
        <w:rPr>
          <w:rFonts w:ascii="Arial" w:hAnsi="Arial" w:cs="Arial"/>
        </w:rPr>
      </w:pPr>
      <w:r>
        <w:rPr>
          <w:rFonts w:cs="Arial" w:ascii="Arial" w:hAnsi="Arial"/>
        </w:rPr>
        <w:tab/>
        <w:t>Emergency Utility Shut-Off Locations</w:t>
        <w:tab/>
      </w:r>
    </w:p>
    <w:p>
      <w:pPr>
        <w:pStyle w:val="Normal"/>
        <w:tabs>
          <w:tab w:val="clear" w:pos="720"/>
          <w:tab w:val="left" w:pos="1440" w:leader="none"/>
          <w:tab w:val="right" w:pos="9360" w:leader="dot"/>
        </w:tabs>
        <w:ind w:hanging="720" w:left="1440"/>
        <w:rPr>
          <w:rFonts w:ascii="Arial" w:hAnsi="Arial" w:cs="Arial"/>
        </w:rPr>
      </w:pPr>
      <w:r>
        <w:rPr>
          <w:rFonts w:cs="Arial" w:ascii="Arial" w:hAnsi="Arial"/>
        </w:rPr>
        <w:tab/>
        <w:t>Generator Information</w:t>
        <w:tab/>
      </w:r>
    </w:p>
    <w:p>
      <w:pPr>
        <w:pStyle w:val="Normal"/>
        <w:tabs>
          <w:tab w:val="clear" w:pos="720"/>
          <w:tab w:val="left" w:pos="1440" w:leader="none"/>
          <w:tab w:val="right" w:pos="9360" w:leader="dot"/>
        </w:tabs>
        <w:spacing w:lineRule="auto" w:line="360"/>
        <w:ind w:hanging="720" w:left="1440"/>
        <w:rPr>
          <w:rFonts w:ascii="Arial" w:hAnsi="Arial" w:cs="Arial"/>
        </w:rPr>
      </w:pPr>
      <w:r>
        <w:rPr>
          <w:rFonts w:cs="Arial" w:ascii="Arial" w:hAnsi="Arial"/>
        </w:rPr>
        <w:tab/>
        <w:t>Vendor Sources of Fuel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720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Emergency Contractor / Vendor Lists</w:t>
      </w:r>
    </w:p>
    <w:p>
      <w:pPr>
        <w:pStyle w:val="TOC2"/>
        <w:spacing w:lineRule="auto" w:line="240"/>
        <w:ind w:firstLine="720" w:left="720"/>
        <w:rPr/>
      </w:pPr>
      <w:r>
        <w:rPr/>
        <w:t>Housekeeping / Linen Services</w:t>
        <w:tab/>
      </w:r>
    </w:p>
    <w:p>
      <w:pPr>
        <w:pStyle w:val="TOC2"/>
        <w:spacing w:lineRule="auto" w:line="240"/>
        <w:ind w:firstLine="720" w:left="720"/>
        <w:rPr/>
      </w:pPr>
      <w:r>
        <w:rPr/>
        <w:t>Food Services Department</w:t>
        <w:tab/>
      </w:r>
    </w:p>
    <w:p>
      <w:pPr>
        <w:pStyle w:val="TOC2"/>
        <w:spacing w:lineRule="auto" w:line="240"/>
        <w:ind w:firstLine="720" w:left="720"/>
        <w:rPr/>
      </w:pPr>
      <w:r>
        <w:rPr/>
        <w:t>Transportation</w:t>
        <w:tab/>
      </w:r>
    </w:p>
    <w:p>
      <w:pPr>
        <w:pStyle w:val="Normal"/>
        <w:tabs>
          <w:tab w:val="left" w:pos="720" w:leader="none"/>
          <w:tab w:val="right" w:pos="9360" w:leader="dot"/>
        </w:tabs>
        <w:ind w:firstLine="720" w:left="720"/>
        <w:rPr>
          <w:rFonts w:ascii="Arial" w:hAnsi="Arial" w:cs="Arial"/>
        </w:rPr>
      </w:pPr>
      <w:r>
        <w:rPr>
          <w:rFonts w:cs="Arial" w:ascii="Arial" w:hAnsi="Arial"/>
        </w:rPr>
        <w:t>Maintenance Department</w:t>
        <w:tab/>
      </w:r>
    </w:p>
    <w:p>
      <w:pPr>
        <w:pStyle w:val="Normal"/>
        <w:tabs>
          <w:tab w:val="left" w:pos="720" w:leader="none"/>
          <w:tab w:val="right" w:pos="9360" w:leader="dot"/>
        </w:tabs>
        <w:ind w:firstLine="720" w:left="720"/>
        <w:rPr>
          <w:rFonts w:ascii="Arial" w:hAnsi="Arial" w:cs="Arial"/>
        </w:rPr>
      </w:pPr>
      <w:r>
        <w:rPr>
          <w:rFonts w:cs="Arial" w:ascii="Arial" w:hAnsi="Arial"/>
        </w:rPr>
        <w:t>Nursing</w:t>
        <w:tab/>
      </w:r>
    </w:p>
    <w:p>
      <w:pPr>
        <w:pStyle w:val="Footer"/>
        <w:tabs>
          <w:tab w:val="clear" w:pos="4320"/>
          <w:tab w:val="clear" w:pos="8640"/>
          <w:tab w:val="left" w:pos="720" w:leader="none"/>
          <w:tab w:val="right" w:pos="9360" w:leader="dot"/>
        </w:tabs>
        <w:ind w:firstLine="720" w:left="720"/>
        <w:rPr>
          <w:rFonts w:ascii="Arial" w:hAnsi="Arial" w:cs="Arial"/>
        </w:rPr>
      </w:pPr>
      <w:r>
        <w:rPr>
          <w:rFonts w:cs="Arial" w:ascii="Arial" w:hAnsi="Arial"/>
        </w:rPr>
        <w:t>Pharmacy</w:t>
        <w:tab/>
      </w:r>
    </w:p>
    <w:p>
      <w:pPr>
        <w:pStyle w:val="Normal"/>
        <w:tabs>
          <w:tab w:val="clear" w:pos="720"/>
          <w:tab w:val="right" w:pos="9360" w:leader="dot"/>
        </w:tabs>
        <w:ind w:firstLine="720" w:left="720"/>
        <w:rPr>
          <w:rFonts w:ascii="Arial" w:hAnsi="Arial" w:cs="Arial"/>
        </w:rPr>
      </w:pPr>
      <w:r>
        <w:rPr>
          <w:rFonts w:cs="Arial" w:ascii="Arial" w:hAnsi="Arial"/>
        </w:rPr>
        <w:t>Respiratory Therapy</w:t>
        <w:tab/>
      </w:r>
    </w:p>
    <w:p>
      <w:pPr>
        <w:pStyle w:val="TOC2"/>
        <w:spacing w:lineRule="auto" w:line="240"/>
        <w:ind w:hanging="720" w:left="720"/>
        <w:rPr>
          <w:b/>
        </w:rPr>
      </w:pPr>
      <w:r>
        <w:rPr>
          <w:b/>
        </w:rPr>
      </w:r>
    </w:p>
    <w:p>
      <w:pPr>
        <w:pStyle w:val="TOC2"/>
        <w:tabs>
          <w:tab w:val="left" w:pos="1440" w:leader="none"/>
          <w:tab w:val="right" w:pos="9350" w:leader="dot"/>
        </w:tabs>
        <w:ind w:hanging="2160" w:left="2160"/>
        <w:rPr>
          <w:b/>
        </w:rPr>
      </w:pPr>
      <w:r>
        <w:rPr>
          <w:b/>
        </w:rPr>
        <w:t xml:space="preserve">SECTION G:        </w:t>
        <w:tab/>
        <w:t>DISASTER RECOVERY PLAN</w:t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left="1440"/>
        <w:rPr>
          <w:rFonts w:ascii="Arial" w:hAnsi="Arial" w:cs="Arial"/>
        </w:rPr>
      </w:pPr>
      <w:r>
        <w:rPr>
          <w:rFonts w:cs="Arial" w:ascii="Arial" w:hAnsi="Arial"/>
        </w:rPr>
        <w:t>Recovery Plan Overview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left="1440"/>
        <w:rPr>
          <w:rFonts w:ascii="Arial" w:hAnsi="Arial" w:cs="Arial"/>
        </w:rPr>
      </w:pPr>
      <w:r>
        <w:rPr>
          <w:rFonts w:cs="Arial" w:ascii="Arial" w:hAnsi="Arial"/>
        </w:rPr>
        <w:t>Damage and Operational Assessments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left="1440"/>
        <w:rPr>
          <w:rFonts w:ascii="Arial" w:hAnsi="Arial" w:cs="Arial"/>
        </w:rPr>
      </w:pPr>
      <w:r>
        <w:rPr>
          <w:rFonts w:cs="Arial" w:ascii="Arial" w:hAnsi="Arial"/>
        </w:rPr>
        <w:t>Facility System Status Report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left="1440"/>
        <w:rPr>
          <w:rFonts w:ascii="Arial" w:hAnsi="Arial" w:cs="Arial"/>
        </w:rPr>
      </w:pPr>
      <w:r>
        <w:rPr>
          <w:rFonts w:cs="Arial" w:ascii="Arial" w:hAnsi="Arial"/>
        </w:rPr>
        <w:t>Recovery Checklist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 w:left="1440"/>
        <w:rPr>
          <w:rFonts w:ascii="Arial" w:hAnsi="Arial" w:cs="Arial"/>
        </w:rPr>
      </w:pPr>
      <w:r>
        <w:rPr>
          <w:rFonts w:cs="Arial" w:ascii="Arial" w:hAnsi="Arial"/>
        </w:rPr>
        <w:t>Form 301- Department Rapid Assessment Form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left="1440"/>
        <w:rPr>
          <w:rFonts w:ascii="Arial" w:hAnsi="Arial" w:cs="Arial"/>
        </w:rPr>
      </w:pPr>
      <w:r>
        <w:rPr>
          <w:rFonts w:cs="Arial" w:ascii="Arial" w:hAnsi="Arial"/>
        </w:rPr>
        <w:t>Full Recovery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 w:left="1440"/>
        <w:rPr>
          <w:rFonts w:ascii="Arial" w:hAnsi="Arial" w:cs="Arial"/>
        </w:rPr>
      </w:pPr>
      <w:r>
        <w:rPr>
          <w:rFonts w:cs="Arial" w:ascii="Arial" w:hAnsi="Arial"/>
        </w:rPr>
        <w:t>Structure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 w:left="1440"/>
        <w:rPr>
          <w:rFonts w:ascii="Arial" w:hAnsi="Arial" w:cs="Arial"/>
        </w:rPr>
      </w:pPr>
      <w:r>
        <w:rPr>
          <w:rFonts w:cs="Arial" w:ascii="Arial" w:hAnsi="Arial"/>
        </w:rPr>
        <w:t>Utilities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 w:left="1440"/>
        <w:rPr>
          <w:rFonts w:ascii="Arial" w:hAnsi="Arial" w:cs="Arial"/>
        </w:rPr>
      </w:pPr>
      <w:r>
        <w:rPr>
          <w:rFonts w:cs="Arial" w:ascii="Arial" w:hAnsi="Arial"/>
        </w:rPr>
        <w:t>Food Services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 w:left="1440"/>
        <w:rPr>
          <w:rFonts w:ascii="Arial" w:hAnsi="Arial" w:cs="Arial"/>
        </w:rPr>
      </w:pPr>
      <w:r>
        <w:rPr>
          <w:rFonts w:cs="Arial" w:ascii="Arial" w:hAnsi="Arial"/>
        </w:rPr>
        <w:t>Resident Services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 w:left="1440"/>
        <w:rPr>
          <w:rFonts w:ascii="Arial" w:hAnsi="Arial" w:cs="Arial"/>
        </w:rPr>
      </w:pPr>
      <w:r>
        <w:rPr>
          <w:rFonts w:cs="Arial" w:ascii="Arial" w:hAnsi="Arial"/>
        </w:rPr>
        <w:t>Information Technology</w:t>
        <w:tab/>
      </w:r>
    </w:p>
    <w:p>
      <w:pPr>
        <w:pStyle w:val="Normal"/>
        <w:tabs>
          <w:tab w:val="clear" w:pos="720"/>
          <w:tab w:val="left" w:pos="9360" w:leader="dot"/>
        </w:tabs>
        <w:spacing w:lineRule="auto" w:line="360"/>
        <w:ind w:firstLine="720" w:left="1440"/>
        <w:rPr>
          <w:rFonts w:ascii="Arial" w:hAnsi="Arial" w:cs="Arial"/>
        </w:rPr>
      </w:pPr>
      <w:r>
        <w:rPr>
          <w:rFonts w:cs="Arial" w:ascii="Arial" w:hAnsi="Arial"/>
        </w:rPr>
        <w:t>Staffing</w:t>
        <w:tab/>
      </w:r>
    </w:p>
    <w:p>
      <w:pPr>
        <w:pStyle w:val="Normal"/>
        <w:spacing w:lineRule="auto" w:line="360"/>
        <w:ind w:left="144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APPENDICES:</w:t>
      </w:r>
      <w:r>
        <w:rPr>
          <w:rStyle w:val="FootnoteReference"/>
          <w:rFonts w:cs="Arial" w:ascii="Arial" w:hAnsi="Arial"/>
          <w:b/>
        </w:rPr>
        <w:footnoteReference w:id="15"/>
      </w:r>
    </w:p>
    <w:p>
      <w:pPr>
        <w:pStyle w:val="TOC3"/>
        <w:rPr/>
      </w:pPr>
      <w:r>
        <w:rPr/>
        <w:t>Appendix A: Hazard Vulnerability Assessment (HVA)</w:t>
      </w:r>
    </w:p>
    <w:p>
      <w:pPr>
        <w:pStyle w:val="TOC3"/>
        <w:ind w:firstLine="720" w:left="720"/>
        <w:rPr/>
      </w:pPr>
      <w:r>
        <w:rPr/>
        <w:t>Facility Specific HVA</w:t>
      </w:r>
    </w:p>
    <w:p>
      <w:pPr>
        <w:pStyle w:val="TOC3"/>
        <w:ind w:firstLine="720" w:left="720"/>
        <w:rPr/>
      </w:pPr>
      <w:r>
        <w:rPr/>
        <w:t>Community HVA – PLACEHOLDER</w:t>
      </w:r>
    </w:p>
    <w:p>
      <w:pPr>
        <w:pStyle w:val="TOC3"/>
        <w:ind w:firstLine="720" w:left="720"/>
        <w:rPr/>
      </w:pPr>
      <w:r>
        <w:rPr/>
        <w:t>Evidence of HVA Annual Analysis &amp; Review</w:t>
      </w:r>
    </w:p>
    <w:p>
      <w:pPr>
        <w:pStyle w:val="TOC3"/>
        <w:rPr/>
      </w:pPr>
      <w:r>
        <w:rPr/>
        <w:t xml:space="preserve">Appendix B: </w:t>
      </w:r>
    </w:p>
    <w:p>
      <w:pPr>
        <w:pStyle w:val="TOC3"/>
        <w:ind w:left="1440"/>
        <w:rPr/>
      </w:pPr>
      <w:r>
        <w:rPr/>
        <w:t>Mutual Aid Agreements / Memorandum(s) of Understanding – SAMPLE</w:t>
      </w:r>
    </w:p>
    <w:p>
      <w:pPr>
        <w:pStyle w:val="TOC3"/>
        <w:ind w:left="1440"/>
        <w:rPr/>
      </w:pPr>
      <w:r>
        <w:rPr/>
        <w:t>Receiving Facility Agreements</w:t>
      </w:r>
    </w:p>
    <w:p>
      <w:pPr>
        <w:pStyle w:val="TOC3"/>
        <w:rPr>
          <w:b/>
        </w:rPr>
      </w:pPr>
      <w:r>
        <w:rPr/>
        <w:t>Appendix C: Compliance Schedule / Calendar</w:t>
      </w:r>
    </w:p>
    <w:p>
      <w:pPr>
        <w:pStyle w:val="TOC3"/>
        <w:rPr/>
      </w:pPr>
      <w:r>
        <w:rPr/>
        <w:t>Appendix D: Vendor Agreement – SAMPLE</w:t>
      </w:r>
    </w:p>
    <w:p>
      <w:pPr>
        <w:pStyle w:val="TOC3"/>
        <w:rPr/>
      </w:pPr>
      <w:r>
        <w:rPr/>
        <w:t xml:space="preserve">Appendix E: Evacuation Route Maps – PLACEHOLDER </w:t>
      </w:r>
    </w:p>
    <w:p>
      <w:pPr>
        <w:pStyle w:val="TOC3"/>
        <w:rPr/>
      </w:pPr>
      <w:r>
        <w:rPr/>
        <w:t>Appendix F: Organizational Chart and Roster of Staff with Key Disaster Roles</w:t>
      </w:r>
    </w:p>
    <w:p>
      <w:pPr>
        <w:pStyle w:val="TOC3"/>
        <w:rPr/>
      </w:pPr>
      <w:r>
        <w:rPr/>
        <w:t>Appendix G: Resident and Responsible Party - Emergency Communications</w:t>
      </w:r>
    </w:p>
    <w:p>
      <w:pPr>
        <w:pStyle w:val="TOC3"/>
        <w:ind w:firstLine="1350" w:left="720"/>
        <w:rPr/>
      </w:pPr>
      <w:r>
        <w:rPr/>
        <w:t xml:space="preserve">Plan – SAMPLE </w:t>
      </w:r>
    </w:p>
    <w:p>
      <w:pPr>
        <w:pStyle w:val="TOC3"/>
        <w:rPr/>
      </w:pPr>
      <w:r>
        <w:rPr/>
        <w:t>Appendix H: Staff Competency Post-Training Test – SAMPLE</w:t>
      </w:r>
    </w:p>
    <w:p>
      <w:pPr>
        <w:pStyle w:val="TOC3"/>
        <w:rPr/>
      </w:pPr>
      <w:r>
        <w:rPr/>
        <w:t>Appendix I: Collaborative and Cooperative Planning Efforts Documentation</w:t>
      </w:r>
    </w:p>
    <w:p>
      <w:pPr>
        <w:pStyle w:val="TOC3"/>
        <w:rPr/>
      </w:pPr>
      <w:r>
        <w:rPr/>
        <w:t>Appendix J:  Annual Analysis and Review</w:t>
      </w:r>
    </w:p>
    <w:p>
      <w:pPr>
        <w:pStyle w:val="TOC3"/>
        <w:rPr/>
      </w:pPr>
      <w:r>
        <w:rPr/>
        <w:t>Appendix K: EPP Quick Reference Guide (11x17)</w:t>
      </w:r>
    </w:p>
    <w:p>
      <w:pPr>
        <w:pStyle w:val="TOC3"/>
        <w:rPr/>
      </w:pPr>
      <w:r>
        <w:rPr/>
        <w:t>Appendix L: 1135 Waivers</w:t>
      </w:r>
    </w:p>
    <w:p>
      <w:pPr>
        <w:pStyle w:val="TOC3"/>
        <w:rPr/>
      </w:pPr>
      <w:r>
        <w:rPr/>
        <w:t xml:space="preserve">Appendix M: PPE Burn Rate Calculator </w:t>
      </w:r>
    </w:p>
    <w:p>
      <w:pPr>
        <w:pStyle w:val="TOC3"/>
        <w:rPr/>
      </w:pPr>
      <w:bookmarkStart w:id="3" w:name="OLE_LINK1"/>
      <w:r>
        <w:rPr/>
        <w:t xml:space="preserve">Appendix N: </w:t>
      </w:r>
      <w:bookmarkStart w:id="4" w:name="OLE_LINK2"/>
      <w:r>
        <w:rPr/>
        <w:t>Contact Listing for Facility Physicians</w:t>
      </w:r>
      <w:bookmarkEnd w:id="3"/>
      <w:bookmarkEnd w:id="4"/>
    </w:p>
    <w:p>
      <w:pPr>
        <w:pStyle w:val="TOC3"/>
        <w:rPr/>
      </w:pPr>
      <w:r>
        <w:rPr/>
        <w:t xml:space="preserve">Appendix O: </w:t>
      </w:r>
      <w:bookmarkStart w:id="5" w:name="OLE_LINK5"/>
      <w:r>
        <w:rPr/>
        <w:t>Entities Providing Services Under Arrangement</w:t>
      </w:r>
      <w:bookmarkEnd w:id="5"/>
    </w:p>
    <w:p>
      <w:pPr>
        <w:pStyle w:val="TOC3"/>
        <w:rPr/>
      </w:pPr>
      <w:r>
        <w:rPr/>
        <w:t xml:space="preserve">Appendix P: </w:t>
      </w:r>
      <w:bookmarkStart w:id="6" w:name="OLE_LINK6"/>
      <w:r>
        <w:rPr/>
        <w:t>Contact Listing for Facility Volunteers</w:t>
      </w:r>
      <w:bookmarkEnd w:id="6"/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440" w:right="1440" w:gutter="0" w:header="720" w:top="1152" w:footer="288" w:bottom="99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heltenham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</w:r>
    <w:r>
      <w:rPr>
        <w:rStyle w:val="PageNumber"/>
        <w:rFonts w:cs="Arial" w:ascii="Calibri" w:hAnsi="Calibri"/>
        <w:sz w:val="22"/>
        <w:szCs w:val="22"/>
      </w:rPr>
      <w:fldChar w:fldCharType="begin"/>
    </w:r>
    <w:r>
      <w:rPr>
        <w:rStyle w:val="PageNumber"/>
        <w:sz w:val="22"/>
        <w:szCs w:val="22"/>
        <w:rFonts w:cs="Arial" w:ascii="Calibri" w:hAnsi="Calibri"/>
      </w:rPr>
      <w:instrText xml:space="preserve"> PAGE </w:instrText>
    </w:r>
    <w:r>
      <w:rPr>
        <w:rStyle w:val="PageNumber"/>
        <w:sz w:val="22"/>
        <w:szCs w:val="22"/>
        <w:rFonts w:cs="Arial" w:ascii="Calibri" w:hAnsi="Calibri"/>
      </w:rPr>
      <w:fldChar w:fldCharType="separate"/>
    </w:r>
    <w:r>
      <w:rPr>
        <w:rStyle w:val="PageNumber"/>
        <w:sz w:val="22"/>
        <w:szCs w:val="22"/>
        <w:rFonts w:cs="Arial" w:ascii="Calibri" w:hAnsi="Calibri"/>
      </w:rPr>
      <w:t>9</w:t>
    </w:r>
    <w:r>
      <w:rPr>
        <w:rStyle w:val="PageNumber"/>
        <w:sz w:val="22"/>
        <w:szCs w:val="22"/>
        <w:rFonts w:cs="Arial" w:ascii="Calibri" w:hAnsi="Calibri"/>
      </w:rPr>
      <w:fldChar w:fldCharType="end"/>
    </w:r>
    <w:r>
      <w:rPr>
        <w:rFonts w:cs="Arial" w:ascii="Calibri" w:hAnsi="Calibri"/>
        <w:sz w:val="22"/>
        <w:szCs w:val="22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Arial"/>
        <w:b/>
        <w:bCs/>
        <w:sz w:val="20"/>
        <w:szCs w:val="20"/>
      </w:rPr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cs="Arial" w:ascii="Calibri" w:hAnsi="Calibri"/>
          <w:sz w:val="18"/>
          <w:szCs w:val="18"/>
        </w:rPr>
        <w:t>Insert facility name</w:t>
      </w:r>
    </w:p>
  </w:footnote>
  <w:footnote w:id="3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Revise if different than 96 hours</w:t>
      </w:r>
    </w:p>
  </w:footnote>
  <w:footnote w:id="4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procedure if no Carbon Monoxide alarms</w:t>
      </w:r>
    </w:p>
  </w:footnote>
  <w:footnote w:id="5">
    <w:p>
      <w:pPr>
        <w:pStyle w:val="FootnoteText"/>
        <w:rPr>
          <w:rFonts w:ascii="Calibri" w:hAnsi="Calibri" w:cs="Calibri"/>
          <w:sz w:val="18"/>
          <w:szCs w:val="18"/>
        </w:rPr>
      </w:pPr>
      <w:r>
        <w:rPr>
          <w:rStyle w:val="FootnoteCharacters"/>
        </w:rPr>
        <w:footnoteRef/>
      </w:r>
      <w:r>
        <w:rPr>
          <w:sz w:val="18"/>
          <w:szCs w:val="18"/>
        </w:rPr>
        <w:t xml:space="preserve"> </w:t>
      </w:r>
      <w:r>
        <w:rPr>
          <w:rFonts w:cs="Calibri" w:ascii="Calibri" w:hAnsi="Calibri"/>
          <w:sz w:val="18"/>
          <w:szCs w:val="18"/>
        </w:rPr>
        <w:t>Generic plan for any facility outside NYS.  Plan specific to NYS located in Part 3 -Section E: Pandemic Emergency Plan.</w:t>
      </w:r>
    </w:p>
  </w:footnote>
  <w:footnote w:id="6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not a risk for your region</w:t>
      </w:r>
    </w:p>
  </w:footnote>
  <w:footnote w:id="7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Revise if propane versus natural gas</w:t>
      </w:r>
    </w:p>
  </w:footnote>
  <w:footnote w:id="8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 piped med gases in facility</w:t>
      </w:r>
    </w:p>
  </w:footnote>
  <w:footnote w:id="9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 steam service in facility</w:t>
      </w:r>
    </w:p>
  </w:footnote>
  <w:footnote w:id="10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Revise if propane versus natural gas</w:t>
      </w:r>
    </w:p>
  </w:footnote>
  <w:footnote w:id="11">
    <w:p>
      <w:pPr>
        <w:pStyle w:val="FootnoteText"/>
        <w:rPr>
          <w:rFonts w:ascii="Calibri" w:hAnsi="Calibri" w:cs="Calibri"/>
          <w:sz w:val="18"/>
          <w:szCs w:val="18"/>
        </w:rPr>
      </w:pPr>
      <w:r>
        <w:rPr>
          <w:rStyle w:val="FootnoteCharacters"/>
        </w:rPr>
        <w:footnoteRef/>
      </w:r>
      <w:r>
        <w:rPr>
          <w:sz w:val="18"/>
          <w:szCs w:val="18"/>
        </w:rPr>
        <w:t xml:space="preserve"> </w:t>
      </w:r>
      <w:r>
        <w:rPr>
          <w:rFonts w:cs="Calibri" w:ascii="Calibri" w:hAnsi="Calibri"/>
          <w:sz w:val="18"/>
          <w:szCs w:val="18"/>
        </w:rPr>
        <w:t xml:space="preserve">This plan is specific to NYS.  General Emerging Infectious Disease Plan for any other state located in Part 1 – Section E. </w:t>
      </w:r>
    </w:p>
  </w:footnote>
  <w:footnote w:id="1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not a risk for your region</w:t>
      </w:r>
    </w:p>
  </w:footnote>
  <w:footnote w:id="13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not a risk for your region</w:t>
      </w:r>
    </w:p>
  </w:footnote>
  <w:footnote w:id="14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not a risk for your region</w:t>
      </w:r>
    </w:p>
  </w:footnote>
  <w:footnote w:id="15">
    <w:p>
      <w:pPr>
        <w:pStyle w:val="FootnoteText"/>
        <w:rPr>
          <w:rFonts w:ascii="Calibri" w:hAnsi="Calibri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Customize Appendices and insert into plan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ascii="Arial" w:hAnsi="Arial" w:cs="Arial"/>
        <w:b/>
        <w:color w:val="595959"/>
        <w:sz w:val="22"/>
        <w:szCs w:val="22"/>
      </w:rPr>
    </w:pPr>
    <w:r>
      <w:rPr>
        <w:rFonts w:cs="Arial" w:ascii="Arial" w:hAnsi="Arial"/>
        <w:b/>
        <w:color w:val="595959"/>
        <w:kern w:val="2"/>
        <w:sz w:val="22"/>
        <w:szCs w:val="22"/>
      </w:rPr>
      <w:t>EMERGENCY</w:t>
    </w:r>
    <w:r>
      <w:rPr>
        <w:rFonts w:cs="Arial" w:ascii="Arial" w:hAnsi="Arial"/>
        <w:b/>
        <w:color w:val="595959"/>
        <w:sz w:val="22"/>
        <w:szCs w:val="22"/>
      </w:rPr>
      <w:t xml:space="preserve"> PREPAREDNESS BEST PRACTICE GUIDEBOOK FOR LONG TERM CARE</w:t>
    </w:r>
  </w:p>
  <w:p>
    <w:pPr>
      <w:pStyle w:val="Normal"/>
      <w:rPr>
        <w:rFonts w:ascii="Arial" w:hAnsi="Arial" w:cs="Arial"/>
        <w:sz w:val="28"/>
        <w:szCs w:val="28"/>
      </w:rPr>
    </w:pPr>
    <w:r>
      <w:rPr>
        <w:rFonts w:cs="Arial" w:ascii="Arial" w:hAnsi="Arial"/>
        <w:sz w:val="28"/>
        <w:szCs w:val="28"/>
      </w:rPr>
      <mc:AlternateContent>
        <mc:Choice Requires="wps">
          <w:drawing>
            <wp:anchor behindDoc="1" distT="635" distB="0" distL="3810" distR="0" simplePos="0" locked="0" layoutInCell="1" allowOverlap="1" relativeHeight="9" wp14:anchorId="62A1DB84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635" r="0" b="0"/>
              <wp:wrapNone/>
              <wp:docPr id="1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Straight Connector 5" path="m0,0l-2147483645,0l-2147483645,-2147483646l0,-2147483646xe" stroked="f" o:allowincell="f" style="position:absolute;margin-left:73.05pt;margin-top:57.8pt;width:322.15pt;height:0pt;mso-wrap-style:none;v-text-anchor:middle" wp14:anchorId="62A1DB84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27940" distB="19685" distL="19050" distR="19050" simplePos="0" locked="0" layoutInCell="1" allowOverlap="1" relativeHeight="17" wp14:anchorId="274379BC">
              <wp:simplePos x="0" y="0"/>
              <wp:positionH relativeFrom="column">
                <wp:posOffset>0</wp:posOffset>
              </wp:positionH>
              <wp:positionV relativeFrom="paragraph">
                <wp:posOffset>66040</wp:posOffset>
              </wp:positionV>
              <wp:extent cx="6048375" cy="635"/>
              <wp:effectExtent l="19685" t="19685" r="19685" b="19050"/>
              <wp:wrapNone/>
              <wp:docPr id="2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6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8a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2" path="m0,0l-2147483648,-2147483647e" stroked="t" o:allowincell="f" style="position:absolute;margin-left:0pt;margin-top:5.2pt;width:476.2pt;height:0pt;mso-wrap-style:none;v-text-anchor:middle" wp14:anchorId="274379BC" type="_x0000_t32">
              <v:fill o:detectmouseclick="t" on="false"/>
              <v:stroke color="#8a0000" weight="38160" joinstyle="round" endcap="flat"/>
              <w10:wrap type="none"/>
            </v:shape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Article %1."/>
      <w:lvlJc w:val="left"/>
      <w:pPr>
        <w:tabs>
          <w:tab w:val="num" w:pos="1440"/>
        </w:tabs>
        <w:ind w:left="0" w:hanging="0"/>
      </w:pPr>
      <w:rPr/>
    </w:lvl>
    <w:lvl w:ilvl="1">
      <w:start w:val="1"/>
      <w:isLgl/>
      <w:numFmt w:val="decimalZero"/>
      <w:lvlText w:val="Section %1.%2"/>
      <w:lvlJc w:val="left"/>
      <w:pPr>
        <w:tabs>
          <w:tab w:val="num" w:pos="1440"/>
        </w:tabs>
        <w:ind w:left="0" w:hanging="0"/>
      </w:pPr>
      <w:rPr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/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/>
    </w:lvl>
    <w:lvl w:ilvl="4">
      <w:start w:val="1"/>
      <w:pStyle w:val="Heading5"/>
      <w:numFmt w:val="decimal"/>
      <w:lvlText w:val="%5)"/>
      <w:lvlJc w:val="left"/>
      <w:pPr>
        <w:tabs>
          <w:tab w:val="num" w:pos="1008"/>
        </w:tabs>
        <w:ind w:left="1008" w:hanging="432"/>
      </w:pPr>
      <w:rPr/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/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/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/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65bf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3">
    <w:name w:val="Heading 3"/>
    <w:basedOn w:val="Normal"/>
    <w:next w:val="Normal"/>
    <w:qFormat/>
    <w:rsid w:val="00085d53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131d77"/>
    <w:pPr>
      <w:numPr>
        <w:ilvl w:val="4"/>
        <w:numId w:val="1"/>
      </w:numPr>
      <w:spacing w:lineRule="auto" w:line="360" w:before="240" w:after="60"/>
      <w:outlineLvl w:val="4"/>
    </w:pPr>
    <w:rPr>
      <w:rFonts w:ascii="Arial" w:hAnsi="Arial"/>
      <w:bCs/>
      <w:iCs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>
    <w:name w:val="Footnote Characters"/>
    <w:semiHidden/>
    <w:qFormat/>
    <w:rsid w:val="000a386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rsid w:val="00482e35"/>
    <w:rPr/>
  </w:style>
  <w:style w:type="character" w:styleId="FooterChar" w:customStyle="1">
    <w:name w:val="Footer Char"/>
    <w:link w:val="Footer"/>
    <w:qFormat/>
    <w:rsid w:val="004a40db"/>
    <w:rPr>
      <w:sz w:val="24"/>
      <w:szCs w:val="24"/>
    </w:rPr>
  </w:style>
  <w:style w:type="character" w:styleId="FootnoteTextChar" w:customStyle="1">
    <w:name w:val="Footnote Text Char"/>
    <w:link w:val="FootnoteText"/>
    <w:semiHidden/>
    <w:qFormat/>
    <w:rsid w:val="00a126eb"/>
    <w:rPr/>
  </w:style>
  <w:style w:type="character" w:styleId="annotationreference">
    <w:name w:val="annotation reference"/>
    <w:qFormat/>
    <w:rsid w:val="00ce085c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qFormat/>
    <w:rsid w:val="00ce085c"/>
    <w:rPr/>
  </w:style>
  <w:style w:type="character" w:styleId="CommentSubjectChar" w:customStyle="1">
    <w:name w:val="Comment Subject Char"/>
    <w:link w:val="annotationsubject"/>
    <w:qFormat/>
    <w:rsid w:val="00ce085c"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FootnoteTextChar"/>
    <w:semiHidden/>
    <w:rsid w:val="000a3866"/>
    <w:pPr/>
    <w:rPr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9229e0"/>
    <w:pPr>
      <w:tabs>
        <w:tab w:val="clear" w:pos="720"/>
        <w:tab w:val="right" w:pos="9350" w:leader="dot"/>
      </w:tabs>
      <w:spacing w:lineRule="auto" w:line="360"/>
      <w:ind w:firstLine="540" w:left="720"/>
    </w:pPr>
    <w:rPr>
      <w:rFonts w:ascii="Arial" w:hAnsi="Arial" w:eastAsia="Times" w:cs="Arial"/>
      <w:bCs/>
    </w:rPr>
  </w:style>
  <w:style w:type="paragraph" w:styleId="TOC3">
    <w:name w:val="TOC 3"/>
    <w:basedOn w:val="Normal"/>
    <w:next w:val="Normal"/>
    <w:autoRedefine/>
    <w:semiHidden/>
    <w:rsid w:val="00c83d49"/>
    <w:pPr>
      <w:tabs>
        <w:tab w:val="clear" w:pos="720"/>
        <w:tab w:val="right" w:pos="9350" w:leader="dot"/>
      </w:tabs>
      <w:spacing w:lineRule="auto" w:line="360"/>
      <w:ind w:left="720"/>
    </w:pPr>
    <w:rPr>
      <w:rFonts w:ascii="Arial" w:hAnsi="Arial" w:eastAsia="Times" w:cs="Arial"/>
    </w:rPr>
  </w:style>
  <w:style w:type="paragraph" w:styleId="TOC4">
    <w:name w:val="TOC 4"/>
    <w:basedOn w:val="Normal"/>
    <w:next w:val="Normal"/>
    <w:autoRedefine/>
    <w:semiHidden/>
    <w:rsid w:val="007258e0"/>
    <w:pPr>
      <w:tabs>
        <w:tab w:val="clear" w:pos="720"/>
        <w:tab w:val="left" w:pos="1980" w:leader="none"/>
        <w:tab w:val="left" w:pos="2160" w:leader="none"/>
        <w:tab w:val="right" w:pos="9346" w:leader="dot"/>
      </w:tabs>
      <w:spacing w:lineRule="auto" w:line="360"/>
      <w:ind w:left="720"/>
    </w:pPr>
    <w:rPr>
      <w:rFonts w:ascii="Arial" w:hAnsi="Arial"/>
    </w:rPr>
  </w:style>
  <w:style w:type="paragraph" w:styleId="TOC5">
    <w:name w:val="TOC 5"/>
    <w:basedOn w:val="Normal"/>
    <w:next w:val="Normal"/>
    <w:autoRedefine/>
    <w:semiHidden/>
    <w:rsid w:val="004459fd"/>
    <w:pPr>
      <w:tabs>
        <w:tab w:val="clear" w:pos="720"/>
        <w:tab w:val="right" w:pos="9346" w:leader="dot"/>
      </w:tabs>
      <w:spacing w:lineRule="auto" w:line="360"/>
      <w:ind w:left="2160"/>
    </w:pPr>
    <w:rPr>
      <w:rFonts w:ascii="Arial" w:hAnsi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98485b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rsid w:val="0098485b"/>
    <w:pPr>
      <w:tabs>
        <w:tab w:val="clear" w:pos="720"/>
        <w:tab w:val="center" w:pos="4320" w:leader="none"/>
        <w:tab w:val="right" w:pos="8640" w:leader="none"/>
      </w:tabs>
    </w:pPr>
    <w:rPr>
      <w:lang w:val="x-none" w:eastAsia="x-none"/>
    </w:rPr>
  </w:style>
  <w:style w:type="paragraph" w:styleId="BalloonText">
    <w:name w:val="Balloon Text"/>
    <w:basedOn w:val="Normal"/>
    <w:semiHidden/>
    <w:qFormat/>
    <w:rsid w:val="00826066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CommentTextChar"/>
    <w:rsid w:val="00ce085c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qFormat/>
    <w:rsid w:val="00ce085c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0B97ED-9E4F-4D7A-B078-66498FE8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DocSecurity>4</DocSecurity>
  <Pages>9</Pages>
  <Words>959</Words>
  <Characters>5986</Characters>
  <CharactersWithSpaces>6971</CharactersWithSpaces>
  <Paragraphs>214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2022-09-06T20:08:00Z</dcterms:created>
  <dc:creator>Phillips</dc:creator>
  <dc:description/>
  <dc:language>en-US</dc:language>
  <cp:lastModifiedBy/>
  <cp:lastPrinted>2017-05-15T14:26:00Z</cp:lastPrinted>
  <dcterms:modified xsi:type="dcterms:W3CDTF">2026-04-21T19:15:31Z</dcterms:modified>
  <cp:revision>3</cp:revision>
  <dc:subject/>
  <dc:title>EMERGENCY MANAGEMENT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