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804F29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804F29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F076C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804F29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804F29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804F29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804F29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Alexei.Lisitsa</w:t>
      </w:r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804F29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804F29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804F29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>become anonymised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804F29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anonymised</w:t>
      </w:r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804F29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804F29">
      <w:pPr>
        <w:pStyle w:val="a3"/>
        <w:spacing w:before="29" w:line="266" w:lineRule="auto"/>
        <w:ind w:left="462"/>
      </w:pPr>
      <w:r>
        <w:t>I agree that the Intellectual Property that arises from the student project should vest in the University of Liverpool.</w:t>
      </w:r>
    </w:p>
    <w:p w:rsidR="00AC4F89" w:rsidRDefault="00804F29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804F29">
      <w:pPr>
        <w:pStyle w:val="a3"/>
        <w:rPr>
          <w:sz w:val="24"/>
        </w:rPr>
      </w:pPr>
      <w:r>
        <w:br w:type="column"/>
      </w:r>
    </w:p>
    <w:p w:rsidR="00AC4F89" w:rsidRDefault="00804F29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r w:rsidR="00804F29">
        <w:rPr>
          <w:rFonts w:eastAsiaTheme="minorEastAsia"/>
          <w:b/>
          <w:sz w:val="23"/>
          <w:lang w:eastAsia="zh-CN"/>
        </w:rPr>
        <w:t>YuChen.Han</w:t>
      </w:r>
      <w:r w:rsidR="00804F29">
        <w:rPr>
          <w:rFonts w:eastAsiaTheme="minorEastAsia"/>
          <w:b/>
          <w:sz w:val="23"/>
          <w:lang w:eastAsia="zh-CN"/>
        </w:rPr>
        <w:tab/>
      </w:r>
      <w:r w:rsidR="00D41A40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  <w:t>201</w:t>
      </w:r>
      <w:r w:rsidR="000E1104">
        <w:rPr>
          <w:rFonts w:eastAsiaTheme="minorEastAsia"/>
          <w:b/>
          <w:sz w:val="23"/>
          <w:lang w:eastAsia="zh-CN"/>
        </w:rPr>
        <w:t>9/5/2</w:t>
      </w:r>
      <w:bookmarkStart w:id="0" w:name="_GoBack"/>
      <w:bookmarkEnd w:id="0"/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804F29">
        <w:rPr>
          <w:rFonts w:eastAsiaTheme="minorEastAsia"/>
          <w:b/>
          <w:sz w:val="23"/>
          <w:lang w:eastAsia="zh-CN"/>
        </w:rPr>
        <w:t>YuChen.Han</w:t>
      </w:r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1D4B7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804F29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DD5BD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804F29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3EC65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804F29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DEF72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F431A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ADB51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804F29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Alexei.Lisitsa</w:t>
      </w:r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Alexei.Lisitsa</w:t>
      </w:r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016F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F0064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82745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804F29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FCE" w:rsidRDefault="00762FCE" w:rsidP="000E1104">
      <w:r>
        <w:separator/>
      </w:r>
    </w:p>
  </w:endnote>
  <w:endnote w:type="continuationSeparator" w:id="0">
    <w:p w:rsidR="00762FCE" w:rsidRDefault="00762FCE" w:rsidP="000E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FCE" w:rsidRDefault="00762FCE" w:rsidP="000E1104">
      <w:r>
        <w:separator/>
      </w:r>
    </w:p>
  </w:footnote>
  <w:footnote w:type="continuationSeparator" w:id="0">
    <w:p w:rsidR="00762FCE" w:rsidRDefault="00762FCE" w:rsidP="000E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C5EFE"/>
    <w:rsid w:val="000E1104"/>
    <w:rsid w:val="001A42F0"/>
    <w:rsid w:val="00207369"/>
    <w:rsid w:val="0022722F"/>
    <w:rsid w:val="002731A7"/>
    <w:rsid w:val="00547F25"/>
    <w:rsid w:val="00762FCE"/>
    <w:rsid w:val="00804F29"/>
    <w:rsid w:val="0094477D"/>
    <w:rsid w:val="00AC4F89"/>
    <w:rsid w:val="00CF2A3C"/>
    <w:rsid w:val="00D41A40"/>
    <w:rsid w:val="00EA500C"/>
    <w:rsid w:val="00F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0F43B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E1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1104"/>
    <w:rPr>
      <w:rFonts w:ascii="Trebuchet MS" w:eastAsia="Trebuchet MS" w:hAnsi="Trebuchet MS" w:cs="Trebuchet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1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1104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Company>1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4</cp:revision>
  <dcterms:created xsi:type="dcterms:W3CDTF">2019-05-05T22:06:00Z</dcterms:created>
  <dcterms:modified xsi:type="dcterms:W3CDTF">2019-05-05T22:07:00Z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