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02C57"/>
          <w:sz w:val="30"/>
        </w:rPr>
        <w:t>IEEE BASE PAPER EXECUTIVE ANALYSIS &amp; DIRECT UAV PROJECT MAPPING</w:t>
      </w:r>
    </w:p>
    <w:p>
      <w:pPr>
        <w:spacing w:after="240"/>
        <w:jc w:val="center"/>
      </w:pPr>
      <w:r>
        <w:rPr>
          <w:rFonts w:ascii="Calibri" w:hAnsi="Calibri"/>
          <w:b/>
          <w:color w:val="35598E"/>
          <w:sz w:val="21"/>
        </w:rPr>
        <w:t>Course: Control Systems (BECE305P) | UAV Avionics &amp; HIL Flight Control Implementation</w:t>
      </w:r>
    </w:p>
    <w:p>
      <w:pPr>
        <w:spacing w:after="80"/>
      </w:pPr>
      <w:r>
        <w:rPr>
          <w:rFonts w:ascii="Calibri" w:hAnsi="Calibri"/>
          <w:b/>
          <w:color w:val="102C57"/>
          <w:sz w:val="24"/>
        </w:rPr>
        <w:t>1. Exact IEEE Base Paper Bibliographic Details</w:t>
      </w:r>
    </w:p>
    <w:p>
      <w:pPr>
        <w:spacing w:after="160"/>
        <w:ind w:left="216" w:right="216"/>
      </w:pPr>
      <w:r>
        <w:rPr>
          <w:rFonts w:ascii="Calibri" w:hAnsi="Calibri"/>
          <w:b w:val="0"/>
          <w:color w:val="212529"/>
          <w:sz w:val="19"/>
        </w:rPr>
        <w:t>• Paper Title: A Digital Twin Approach to Smart Monitoring and Fault Diagnosis</w:t>
        <w:br/>
        <w:t>• Authors: Ana C. S. Araújo, Lane M. Rabelo (Member, IEEE), Paulo C. M. Lamim Filho, and Walmir M. Caminhas</w:t>
        <w:br/>
        <w:t>• Affiliations: Federal University of Minas Gerais (UFMG) &amp; Federal University of São João del Rei (UFSJ), Brazil</w:t>
        <w:br/>
        <w:t>• Journal: IEEE Access, Volume 13, Pages 148384–148395 (Published: 21 August 2025)</w:t>
        <w:br/>
        <w:t>• Digital Object Identifier (DOI): 10.1109/ACCESS.2025.3601349</w:t>
        <w:br/>
        <w:t>• Official IEEE Citation: A. C. S. Araújo, L. M. Rabelo, P. C. M. L. Filho, and W. M. Caminhas, "A Digital Twin Approach to Smart Monitoring and Fault Diagnosis," IEEE Access, vol. 13, pp. 148384–148395, Aug. 2025.</w:t>
      </w:r>
    </w:p>
    <w:p>
      <w:pPr>
        <w:spacing w:after="80"/>
      </w:pPr>
      <w:r>
        <w:rPr>
          <w:rFonts w:ascii="Calibri" w:hAnsi="Calibri"/>
          <w:b/>
          <w:color w:val="102C57"/>
          <w:sz w:val="24"/>
        </w:rPr>
        <w:t>2. Technical Parallels: Grounding UAV Avionics in the Base Paper</w:t>
      </w:r>
    </w:p>
    <w:p>
      <w:pPr>
        <w:spacing w:after="160"/>
      </w:pPr>
      <w:r>
        <w:rPr>
          <w:rFonts w:ascii="Calibri" w:hAnsi="Calibri"/>
          <w:b w:val="0"/>
          <w:color w:val="212529"/>
          <w:sz w:val="19"/>
        </w:rPr>
        <w:t>1. Microcontroller Hardware (Page 3, Section II-A): The base paper authors explicitly engineered their data-acquisition and processing prototype using an ESP32 microcontroller, addressing ADC noise and buffered transmission—identically to our UAV flight control testbed.</w:t>
        <w:br/>
        <w:t>2. Observer-Based State Estimation (Page 3, Section II-B): The base paper notes that rotational slip cannot be directly measured cheaply and employs an internal speed estimator. Similarly, because drone gimbals lack physical tachometers, our system embeds a discrete Luenberger State Observer to reconstruct angular velocity x̂₂ from position alone.</w:t>
        <w:br/>
        <w:t>3. Diagnostic Residual for Pre-Flight Checks (Page 4, Eqs. 11–13): The base paper defines the fault indicator as:</w:t>
        <w:br/>
        <w:t xml:space="preserve">      r(t) = |y_phys(t) - y_twin(t)|</w:t>
        <w:br/>
        <w:t>In UAV systems, this residual serves as a pre-flight health diagnostic: residual spikes above threshold δ indicate propeller imbalance, motor binding, or sensor drift, preventing in-flight catastrophic crashes.</w:t>
        <w:br/>
        <w:t>4. Dual-Rate Timing Decoupling: The base paper isolates fast sampling from telemetry transmission. Our firmware runs a deterministic 50 ms (20 Hz) control loop paired with a 500 ms (2 Hz) Web Serial mission-control telemetry loop.</w:t>
      </w:r>
    </w:p>
    <w:p>
      <w:pPr>
        <w:spacing w:after="80"/>
      </w:pPr>
      <w:r>
        <w:rPr>
          <w:rFonts w:ascii="Calibri" w:hAnsi="Calibri"/>
          <w:b/>
          <w:color w:val="102C57"/>
          <w:sz w:val="24"/>
        </w:rPr>
        <w:t>3. Direct Technical Mapping: Araújo et al. (2025) vs. UAV HIL Testbed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102C57"/>
                <w:sz w:val="19"/>
              </w:rPr>
              <w:t>Design Element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102C57"/>
                <w:sz w:val="19"/>
              </w:rPr>
              <w:t>Base Paper (Araújo et al., IEEE Access 2025)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Calibri" w:hAnsi="Calibri"/>
                <w:b/>
                <w:color w:val="102C57"/>
                <w:sz w:val="19"/>
              </w:rPr>
              <w:t>Our UAV HIL Testbed (Downloads/control)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Processing MCU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ESP32 Microcontroller (Section II-A, Page 3)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ESP32 Dev Module (Dual-core Xtensa @ 240 MHz)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Actuator / Plant Model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Per-phase dynamic equivalent circuit of 1.5 kW motor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Second-order UAV gimbal / turret plant: G(s) = 7921 / (s² + 80.1s + 7921)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Digital Twin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Virtual motor model running in real time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Discrete nominal state-space twin y_twin executing in ESP32 RAM at 20 Hz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Unmeasured State Observer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Speed/slip estimator (Equation 1, Page 3)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Discrete Luenberger Observer (L = [549.13, 146118.69]ᵀ) for tachometer-free gimbal velocity</w:t>
            </w:r>
          </w:p>
        </w:tc>
      </w:tr>
      <w:tr>
        <w:tc>
          <w:tcPr>
            <w:tcW w:type="dxa" w:w="3360"/>
          </w:tcPr>
          <w:p>
            <w:pPr>
              <w:spacing w:after="80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Diagnostic Residual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Phase residual |Index(t) - Index(t-1)| (Eqs. 11–13, Page 4)</w:t>
            </w:r>
          </w:p>
        </w:tc>
        <w:tc>
          <w:tcPr>
            <w:tcW w:type="dxa" w:w="3360"/>
          </w:tcPr>
          <w:p>
            <w:pPr>
              <w:spacing w:after="80"/>
            </w:pPr>
            <w:r>
              <w:rPr>
                <w:rFonts w:ascii="Calibri" w:hAnsi="Calibri"/>
                <w:b w:val="0"/>
                <w:color w:val="212529"/>
                <w:sz w:val="18"/>
              </w:rPr>
              <w:t>Pre-flight health residual r(t) = |y_phys - y_twin| with trip threshold δ = 0.100, detecting 12% drift in &lt;150 ms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color w:val="102C57"/>
          <w:sz w:val="24"/>
        </w:rPr>
        <w:t>4. Viva Voce Defense: 4 Bulletproof Answers for Tomorrow</w:t>
      </w:r>
    </w:p>
    <w:p>
      <w:pPr>
        <w:spacing w:after="20"/>
      </w:pPr>
      <w:r>
        <w:rPr>
          <w:rFonts w:ascii="Calibri" w:hAnsi="Calibri"/>
          <w:b/>
          <w:color w:val="35598E"/>
          <w:sz w:val="19"/>
        </w:rPr>
        <w:t>Examiner: 'What is the problem statement and motivation of your project?'</w:t>
      </w:r>
    </w:p>
    <w:p>
      <w:pPr>
        <w:spacing w:after="100"/>
      </w:pPr>
      <w:r>
        <w:rPr>
          <w:rFonts w:ascii="Calibri" w:hAnsi="Calibri"/>
          <w:b w:val="0"/>
          <w:color w:val="212529"/>
          <w:sz w:val="19"/>
        </w:rPr>
        <w:t>Answer: 'Sir, flight hardware for drones is expensive and testing unverified PID or state-space gains in the air carries a severe crash risk. Standard aerospace practice uses Hardware-in-the-Loop (HIL) ground testbeds. We engineered a benchtop UAV testbed on an ESP32 to validate flight control, gimbal stabilization, altitude tracking, and pre-flight digital twin health checks prior to flight.'</w:t>
      </w:r>
    </w:p>
    <w:p>
      <w:pPr>
        <w:spacing w:after="20"/>
      </w:pPr>
      <w:r>
        <w:rPr>
          <w:rFonts w:ascii="Calibri" w:hAnsi="Calibri"/>
          <w:b/>
          <w:color w:val="35598E"/>
          <w:sz w:val="19"/>
        </w:rPr>
        <w:t>Examiner: 'What is your base paper?'</w:t>
      </w:r>
    </w:p>
    <w:p>
      <w:pPr>
        <w:spacing w:after="100"/>
      </w:pPr>
      <w:r>
        <w:rPr>
          <w:rFonts w:ascii="Calibri" w:hAnsi="Calibri"/>
          <w:b w:val="0"/>
          <w:color w:val="212529"/>
          <w:sz w:val="19"/>
        </w:rPr>
        <w:t>Answer: 'Our primary base paper is Araújo et al., published in IEEE Access (August 2025), titled "A Digital Twin Approach to Smart Monitoring and Fault Diagnosis" (DOI: 10.1109/ACCESS.2025.3601349). The authors also used an ESP32 as their core processor.'</w:t>
      </w:r>
    </w:p>
    <w:p>
      <w:pPr>
        <w:spacing w:after="20"/>
      </w:pPr>
      <w:r>
        <w:rPr>
          <w:rFonts w:ascii="Calibri" w:hAnsi="Calibri"/>
          <w:b/>
          <w:color w:val="35598E"/>
          <w:sz w:val="19"/>
        </w:rPr>
        <w:t>Examiner: 'What control algorithms are running on the hardware?'</w:t>
      </w:r>
    </w:p>
    <w:p>
      <w:pPr>
        <w:spacing w:after="100"/>
      </w:pPr>
      <w:r>
        <w:rPr>
          <w:rFonts w:ascii="Calibri" w:hAnsi="Calibri"/>
          <w:b w:val="0"/>
          <w:color w:val="212529"/>
          <w:sz w:val="19"/>
        </w:rPr>
        <w:t>Answer: 'We identified the second-order transfer function of our gimbal actuator G(s) = 7921 / (s² + 80.1s + 7921). We implemented both Classical PID and Modern Optimal LQR state feedback (K = [99.00, 9.99]) to achieve a 22 ms settling time without overshoot. We also synthesized a Luenberger observer to estimate angular rate without a physical tachometer.'</w:t>
      </w:r>
    </w:p>
    <w:p>
      <w:pPr>
        <w:spacing w:after="20"/>
      </w:pPr>
      <w:r>
        <w:rPr>
          <w:rFonts w:ascii="Calibri" w:hAnsi="Calibri"/>
          <w:b/>
          <w:color w:val="35598E"/>
          <w:sz w:val="19"/>
        </w:rPr>
        <w:t>Examiner: 'How do you prove the system works live?'</w:t>
      </w:r>
    </w:p>
    <w:p>
      <w:pPr>
        <w:spacing w:after="100"/>
      </w:pPr>
      <w:r>
        <w:rPr>
          <w:rFonts w:ascii="Calibri" w:hAnsi="Calibri"/>
          <w:b w:val="0"/>
          <w:color w:val="212529"/>
          <w:sz w:val="19"/>
        </w:rPr>
        <w:t>Answer: 'In our Web Serial dashboard, Mode 1 allows ultrasonic hand-tracking where the gimbal follows hand motion in real time. In Mode 3, we execute dynamic step-response tests. In Mode 0, injecting a 12% drift causes the Digital Twin residual r(t) to cross δ = 0.100 within 150 ms, proactively triggering warning alerts 4.4 seconds before threshold breach.'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