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0DB74" w14:textId="77777777" w:rsidR="00A30C63" w:rsidRDefault="00A30C63" w:rsidP="00A30C63">
      <w:pPr>
        <w:widowControl w:val="0"/>
        <w:autoSpaceDE w:val="0"/>
        <w:autoSpaceDN w:val="0"/>
        <w:adjustRightInd w:val="0"/>
        <w:rPr>
          <w:rFonts w:ascii="Trebuchet MS" w:hAnsi="Trebuchet MS" w:cs="Trebuchet MS"/>
          <w:sz w:val="26"/>
          <w:szCs w:val="26"/>
        </w:rPr>
      </w:pPr>
    </w:p>
    <w:p w14:paraId="7E7F9853"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xml:space="preserve">In questi giorni sono riuscito a provare la nuova funzionalità per gli script di migrazione di </w:t>
      </w:r>
      <w:hyperlink r:id="rId4" w:history="1">
        <w:r>
          <w:rPr>
            <w:rFonts w:ascii="Trebuchet MS" w:hAnsi="Trebuchet MS" w:cs="Trebuchet MS"/>
            <w:color w:val="0000E9"/>
            <w:sz w:val="26"/>
            <w:szCs w:val="26"/>
            <w:u w:val="single" w:color="0000E9"/>
          </w:rPr>
          <w:t>SQL Source Control</w:t>
        </w:r>
      </w:hyperlink>
      <w:r>
        <w:rPr>
          <w:rFonts w:ascii="Trebuchet MS" w:hAnsi="Trebuchet MS" w:cs="Trebuchet MS"/>
          <w:sz w:val="26"/>
          <w:szCs w:val="26"/>
        </w:rPr>
        <w:t>. La feature, che ci consentirà di automatizzare i nostri rilasci anche a database, ha una storia piuttosto lunga, ed è stata cambiata e addirittura riscritta nel corso dell'ultimo anno.</w:t>
      </w:r>
    </w:p>
    <w:p w14:paraId="0003A849" w14:textId="77777777" w:rsidR="00A30C63" w:rsidRDefault="00A30C63" w:rsidP="00A30C63">
      <w:pPr>
        <w:widowControl w:val="0"/>
        <w:autoSpaceDE w:val="0"/>
        <w:autoSpaceDN w:val="0"/>
        <w:adjustRightInd w:val="0"/>
        <w:rPr>
          <w:rFonts w:ascii="Trebuchet MS" w:hAnsi="Trebuchet MS" w:cs="Trebuchet MS"/>
          <w:sz w:val="26"/>
          <w:szCs w:val="26"/>
        </w:rPr>
      </w:pPr>
    </w:p>
    <w:p w14:paraId="275B9D03"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b/>
          <w:bCs/>
          <w:sz w:val="26"/>
          <w:szCs w:val="26"/>
        </w:rPr>
        <w:t>In cosa consiste?</w:t>
      </w:r>
    </w:p>
    <w:p w14:paraId="00A3412E"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Quando nei nostri changeset abbiamo modifiche che portano potenzialmente a rotture dei deploy o a quello che in gergo viene chiamato data loss (perdita di dati), dobbiamo in ogni modo scrivere uno script che supporti la "migrazione", ovvero uno script che renda silente e retrocompatibile la nostra modifica, senza che essa possa bloccare il lavoro di altri sviluppatori o di un ambiente target di deploy. Ancora maggiore è la necessità di questo processo nelle realtà in cui è stata realizzata la continuous integration. In definitiva, dobbiamo evitare il più possibile delle rotture dovute ai cambiamenti dello schema degli oggetti database in modo da ridurre il rischio di regressione poi in fase di pubblicazione.</w:t>
      </w:r>
    </w:p>
    <w:p w14:paraId="12082EC9" w14:textId="77777777" w:rsidR="00A30C63" w:rsidRDefault="00A30C63" w:rsidP="00A30C63">
      <w:pPr>
        <w:widowControl w:val="0"/>
        <w:autoSpaceDE w:val="0"/>
        <w:autoSpaceDN w:val="0"/>
        <w:adjustRightInd w:val="0"/>
        <w:rPr>
          <w:rFonts w:ascii="Trebuchet MS" w:hAnsi="Trebuchet MS" w:cs="Trebuchet MS"/>
          <w:sz w:val="26"/>
          <w:szCs w:val="26"/>
        </w:rPr>
      </w:pPr>
    </w:p>
    <w:p w14:paraId="5EF77F2B"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Come dicevamo poco fa, si tratta di script, e, nella fattispecie, di script t-sql custom, strettamente dipendenti e derivanti dagli oggetti modificati. Sono salvati sul source control e poi automaticamente "iniettati" in fase di deploy ed in sviluppo, nel momento più indicato, in base a come viene scritto lo script stesso (pre modifica, post modifica, semplice modifica di dati).</w:t>
      </w:r>
    </w:p>
    <w:p w14:paraId="57D66D69" w14:textId="77777777" w:rsidR="00A30C63" w:rsidRDefault="00A30C63" w:rsidP="00A30C63">
      <w:pPr>
        <w:widowControl w:val="0"/>
        <w:autoSpaceDE w:val="0"/>
        <w:autoSpaceDN w:val="0"/>
        <w:adjustRightInd w:val="0"/>
        <w:rPr>
          <w:rFonts w:ascii="Trebuchet MS" w:hAnsi="Trebuchet MS" w:cs="Trebuchet MS"/>
          <w:sz w:val="26"/>
          <w:szCs w:val="26"/>
        </w:rPr>
      </w:pPr>
    </w:p>
    <w:p w14:paraId="58303859"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b/>
          <w:bCs/>
          <w:sz w:val="26"/>
          <w:szCs w:val="26"/>
        </w:rPr>
        <w:t>La storia della funzionalità</w:t>
      </w:r>
    </w:p>
    <w:p w14:paraId="4CEE9B0D"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xml:space="preserve">L'implementazione del supporto alle migrazioni è stata affrontata più di una volta da Red Gate sul suo SQL Source Control. Sfortunatamente, sono stati evidenziati molti problemi, anche dal sottoscritto, tra i quali uno dei più importanti è relativo al mancato supporto multi branch (dopo una merge la migrazione veniva completamente dimenticata). Maggiori informazioni su questo </w:t>
      </w:r>
      <w:hyperlink r:id="rId5" w:history="1">
        <w:r>
          <w:rPr>
            <w:rFonts w:ascii="Trebuchet MS" w:hAnsi="Trebuchet MS" w:cs="Trebuchet MS"/>
            <w:color w:val="0000E9"/>
            <w:sz w:val="26"/>
            <w:szCs w:val="26"/>
            <w:u w:val="single" w:color="0000E9"/>
          </w:rPr>
          <w:t>blog post</w:t>
        </w:r>
      </w:hyperlink>
      <w:r>
        <w:rPr>
          <w:rFonts w:ascii="Trebuchet MS" w:hAnsi="Trebuchet MS" w:cs="Trebuchet MS"/>
          <w:sz w:val="26"/>
          <w:szCs w:val="26"/>
        </w:rPr>
        <w:t>. Tuttavia, l'ultima versione (la v5) è una ottima implementazione, e supporta anche la sorgente come Working Folder (indipendentemente dal source control usato su quella cartella). Le versioni precedenti, che sono tentativi di migrazione, sono state completamente superate dalla qualità dell'ultima release.</w:t>
      </w:r>
    </w:p>
    <w:p w14:paraId="78BF3110" w14:textId="77777777" w:rsidR="00A30C63" w:rsidRDefault="00A30C63" w:rsidP="00A30C63">
      <w:pPr>
        <w:widowControl w:val="0"/>
        <w:autoSpaceDE w:val="0"/>
        <w:autoSpaceDN w:val="0"/>
        <w:adjustRightInd w:val="0"/>
        <w:rPr>
          <w:rFonts w:ascii="Trebuchet MS" w:hAnsi="Trebuchet MS" w:cs="Trebuchet MS"/>
          <w:sz w:val="26"/>
          <w:szCs w:val="26"/>
        </w:rPr>
      </w:pPr>
    </w:p>
    <w:p w14:paraId="59CA2FDE"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b/>
          <w:bCs/>
          <w:sz w:val="26"/>
          <w:szCs w:val="26"/>
        </w:rPr>
        <w:t>Uno scenario reale</w:t>
      </w:r>
    </w:p>
    <w:p w14:paraId="3C9B37A2"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xml:space="preserve">Immaginiamo un ambiente in cui è stato utilizzato un Source Control Manager centralizzato come </w:t>
      </w:r>
      <w:hyperlink r:id="rId6" w:history="1">
        <w:r>
          <w:rPr>
            <w:rFonts w:ascii="Trebuchet MS" w:hAnsi="Trebuchet MS" w:cs="Trebuchet MS"/>
            <w:color w:val="0000E9"/>
            <w:sz w:val="26"/>
            <w:szCs w:val="26"/>
            <w:u w:val="single" w:color="0000E9"/>
          </w:rPr>
          <w:t>Visual Studio Team Services</w:t>
        </w:r>
      </w:hyperlink>
      <w:r>
        <w:rPr>
          <w:rFonts w:ascii="Trebuchet MS" w:hAnsi="Trebuchet MS" w:cs="Trebuchet MS"/>
          <w:sz w:val="26"/>
          <w:szCs w:val="26"/>
        </w:rPr>
        <w:t>, con già definite alcune branch a server:</w:t>
      </w:r>
    </w:p>
    <w:p w14:paraId="29B20F7B"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una cartella locale su di un Workspace mappato su di un progetto VSTS</w:t>
      </w:r>
    </w:p>
    <w:p w14:paraId="2F089C0E"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una cartella locale per ogni branch definita a server (</w:t>
      </w:r>
      <w:r>
        <w:rPr>
          <w:rFonts w:ascii="Trebuchet MS" w:hAnsi="Trebuchet MS" w:cs="Trebuchet MS"/>
          <w:i/>
          <w:iCs/>
          <w:sz w:val="26"/>
          <w:szCs w:val="26"/>
        </w:rPr>
        <w:t>dev</w:t>
      </w:r>
      <w:r>
        <w:rPr>
          <w:rFonts w:ascii="Trebuchet MS" w:hAnsi="Trebuchet MS" w:cs="Trebuchet MS"/>
          <w:sz w:val="26"/>
          <w:szCs w:val="26"/>
        </w:rPr>
        <w:t xml:space="preserve"> | </w:t>
      </w:r>
      <w:r>
        <w:rPr>
          <w:rFonts w:ascii="Trebuchet MS" w:hAnsi="Trebuchet MS" w:cs="Trebuchet MS"/>
          <w:i/>
          <w:iCs/>
          <w:sz w:val="26"/>
          <w:szCs w:val="26"/>
        </w:rPr>
        <w:t>main</w:t>
      </w:r>
      <w:r>
        <w:rPr>
          <w:rFonts w:ascii="Trebuchet MS" w:hAnsi="Trebuchet MS" w:cs="Trebuchet MS"/>
          <w:sz w:val="26"/>
          <w:szCs w:val="26"/>
        </w:rPr>
        <w:t xml:space="preserve"> | </w:t>
      </w:r>
      <w:r>
        <w:rPr>
          <w:rFonts w:ascii="Trebuchet MS" w:hAnsi="Trebuchet MS" w:cs="Trebuchet MS"/>
          <w:i/>
          <w:iCs/>
          <w:sz w:val="26"/>
          <w:szCs w:val="26"/>
        </w:rPr>
        <w:t>release</w:t>
      </w:r>
      <w:r>
        <w:rPr>
          <w:rFonts w:ascii="Trebuchet MS" w:hAnsi="Trebuchet MS" w:cs="Trebuchet MS"/>
          <w:sz w:val="26"/>
          <w:szCs w:val="26"/>
        </w:rPr>
        <w:t>)</w:t>
      </w:r>
    </w:p>
    <w:p w14:paraId="78578BAA"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la cartella del nostro database, una per ogni branch (</w:t>
      </w:r>
      <w:r>
        <w:rPr>
          <w:rFonts w:ascii="Trebuchet MS" w:hAnsi="Trebuchet MS" w:cs="Trebuchet MS"/>
          <w:i/>
          <w:iCs/>
          <w:sz w:val="26"/>
          <w:szCs w:val="26"/>
        </w:rPr>
        <w:t>dev/Database</w:t>
      </w:r>
      <w:r>
        <w:rPr>
          <w:rFonts w:ascii="Trebuchet MS" w:hAnsi="Trebuchet MS" w:cs="Trebuchet MS"/>
          <w:sz w:val="26"/>
          <w:szCs w:val="26"/>
        </w:rPr>
        <w:t> | </w:t>
      </w:r>
      <w:r>
        <w:rPr>
          <w:rFonts w:ascii="Trebuchet MS" w:hAnsi="Trebuchet MS" w:cs="Trebuchet MS"/>
          <w:i/>
          <w:iCs/>
          <w:sz w:val="26"/>
          <w:szCs w:val="26"/>
        </w:rPr>
        <w:t>main/Database</w:t>
      </w:r>
      <w:r>
        <w:rPr>
          <w:rFonts w:ascii="Trebuchet MS" w:hAnsi="Trebuchet MS" w:cs="Trebuchet MS"/>
          <w:sz w:val="26"/>
          <w:szCs w:val="26"/>
        </w:rPr>
        <w:t> | </w:t>
      </w:r>
      <w:r>
        <w:rPr>
          <w:rFonts w:ascii="Trebuchet MS" w:hAnsi="Trebuchet MS" w:cs="Trebuchet MS"/>
          <w:i/>
          <w:iCs/>
          <w:sz w:val="26"/>
          <w:szCs w:val="26"/>
        </w:rPr>
        <w:t>release/Database</w:t>
      </w:r>
      <w:r>
        <w:rPr>
          <w:rFonts w:ascii="Trebuchet MS" w:hAnsi="Trebuchet MS" w:cs="Trebuchet MS"/>
          <w:sz w:val="26"/>
          <w:szCs w:val="26"/>
        </w:rPr>
        <w:t>)</w:t>
      </w:r>
    </w:p>
    <w:p w14:paraId="5195FD01" w14:textId="77777777" w:rsidR="00A30C63" w:rsidRDefault="00A30C63" w:rsidP="00A30C63">
      <w:pPr>
        <w:widowControl w:val="0"/>
        <w:autoSpaceDE w:val="0"/>
        <w:autoSpaceDN w:val="0"/>
        <w:adjustRightInd w:val="0"/>
        <w:rPr>
          <w:rFonts w:ascii="Trebuchet MS" w:hAnsi="Trebuchet MS" w:cs="Trebuchet MS"/>
          <w:sz w:val="26"/>
          <w:szCs w:val="26"/>
        </w:rPr>
      </w:pPr>
    </w:p>
    <w:p w14:paraId="02180022"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xml:space="preserve">Lo scopo di questo articolo è quello di dimostrare quali sono le funzionalità disponibili per la gestione di due casi tipici. Il primo è su un "breaking-change" molto comune, ovvero l'aggiunta di una colonna NOT NULL su di una tabella, ed il secondo è un migration script data-only, ovvero uno script che viene iniettato </w:t>
      </w:r>
      <w:r>
        <w:rPr>
          <w:rFonts w:ascii="Trebuchet MS" w:hAnsi="Trebuchet MS" w:cs="Trebuchet MS"/>
          <w:sz w:val="26"/>
          <w:szCs w:val="26"/>
        </w:rPr>
        <w:lastRenderedPageBreak/>
        <w:t>durante il deploy per allineare i dati e non strettamente relativo allo schema.</w:t>
      </w:r>
    </w:p>
    <w:p w14:paraId="6DC9D9FC" w14:textId="77777777" w:rsidR="00A30C63" w:rsidRDefault="00A30C63" w:rsidP="00A30C63">
      <w:pPr>
        <w:widowControl w:val="0"/>
        <w:autoSpaceDE w:val="0"/>
        <w:autoSpaceDN w:val="0"/>
        <w:adjustRightInd w:val="0"/>
        <w:rPr>
          <w:rFonts w:ascii="Trebuchet MS" w:hAnsi="Trebuchet MS" w:cs="Trebuchet MS"/>
          <w:sz w:val="26"/>
          <w:szCs w:val="26"/>
        </w:rPr>
      </w:pPr>
    </w:p>
    <w:p w14:paraId="73BC9D3F"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b/>
          <w:bCs/>
          <w:sz w:val="26"/>
          <w:szCs w:val="26"/>
        </w:rPr>
        <w:t>Migrazione per la colonna NOT NULL su tabella esistente</w:t>
      </w:r>
    </w:p>
    <w:p w14:paraId="25E95EAB"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Aggiungere una colonna NOT NULL su di una tabella può portare a grossi problemi di "consegna" delle nostre modifiche sullo schema. In sviluppo, la get dell'ultima versione rischia di non poter essere applicata, a causa della presenza di dati sulla tabella oggetto della modifica, e lo stesso può capitare quando si consegna in produzione. </w:t>
      </w:r>
    </w:p>
    <w:p w14:paraId="04E18570"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Quando questo accade, è sempre possibile creare a mano script di "Pre" e/o "Post" release, i quali aggiungono la colonna con supporto al NULL, modificano i valori in modo da supportare la successiva modifica e, infine, impostano il NOT NULL finale. Tutto fatto manualmente, il che non solo porta ad un aumento degli errori umani possibili, ma anche l'aumento del tempo di "sviluppo" impiegato per creare l'infrastruttura e gli script, l'aumento del tempo di analisi per le naming convention e le locazioni da utilizzare, ed, infine, ma di certo non per importanza, la grande probabilità di dimenticarsi di eseguirli quando necessario.</w:t>
      </w:r>
    </w:p>
    <w:p w14:paraId="5AC8DFD2"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Possiamo aver creato i migliori script di migrazione a mano, ma se poi non vengono eseguiti, l'eccezione è garantita. Stavolta la probabilità più alta è in sviluppo. Se non si conosce la necessità di eseguire sulla propria macchina uno script di migrazione, si rischia di non capire per molto tempo come mai il nostro database non si vuole allineare all'ultima versione. Una perdita di tempo e di sforzi, insomma.</w:t>
      </w:r>
    </w:p>
    <w:p w14:paraId="673F55BA" w14:textId="77777777" w:rsidR="00A30C63" w:rsidRDefault="00A30C63" w:rsidP="00A30C63">
      <w:pPr>
        <w:widowControl w:val="0"/>
        <w:autoSpaceDE w:val="0"/>
        <w:autoSpaceDN w:val="0"/>
        <w:adjustRightInd w:val="0"/>
        <w:rPr>
          <w:rFonts w:ascii="Trebuchet MS" w:hAnsi="Trebuchet MS" w:cs="Trebuchet MS"/>
          <w:sz w:val="26"/>
          <w:szCs w:val="26"/>
        </w:rPr>
      </w:pPr>
    </w:p>
    <w:p w14:paraId="03C8A3A1"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L'automazione è garantita con le migrazioni di SQL Source Control. Nella fattispecie, vedremo che succede quando:</w:t>
      </w:r>
    </w:p>
    <w:p w14:paraId="433A0FE9"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1 - sostituiamo un change con un migration script</w:t>
      </w:r>
    </w:p>
    <w:p w14:paraId="25812EDE"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2 - condividiamo il change con gli altri membri del team di sviluppo</w:t>
      </w:r>
    </w:p>
    <w:p w14:paraId="67EFD097"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xml:space="preserve">3 - facciamo merge delle branch (ad esempio da </w:t>
      </w:r>
      <w:r>
        <w:rPr>
          <w:rFonts w:ascii="Trebuchet MS" w:hAnsi="Trebuchet MS" w:cs="Trebuchet MS"/>
          <w:i/>
          <w:iCs/>
          <w:sz w:val="26"/>
          <w:szCs w:val="26"/>
        </w:rPr>
        <w:t>dev</w:t>
      </w:r>
      <w:r>
        <w:rPr>
          <w:rFonts w:ascii="Trebuchet MS" w:hAnsi="Trebuchet MS" w:cs="Trebuchet MS"/>
          <w:sz w:val="26"/>
          <w:szCs w:val="26"/>
        </w:rPr>
        <w:t xml:space="preserve"> a </w:t>
      </w:r>
      <w:r>
        <w:rPr>
          <w:rFonts w:ascii="Trebuchet MS" w:hAnsi="Trebuchet MS" w:cs="Trebuchet MS"/>
          <w:i/>
          <w:iCs/>
          <w:sz w:val="26"/>
          <w:szCs w:val="26"/>
        </w:rPr>
        <w:t>main</w:t>
      </w:r>
      <w:r>
        <w:rPr>
          <w:rFonts w:ascii="Trebuchet MS" w:hAnsi="Trebuchet MS" w:cs="Trebuchet MS"/>
          <w:sz w:val="26"/>
          <w:szCs w:val="26"/>
        </w:rPr>
        <w:t>)</w:t>
      </w:r>
    </w:p>
    <w:p w14:paraId="762217CE"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4 - utilizziamo uno script di migrazione data-only</w:t>
      </w:r>
    </w:p>
    <w:p w14:paraId="14F829B5" w14:textId="77777777" w:rsidR="00A30C63" w:rsidRDefault="00A30C63" w:rsidP="00A30C63">
      <w:pPr>
        <w:widowControl w:val="0"/>
        <w:autoSpaceDE w:val="0"/>
        <w:autoSpaceDN w:val="0"/>
        <w:adjustRightInd w:val="0"/>
        <w:rPr>
          <w:rFonts w:ascii="Trebuchet MS" w:hAnsi="Trebuchet MS" w:cs="Trebuchet MS"/>
          <w:sz w:val="26"/>
          <w:szCs w:val="26"/>
        </w:rPr>
      </w:pPr>
    </w:p>
    <w:p w14:paraId="0F64BF93" w14:textId="77777777" w:rsidR="00A30C63" w:rsidRDefault="00A30C63" w:rsidP="00A30C63">
      <w:pPr>
        <w:widowControl w:val="0"/>
        <w:autoSpaceDE w:val="0"/>
        <w:autoSpaceDN w:val="0"/>
        <w:adjustRightInd w:val="0"/>
        <w:rPr>
          <w:rFonts w:ascii="Trebuchet MS" w:hAnsi="Trebuchet MS" w:cs="Trebuchet MS"/>
          <w:sz w:val="26"/>
          <w:szCs w:val="26"/>
        </w:rPr>
      </w:pPr>
    </w:p>
    <w:p w14:paraId="2716346F"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i/>
          <w:iCs/>
          <w:sz w:val="26"/>
          <w:szCs w:val="26"/>
        </w:rPr>
        <w:t>1 - Sostituzione del change con un migration script</w:t>
      </w:r>
    </w:p>
    <w:p w14:paraId="19E64B7C"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Quando dobbiamo sostituire il cambiamento di schema proposto con il nostro script custom, il miglior modo è quello di applicare uno "schema-data-schema" migration script.</w:t>
      </w:r>
    </w:p>
    <w:p w14:paraId="32EAA0A0"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xml:space="preserve">Supponiamo di avere due sviluppatori, Dev1 e Dev2, che stanno lavorando sulla branch </w:t>
      </w:r>
      <w:r>
        <w:rPr>
          <w:rFonts w:ascii="Trebuchet MS" w:hAnsi="Trebuchet MS" w:cs="Trebuchet MS"/>
          <w:i/>
          <w:iCs/>
          <w:sz w:val="26"/>
          <w:szCs w:val="26"/>
        </w:rPr>
        <w:t>dev</w:t>
      </w:r>
      <w:r>
        <w:rPr>
          <w:rFonts w:ascii="Trebuchet MS" w:hAnsi="Trebuchet MS" w:cs="Trebuchet MS"/>
          <w:sz w:val="26"/>
          <w:szCs w:val="26"/>
        </w:rPr>
        <w:t xml:space="preserve"> con un </w:t>
      </w:r>
      <w:hyperlink r:id="rId7" w:history="1">
        <w:r>
          <w:rPr>
            <w:rFonts w:ascii="Trebuchet MS" w:hAnsi="Trebuchet MS" w:cs="Trebuchet MS"/>
            <w:color w:val="0000E9"/>
            <w:sz w:val="26"/>
            <w:szCs w:val="26"/>
            <w:u w:val="single" w:color="0000E9"/>
          </w:rPr>
          <w:t>modello dedicato</w:t>
        </w:r>
      </w:hyperlink>
      <w:r>
        <w:rPr>
          <w:rFonts w:ascii="Trebuchet MS" w:hAnsi="Trebuchet MS" w:cs="Trebuchet MS"/>
          <w:sz w:val="26"/>
          <w:szCs w:val="26"/>
        </w:rPr>
        <w:t xml:space="preserve"> per il database con SQL Source Control.</w:t>
      </w:r>
    </w:p>
    <w:p w14:paraId="6E20E606"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xml:space="preserve">Entrambi hanno un database chiamato </w:t>
      </w:r>
      <w:r>
        <w:rPr>
          <w:rFonts w:ascii="Trebuchet MS" w:hAnsi="Trebuchet MS" w:cs="Trebuchet MS"/>
          <w:i/>
          <w:iCs/>
          <w:sz w:val="26"/>
          <w:szCs w:val="26"/>
        </w:rPr>
        <w:t>StoreDb</w:t>
      </w:r>
      <w:r>
        <w:rPr>
          <w:rFonts w:ascii="Trebuchet MS" w:hAnsi="Trebuchet MS" w:cs="Trebuchet MS"/>
          <w:sz w:val="26"/>
          <w:szCs w:val="26"/>
        </w:rPr>
        <w:t xml:space="preserve"> ed una tabella chiamata </w:t>
      </w:r>
      <w:r>
        <w:rPr>
          <w:rFonts w:ascii="Trebuchet MS" w:hAnsi="Trebuchet MS" w:cs="Trebuchet MS"/>
          <w:i/>
          <w:iCs/>
          <w:sz w:val="26"/>
          <w:szCs w:val="26"/>
        </w:rPr>
        <w:t>Inventory.Items</w:t>
      </w:r>
      <w:r>
        <w:rPr>
          <w:rFonts w:ascii="Trebuchet MS" w:hAnsi="Trebuchet MS" w:cs="Trebuchet MS"/>
          <w:sz w:val="26"/>
          <w:szCs w:val="26"/>
        </w:rPr>
        <w:t xml:space="preserve"> che ha i campi </w:t>
      </w:r>
      <w:r>
        <w:rPr>
          <w:rFonts w:ascii="Trebuchet MS" w:hAnsi="Trebuchet MS" w:cs="Trebuchet MS"/>
          <w:i/>
          <w:iCs/>
          <w:sz w:val="26"/>
          <w:szCs w:val="26"/>
        </w:rPr>
        <w:t>ItemId int PK</w:t>
      </w:r>
      <w:r>
        <w:rPr>
          <w:rFonts w:ascii="Trebuchet MS" w:hAnsi="Trebuchet MS" w:cs="Trebuchet MS"/>
          <w:sz w:val="26"/>
          <w:szCs w:val="26"/>
        </w:rPr>
        <w:t xml:space="preserve">, </w:t>
      </w:r>
      <w:r>
        <w:rPr>
          <w:rFonts w:ascii="Trebuchet MS" w:hAnsi="Trebuchet MS" w:cs="Trebuchet MS"/>
          <w:i/>
          <w:iCs/>
          <w:sz w:val="26"/>
          <w:szCs w:val="26"/>
        </w:rPr>
        <w:t>Name varchar(30)</w:t>
      </w:r>
      <w:r>
        <w:rPr>
          <w:rFonts w:ascii="Trebuchet MS" w:hAnsi="Trebuchet MS" w:cs="Trebuchet MS"/>
          <w:sz w:val="26"/>
          <w:szCs w:val="26"/>
        </w:rPr>
        <w:t xml:space="preserve"> e </w:t>
      </w:r>
      <w:r>
        <w:rPr>
          <w:rFonts w:ascii="Trebuchet MS" w:hAnsi="Trebuchet MS" w:cs="Trebuchet MS"/>
          <w:i/>
          <w:iCs/>
          <w:sz w:val="26"/>
          <w:szCs w:val="26"/>
        </w:rPr>
        <w:t>CategoryId smallint</w:t>
      </w:r>
      <w:r>
        <w:rPr>
          <w:rFonts w:ascii="Trebuchet MS" w:hAnsi="Trebuchet MS" w:cs="Trebuchet MS"/>
          <w:sz w:val="26"/>
          <w:szCs w:val="26"/>
        </w:rPr>
        <w:t>. Dev1 ha la tabella Items vuota, mentre Dev2 ha alcune righe all'interno di essa. Dev1, a questo punto, effettua la modifica seguente:</w:t>
      </w:r>
    </w:p>
    <w:p w14:paraId="7F257474" w14:textId="77777777" w:rsidR="00A30C63" w:rsidRDefault="00A30C63" w:rsidP="00A30C63">
      <w:pPr>
        <w:widowControl w:val="0"/>
        <w:autoSpaceDE w:val="0"/>
        <w:autoSpaceDN w:val="0"/>
        <w:adjustRightInd w:val="0"/>
        <w:rPr>
          <w:rFonts w:ascii="Courier" w:hAnsi="Courier" w:cs="Courier"/>
          <w:color w:val="343434"/>
          <w:sz w:val="28"/>
          <w:szCs w:val="28"/>
        </w:rPr>
      </w:pPr>
      <w:r>
        <w:rPr>
          <w:rFonts w:ascii="Courier" w:hAnsi="Courier" w:cs="Courier"/>
          <w:color w:val="0000FF"/>
          <w:sz w:val="28"/>
          <w:szCs w:val="28"/>
        </w:rPr>
        <w:t>Use</w:t>
      </w:r>
      <w:r>
        <w:rPr>
          <w:rFonts w:ascii="Courier" w:hAnsi="Courier" w:cs="Courier"/>
          <w:color w:val="343434"/>
          <w:sz w:val="28"/>
          <w:szCs w:val="28"/>
        </w:rPr>
        <w:t xml:space="preserve"> StoreDb;</w:t>
      </w:r>
    </w:p>
    <w:p w14:paraId="5AF18525" w14:textId="77777777" w:rsidR="00A30C63" w:rsidRDefault="00A30C63" w:rsidP="00A30C63">
      <w:pPr>
        <w:widowControl w:val="0"/>
        <w:autoSpaceDE w:val="0"/>
        <w:autoSpaceDN w:val="0"/>
        <w:adjustRightInd w:val="0"/>
        <w:rPr>
          <w:rFonts w:ascii="Courier" w:hAnsi="Courier" w:cs="Courier"/>
          <w:color w:val="343434"/>
          <w:sz w:val="28"/>
          <w:szCs w:val="28"/>
        </w:rPr>
      </w:pPr>
      <w:r>
        <w:rPr>
          <w:rFonts w:ascii="Courier" w:hAnsi="Courier" w:cs="Courier"/>
          <w:color w:val="0000FF"/>
          <w:sz w:val="28"/>
          <w:szCs w:val="28"/>
        </w:rPr>
        <w:t>GO</w:t>
      </w:r>
    </w:p>
    <w:p w14:paraId="7E8DB1C8" w14:textId="77777777" w:rsidR="00A30C63" w:rsidRDefault="00A30C63" w:rsidP="00A30C63">
      <w:pPr>
        <w:widowControl w:val="0"/>
        <w:autoSpaceDE w:val="0"/>
        <w:autoSpaceDN w:val="0"/>
        <w:adjustRightInd w:val="0"/>
        <w:rPr>
          <w:rFonts w:ascii="Courier" w:hAnsi="Courier" w:cs="Courier"/>
          <w:color w:val="343434"/>
          <w:sz w:val="28"/>
          <w:szCs w:val="28"/>
        </w:rPr>
      </w:pPr>
    </w:p>
    <w:p w14:paraId="1CEA4197" w14:textId="77777777" w:rsidR="00A30C63" w:rsidRDefault="00A30C63" w:rsidP="00A30C63">
      <w:pPr>
        <w:widowControl w:val="0"/>
        <w:autoSpaceDE w:val="0"/>
        <w:autoSpaceDN w:val="0"/>
        <w:adjustRightInd w:val="0"/>
        <w:rPr>
          <w:rFonts w:ascii="Courier" w:hAnsi="Courier" w:cs="Courier"/>
          <w:color w:val="343434"/>
          <w:sz w:val="28"/>
          <w:szCs w:val="28"/>
        </w:rPr>
      </w:pPr>
      <w:r>
        <w:rPr>
          <w:rFonts w:ascii="Courier" w:hAnsi="Courier" w:cs="Courier"/>
          <w:color w:val="0000FF"/>
          <w:sz w:val="28"/>
          <w:szCs w:val="28"/>
        </w:rPr>
        <w:t>ALTER TABLE</w:t>
      </w:r>
      <w:r>
        <w:rPr>
          <w:rFonts w:ascii="Courier" w:hAnsi="Courier" w:cs="Courier"/>
          <w:color w:val="343434"/>
          <w:sz w:val="28"/>
          <w:szCs w:val="28"/>
        </w:rPr>
        <w:t xml:space="preserve"> Inventory.Items </w:t>
      </w:r>
      <w:r>
        <w:rPr>
          <w:rFonts w:ascii="Courier" w:hAnsi="Courier" w:cs="Courier"/>
          <w:color w:val="0000FF"/>
          <w:sz w:val="28"/>
          <w:szCs w:val="28"/>
        </w:rPr>
        <w:t>ADD</w:t>
      </w:r>
      <w:r>
        <w:rPr>
          <w:rFonts w:ascii="Courier" w:hAnsi="Courier" w:cs="Courier"/>
          <w:color w:val="343434"/>
          <w:sz w:val="28"/>
          <w:szCs w:val="28"/>
        </w:rPr>
        <w:t xml:space="preserve"> InsertTimestamp </w:t>
      </w:r>
      <w:r>
        <w:rPr>
          <w:rFonts w:ascii="Courier" w:hAnsi="Courier" w:cs="Courier"/>
          <w:color w:val="0000FF"/>
          <w:sz w:val="28"/>
          <w:szCs w:val="28"/>
        </w:rPr>
        <w:t>datetime</w:t>
      </w:r>
      <w:r>
        <w:rPr>
          <w:rFonts w:ascii="Courier" w:hAnsi="Courier" w:cs="Courier"/>
          <w:color w:val="878787"/>
          <w:sz w:val="28"/>
          <w:szCs w:val="28"/>
        </w:rPr>
        <w:t xml:space="preserve"> NOT NULL</w:t>
      </w:r>
      <w:r>
        <w:rPr>
          <w:rFonts w:ascii="Courier" w:hAnsi="Courier" w:cs="Courier"/>
          <w:color w:val="343434"/>
          <w:sz w:val="28"/>
          <w:szCs w:val="28"/>
        </w:rPr>
        <w:t>;</w:t>
      </w:r>
    </w:p>
    <w:p w14:paraId="61E3021D" w14:textId="77777777" w:rsidR="00A30C63" w:rsidRDefault="00A30C63" w:rsidP="00A30C63">
      <w:pPr>
        <w:widowControl w:val="0"/>
        <w:autoSpaceDE w:val="0"/>
        <w:autoSpaceDN w:val="0"/>
        <w:adjustRightInd w:val="0"/>
        <w:rPr>
          <w:rFonts w:ascii="Courier" w:hAnsi="Courier" w:cs="Courier"/>
          <w:color w:val="343434"/>
          <w:sz w:val="28"/>
          <w:szCs w:val="28"/>
        </w:rPr>
      </w:pPr>
      <w:r>
        <w:rPr>
          <w:rFonts w:ascii="Courier" w:hAnsi="Courier" w:cs="Courier"/>
          <w:color w:val="0000FF"/>
          <w:sz w:val="28"/>
          <w:szCs w:val="28"/>
        </w:rPr>
        <w:t>GO</w:t>
      </w:r>
    </w:p>
    <w:p w14:paraId="5CD4FE95"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Siccome la tabella Items è vuota per Dev1, il comando viene eseguito senza problemi. Tuttavia, Dev1, ignora completamente questo problema ma, per fortuna, SQL Source Control lo avvisa prima che egli possa salvare la versione:</w:t>
      </w:r>
    </w:p>
    <w:p w14:paraId="7237711E"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noProof/>
          <w:sz w:val="26"/>
          <w:szCs w:val="26"/>
        </w:rPr>
        <w:drawing>
          <wp:inline distT="0" distB="0" distL="0" distR="0" wp14:anchorId="59B81BB0" wp14:editId="070B1FA2">
            <wp:extent cx="6959600" cy="15367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9600" cy="1536700"/>
                    </a:xfrm>
                    <a:prstGeom prst="rect">
                      <a:avLst/>
                    </a:prstGeom>
                    <a:noFill/>
                    <a:ln>
                      <a:noFill/>
                    </a:ln>
                  </pic:spPr>
                </pic:pic>
              </a:graphicData>
            </a:graphic>
          </wp:inline>
        </w:drawing>
      </w:r>
    </w:p>
    <w:p w14:paraId="53FB87AE" w14:textId="77777777" w:rsidR="00A30C63" w:rsidRDefault="00A30C63" w:rsidP="00A30C63">
      <w:pPr>
        <w:widowControl w:val="0"/>
        <w:autoSpaceDE w:val="0"/>
        <w:autoSpaceDN w:val="0"/>
        <w:adjustRightInd w:val="0"/>
        <w:rPr>
          <w:rFonts w:ascii="Trebuchet MS" w:hAnsi="Trebuchet MS" w:cs="Trebuchet MS"/>
          <w:sz w:val="26"/>
          <w:szCs w:val="26"/>
        </w:rPr>
      </w:pPr>
    </w:p>
    <w:p w14:paraId="7390FABF"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xml:space="preserve">Dev1 (nella figura è l'account </w:t>
      </w:r>
      <w:r>
        <w:rPr>
          <w:rFonts w:ascii="Trebuchet MS" w:hAnsi="Trebuchet MS" w:cs="Trebuchet MS"/>
          <w:i/>
          <w:iCs/>
          <w:sz w:val="26"/>
          <w:szCs w:val="26"/>
        </w:rPr>
        <w:t>suxst</w:t>
      </w:r>
      <w:r>
        <w:rPr>
          <w:rFonts w:ascii="Trebuchet MS" w:hAnsi="Trebuchet MS" w:cs="Trebuchet MS"/>
          <w:sz w:val="26"/>
          <w:szCs w:val="26"/>
        </w:rPr>
        <w:t>) ora può facilmente aggiungere uno script di migrazione, relativo all'oggetto cambiato:</w:t>
      </w:r>
    </w:p>
    <w:p w14:paraId="1BF057BE"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noProof/>
          <w:sz w:val="26"/>
          <w:szCs w:val="26"/>
        </w:rPr>
        <w:drawing>
          <wp:inline distT="0" distB="0" distL="0" distR="0" wp14:anchorId="50C94485" wp14:editId="545684C5">
            <wp:extent cx="8445500" cy="50292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00" cy="5029200"/>
                    </a:xfrm>
                    <a:prstGeom prst="rect">
                      <a:avLst/>
                    </a:prstGeom>
                    <a:noFill/>
                    <a:ln>
                      <a:noFill/>
                    </a:ln>
                  </pic:spPr>
                </pic:pic>
              </a:graphicData>
            </a:graphic>
          </wp:inline>
        </w:drawing>
      </w:r>
    </w:p>
    <w:p w14:paraId="6E62CC4B" w14:textId="77777777" w:rsidR="00A30C63" w:rsidRDefault="00A30C63" w:rsidP="00A30C63">
      <w:pPr>
        <w:widowControl w:val="0"/>
        <w:autoSpaceDE w:val="0"/>
        <w:autoSpaceDN w:val="0"/>
        <w:adjustRightInd w:val="0"/>
        <w:rPr>
          <w:rFonts w:ascii="Trebuchet MS" w:hAnsi="Trebuchet MS" w:cs="Trebuchet MS"/>
          <w:sz w:val="26"/>
          <w:szCs w:val="26"/>
        </w:rPr>
      </w:pPr>
    </w:p>
    <w:p w14:paraId="5F4442E5"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Premendo il pulsante "Generate script" verrà aperta la view di edit dello script per l'oggetto selezionato:</w:t>
      </w:r>
    </w:p>
    <w:p w14:paraId="58C72986"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noProof/>
          <w:sz w:val="26"/>
          <w:szCs w:val="26"/>
        </w:rPr>
        <w:drawing>
          <wp:inline distT="0" distB="0" distL="0" distR="0" wp14:anchorId="16306D55" wp14:editId="5ADF21B4">
            <wp:extent cx="11798300" cy="60706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98300" cy="6070600"/>
                    </a:xfrm>
                    <a:prstGeom prst="rect">
                      <a:avLst/>
                    </a:prstGeom>
                    <a:noFill/>
                    <a:ln>
                      <a:noFill/>
                    </a:ln>
                  </pic:spPr>
                </pic:pic>
              </a:graphicData>
            </a:graphic>
          </wp:inline>
        </w:drawing>
      </w:r>
    </w:p>
    <w:p w14:paraId="6B90EDD1" w14:textId="77777777" w:rsidR="00A30C63" w:rsidRDefault="00A30C63" w:rsidP="00A30C63">
      <w:pPr>
        <w:widowControl w:val="0"/>
        <w:autoSpaceDE w:val="0"/>
        <w:autoSpaceDN w:val="0"/>
        <w:adjustRightInd w:val="0"/>
        <w:rPr>
          <w:rFonts w:ascii="Trebuchet MS" w:hAnsi="Trebuchet MS" w:cs="Trebuchet MS"/>
          <w:sz w:val="26"/>
          <w:szCs w:val="26"/>
        </w:rPr>
      </w:pPr>
    </w:p>
    <w:p w14:paraId="32005999"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Come potete notare, lo script non è completo, poiché è responsabilità di Dev1 applicare le modifiche al comportamento per gestire senza regressione l'aggiunta della colonna NOT NULL di cui sta cercando di fare il commit. La parte evidenziata è l'aggiunta che Dev1 ha fatto allo script built-in. Semplice e veloce. Ora egli può finalmente selezionare "Save and close" per inviare il change tramite lo script appena creato:</w:t>
      </w:r>
    </w:p>
    <w:p w14:paraId="527A00FF"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noProof/>
          <w:sz w:val="26"/>
          <w:szCs w:val="26"/>
        </w:rPr>
        <w:drawing>
          <wp:inline distT="0" distB="0" distL="0" distR="0" wp14:anchorId="3D1CEFB3" wp14:editId="1A2482CB">
            <wp:extent cx="8559800" cy="104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59800" cy="1041400"/>
                    </a:xfrm>
                    <a:prstGeom prst="rect">
                      <a:avLst/>
                    </a:prstGeom>
                    <a:noFill/>
                    <a:ln>
                      <a:noFill/>
                    </a:ln>
                  </pic:spPr>
                </pic:pic>
              </a:graphicData>
            </a:graphic>
          </wp:inline>
        </w:drawing>
      </w:r>
    </w:p>
    <w:p w14:paraId="2D851C3E" w14:textId="77777777" w:rsidR="00A30C63" w:rsidRDefault="00A30C63" w:rsidP="00A30C63">
      <w:pPr>
        <w:widowControl w:val="0"/>
        <w:autoSpaceDE w:val="0"/>
        <w:autoSpaceDN w:val="0"/>
        <w:adjustRightInd w:val="0"/>
        <w:rPr>
          <w:rFonts w:ascii="Trebuchet MS" w:hAnsi="Trebuchet MS" w:cs="Trebuchet MS"/>
          <w:sz w:val="26"/>
          <w:szCs w:val="26"/>
        </w:rPr>
      </w:pPr>
    </w:p>
    <w:p w14:paraId="669935B0"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b/>
          <w:bCs/>
          <w:sz w:val="26"/>
          <w:szCs w:val="26"/>
        </w:rPr>
        <w:t xml:space="preserve">Nota: </w:t>
      </w:r>
      <w:r>
        <w:rPr>
          <w:rFonts w:ascii="Trebuchet MS" w:hAnsi="Trebuchet MS" w:cs="Trebuchet MS"/>
          <w:sz w:val="26"/>
          <w:szCs w:val="26"/>
        </w:rPr>
        <w:t>Lo script generato SOSTITUISCE la modifica inizialmente proposta dallo sviluppatore.</w:t>
      </w:r>
    </w:p>
    <w:p w14:paraId="1EAD7F80" w14:textId="77777777" w:rsidR="00A30C63" w:rsidRDefault="00A30C63" w:rsidP="00A30C63">
      <w:pPr>
        <w:widowControl w:val="0"/>
        <w:autoSpaceDE w:val="0"/>
        <w:autoSpaceDN w:val="0"/>
        <w:adjustRightInd w:val="0"/>
        <w:rPr>
          <w:rFonts w:ascii="Trebuchet MS" w:hAnsi="Trebuchet MS" w:cs="Trebuchet MS"/>
          <w:sz w:val="26"/>
          <w:szCs w:val="26"/>
        </w:rPr>
      </w:pPr>
    </w:p>
    <w:p w14:paraId="01010DD2" w14:textId="77777777" w:rsidR="00A30C63" w:rsidRDefault="00A30C63" w:rsidP="00A30C63">
      <w:pPr>
        <w:widowControl w:val="0"/>
        <w:autoSpaceDE w:val="0"/>
        <w:autoSpaceDN w:val="0"/>
        <w:adjustRightInd w:val="0"/>
        <w:rPr>
          <w:rFonts w:ascii="Trebuchet MS" w:hAnsi="Trebuchet MS" w:cs="Trebuchet MS"/>
          <w:sz w:val="26"/>
          <w:szCs w:val="26"/>
        </w:rPr>
      </w:pPr>
    </w:p>
    <w:p w14:paraId="207BED3C"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i/>
          <w:iCs/>
          <w:sz w:val="26"/>
          <w:szCs w:val="26"/>
        </w:rPr>
        <w:t>2 - Condividere i change agli altri sviluppatori</w:t>
      </w:r>
    </w:p>
    <w:p w14:paraId="4D48D643"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xml:space="preserve">Che succede quando Dev2 prova una get dell'ultima versione? Di certo, se Dev1 avesse inviato semplicemente il comando per creare la nuova colonna, Dev2 non avrebbe potuto continuare con l'applicazione della modifica dello schema (ricordiamo che quest'ultimo sviluppatore ha dati - dieci righe - nella propria tabella </w:t>
      </w:r>
      <w:r>
        <w:rPr>
          <w:rFonts w:ascii="Trebuchet MS" w:hAnsi="Trebuchet MS" w:cs="Trebuchet MS"/>
          <w:i/>
          <w:iCs/>
          <w:sz w:val="26"/>
          <w:szCs w:val="26"/>
        </w:rPr>
        <w:t>Inventory.Items</w:t>
      </w:r>
      <w:r>
        <w:rPr>
          <w:rFonts w:ascii="Trebuchet MS" w:hAnsi="Trebuchet MS" w:cs="Trebuchet MS"/>
          <w:sz w:val="26"/>
          <w:szCs w:val="26"/>
        </w:rPr>
        <w:t>):</w:t>
      </w:r>
    </w:p>
    <w:p w14:paraId="7E50A7E8"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noProof/>
          <w:sz w:val="26"/>
          <w:szCs w:val="26"/>
        </w:rPr>
        <w:drawing>
          <wp:inline distT="0" distB="0" distL="0" distR="0" wp14:anchorId="05BA5448" wp14:editId="583FF9EA">
            <wp:extent cx="3213100" cy="25527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3100" cy="2552700"/>
                    </a:xfrm>
                    <a:prstGeom prst="rect">
                      <a:avLst/>
                    </a:prstGeom>
                    <a:noFill/>
                    <a:ln>
                      <a:noFill/>
                    </a:ln>
                  </pic:spPr>
                </pic:pic>
              </a:graphicData>
            </a:graphic>
          </wp:inline>
        </w:drawing>
      </w:r>
    </w:p>
    <w:p w14:paraId="77467673" w14:textId="77777777" w:rsidR="00A30C63" w:rsidRDefault="00A30C63" w:rsidP="00A30C63">
      <w:pPr>
        <w:widowControl w:val="0"/>
        <w:autoSpaceDE w:val="0"/>
        <w:autoSpaceDN w:val="0"/>
        <w:adjustRightInd w:val="0"/>
        <w:rPr>
          <w:rFonts w:ascii="Trebuchet MS" w:hAnsi="Trebuchet MS" w:cs="Trebuchet MS"/>
          <w:sz w:val="26"/>
          <w:szCs w:val="26"/>
        </w:rPr>
      </w:pPr>
    </w:p>
    <w:p w14:paraId="653B0DB1"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Ricordiamo anche che entrambi i dev stanno utilizzando database dedicati che puntano ad una working folder, non direttamente ad un source control manager, ma non cambia molto. La get nel secondo caso applicherebbe direttamente i cambiamenti, mentre nel primo caso, dopo la get dei FILE, l'applicazione avviene on demand, in un secondo momento, utilizzando SSMS dopo il client del source control manager. Tuttavia, l'operazione è la stessa. Tornando a noi, dopo la get, Dev2 vedrà quanto segue:</w:t>
      </w:r>
    </w:p>
    <w:p w14:paraId="25891924"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noProof/>
          <w:sz w:val="26"/>
          <w:szCs w:val="26"/>
        </w:rPr>
        <w:drawing>
          <wp:inline distT="0" distB="0" distL="0" distR="0" wp14:anchorId="296362D8" wp14:editId="64D3D454">
            <wp:extent cx="8382000" cy="86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0" cy="863600"/>
                    </a:xfrm>
                    <a:prstGeom prst="rect">
                      <a:avLst/>
                    </a:prstGeom>
                    <a:noFill/>
                    <a:ln>
                      <a:noFill/>
                    </a:ln>
                  </pic:spPr>
                </pic:pic>
              </a:graphicData>
            </a:graphic>
          </wp:inline>
        </w:drawing>
      </w:r>
    </w:p>
    <w:p w14:paraId="17964BC1"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Compare la get del migration in sostituzione della modifica nativa di Dev1. Grazie a questa sostituzione, Dev2 potrà continuare in totale trasparenza. Applicando i change, infatti, avrà:</w:t>
      </w:r>
    </w:p>
    <w:p w14:paraId="7BE4DE23"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noProof/>
          <w:sz w:val="26"/>
          <w:szCs w:val="26"/>
        </w:rPr>
        <w:drawing>
          <wp:inline distT="0" distB="0" distL="0" distR="0" wp14:anchorId="2D858EE1" wp14:editId="77C72AF2">
            <wp:extent cx="462280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2800" cy="2590800"/>
                    </a:xfrm>
                    <a:prstGeom prst="rect">
                      <a:avLst/>
                    </a:prstGeom>
                    <a:noFill/>
                    <a:ln>
                      <a:noFill/>
                    </a:ln>
                  </pic:spPr>
                </pic:pic>
              </a:graphicData>
            </a:graphic>
          </wp:inline>
        </w:drawing>
      </w:r>
    </w:p>
    <w:p w14:paraId="162AD94E" w14:textId="77777777" w:rsidR="00A30C63" w:rsidRDefault="00A30C63" w:rsidP="00A30C63">
      <w:pPr>
        <w:widowControl w:val="0"/>
        <w:autoSpaceDE w:val="0"/>
        <w:autoSpaceDN w:val="0"/>
        <w:adjustRightInd w:val="0"/>
        <w:rPr>
          <w:rFonts w:ascii="Trebuchet MS" w:hAnsi="Trebuchet MS" w:cs="Trebuchet MS"/>
          <w:sz w:val="26"/>
          <w:szCs w:val="26"/>
        </w:rPr>
      </w:pPr>
    </w:p>
    <w:p w14:paraId="04DF5118"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i/>
          <w:iCs/>
          <w:sz w:val="26"/>
          <w:szCs w:val="26"/>
        </w:rPr>
        <w:t>3 - merge di branch</w:t>
      </w:r>
    </w:p>
    <w:p w14:paraId="0636AB56"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xml:space="preserve">Che succede quando il "lavorato" viene passato su un'altra linea? Supponiamo di avere un'operazione di merge tra le branch </w:t>
      </w:r>
      <w:r>
        <w:rPr>
          <w:rFonts w:ascii="Trebuchet MS" w:hAnsi="Trebuchet MS" w:cs="Trebuchet MS"/>
          <w:i/>
          <w:iCs/>
          <w:sz w:val="26"/>
          <w:szCs w:val="26"/>
        </w:rPr>
        <w:t>dev</w:t>
      </w:r>
      <w:r>
        <w:rPr>
          <w:rFonts w:ascii="Trebuchet MS" w:hAnsi="Trebuchet MS" w:cs="Trebuchet MS"/>
          <w:sz w:val="26"/>
          <w:szCs w:val="26"/>
        </w:rPr>
        <w:t xml:space="preserve"> e </w:t>
      </w:r>
      <w:r>
        <w:rPr>
          <w:rFonts w:ascii="Trebuchet MS" w:hAnsi="Trebuchet MS" w:cs="Trebuchet MS"/>
          <w:i/>
          <w:iCs/>
          <w:sz w:val="26"/>
          <w:szCs w:val="26"/>
        </w:rPr>
        <w:t>main</w:t>
      </w:r>
      <w:r>
        <w:rPr>
          <w:rFonts w:ascii="Trebuchet MS" w:hAnsi="Trebuchet MS" w:cs="Trebuchet MS"/>
          <w:sz w:val="26"/>
          <w:szCs w:val="26"/>
        </w:rPr>
        <w:t>. L'operazione è del tutto simile a quella descritta in precedenza. La get funziona esattamente come prima, il che significa che lo script di migrazione è stato replicato nel repository di destinazione. Quindi possiamo dire che il bug presente nel SQL Source Control 4 è stato definitivamente risolto.</w:t>
      </w:r>
    </w:p>
    <w:p w14:paraId="7A57BCC2" w14:textId="77777777" w:rsidR="00A30C63" w:rsidRDefault="00A30C63" w:rsidP="00A30C63">
      <w:pPr>
        <w:widowControl w:val="0"/>
        <w:autoSpaceDE w:val="0"/>
        <w:autoSpaceDN w:val="0"/>
        <w:adjustRightInd w:val="0"/>
        <w:rPr>
          <w:rFonts w:ascii="Trebuchet MS" w:hAnsi="Trebuchet MS" w:cs="Trebuchet MS"/>
          <w:sz w:val="26"/>
          <w:szCs w:val="26"/>
        </w:rPr>
      </w:pPr>
    </w:p>
    <w:p w14:paraId="12F1595D"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i/>
          <w:iCs/>
          <w:sz w:val="26"/>
          <w:szCs w:val="26"/>
        </w:rPr>
        <w:t>4 - utilizzare uno script di migrazione data-only</w:t>
      </w:r>
    </w:p>
    <w:p w14:paraId="4FFDF410"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Quando la modifica è stata già inviata al source control e solo allora dobbiamo aggiornare i dati nell'oggetto target della modifica, il data-only è la scelta migliore. I refactor chiamati "split column" (divisione o disaggregazione di una colonna in più di una) e "merge columns" (unione o aggregazione di più colonne in una sola) sono ottimi esempi.</w:t>
      </w:r>
    </w:p>
    <w:p w14:paraId="5C88FB41" w14:textId="77777777" w:rsidR="00A30C63" w:rsidRDefault="00A30C63" w:rsidP="00A30C63">
      <w:pPr>
        <w:widowControl w:val="0"/>
        <w:autoSpaceDE w:val="0"/>
        <w:autoSpaceDN w:val="0"/>
        <w:adjustRightInd w:val="0"/>
        <w:rPr>
          <w:rFonts w:ascii="Trebuchet MS" w:hAnsi="Trebuchet MS" w:cs="Trebuchet MS"/>
          <w:sz w:val="26"/>
          <w:szCs w:val="26"/>
        </w:rPr>
      </w:pPr>
    </w:p>
    <w:p w14:paraId="0E1BC69B"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noProof/>
          <w:sz w:val="26"/>
          <w:szCs w:val="26"/>
        </w:rPr>
        <w:drawing>
          <wp:inline distT="0" distB="0" distL="0" distR="0" wp14:anchorId="2EC7849F" wp14:editId="3737813C">
            <wp:extent cx="11798300" cy="1282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98300" cy="1282700"/>
                    </a:xfrm>
                    <a:prstGeom prst="rect">
                      <a:avLst/>
                    </a:prstGeom>
                    <a:noFill/>
                    <a:ln>
                      <a:noFill/>
                    </a:ln>
                  </pic:spPr>
                </pic:pic>
              </a:graphicData>
            </a:graphic>
          </wp:inline>
        </w:drawing>
      </w:r>
    </w:p>
    <w:p w14:paraId="5A9EE18D" w14:textId="77777777" w:rsidR="00A30C63" w:rsidRDefault="00A30C63" w:rsidP="00A30C63">
      <w:pPr>
        <w:widowControl w:val="0"/>
        <w:autoSpaceDE w:val="0"/>
        <w:autoSpaceDN w:val="0"/>
        <w:adjustRightInd w:val="0"/>
        <w:rPr>
          <w:rFonts w:ascii="Trebuchet MS" w:hAnsi="Trebuchet MS" w:cs="Trebuchet MS"/>
          <w:sz w:val="26"/>
          <w:szCs w:val="26"/>
        </w:rPr>
      </w:pPr>
    </w:p>
    <w:p w14:paraId="1C3FD5BC"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lo scenario "Split" è riassumibile in:</w:t>
      </w:r>
    </w:p>
    <w:p w14:paraId="57F75C45"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creare due nuove colonne, commit</w:t>
      </w:r>
    </w:p>
    <w:p w14:paraId="479BAE24"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aggiungere lo script di migrazione per l'aggiornamento delle nuove colonne, commit</w:t>
      </w:r>
    </w:p>
    <w:p w14:paraId="3A746435"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drop della colonna originaria, commit</w:t>
      </w:r>
    </w:p>
    <w:p w14:paraId="1E3529E3" w14:textId="77777777" w:rsidR="00A30C63" w:rsidRDefault="00A30C63" w:rsidP="00A30C63">
      <w:pPr>
        <w:widowControl w:val="0"/>
        <w:autoSpaceDE w:val="0"/>
        <w:autoSpaceDN w:val="0"/>
        <w:adjustRightInd w:val="0"/>
        <w:rPr>
          <w:rFonts w:ascii="Trebuchet MS" w:hAnsi="Trebuchet MS" w:cs="Trebuchet MS"/>
          <w:sz w:val="26"/>
          <w:szCs w:val="26"/>
        </w:rPr>
      </w:pPr>
    </w:p>
    <w:p w14:paraId="78949AC4"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noProof/>
          <w:sz w:val="26"/>
          <w:szCs w:val="26"/>
        </w:rPr>
        <w:drawing>
          <wp:inline distT="0" distB="0" distL="0" distR="0" wp14:anchorId="67659A7C" wp14:editId="3FE47006">
            <wp:extent cx="11798300" cy="12446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98300" cy="1244600"/>
                    </a:xfrm>
                    <a:prstGeom prst="rect">
                      <a:avLst/>
                    </a:prstGeom>
                    <a:noFill/>
                    <a:ln>
                      <a:noFill/>
                    </a:ln>
                  </pic:spPr>
                </pic:pic>
              </a:graphicData>
            </a:graphic>
          </wp:inline>
        </w:drawing>
      </w:r>
    </w:p>
    <w:p w14:paraId="78023EF8" w14:textId="77777777" w:rsidR="00A30C63" w:rsidRDefault="00A30C63" w:rsidP="00A30C63">
      <w:pPr>
        <w:widowControl w:val="0"/>
        <w:autoSpaceDE w:val="0"/>
        <w:autoSpaceDN w:val="0"/>
        <w:adjustRightInd w:val="0"/>
        <w:rPr>
          <w:rFonts w:ascii="Trebuchet MS" w:hAnsi="Trebuchet MS" w:cs="Trebuchet MS"/>
          <w:sz w:val="26"/>
          <w:szCs w:val="26"/>
        </w:rPr>
      </w:pPr>
    </w:p>
    <w:p w14:paraId="0936B459"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lo scenario "Merge" è riassumibile in:</w:t>
      </w:r>
    </w:p>
    <w:p w14:paraId="12B15E60"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creare la nuova colonna target, commit</w:t>
      </w:r>
    </w:p>
    <w:p w14:paraId="397E4A83"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aggiungere lo script di migrazione per aggregare i valori dalle altre colonne, commit</w:t>
      </w:r>
    </w:p>
    <w:p w14:paraId="3CFD61ED"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drop delle colonne da cui abbiamo aggregato i dati, commit</w:t>
      </w:r>
    </w:p>
    <w:p w14:paraId="5FA28EDF" w14:textId="77777777" w:rsidR="00A30C63" w:rsidRDefault="00A30C63" w:rsidP="00A30C63">
      <w:pPr>
        <w:widowControl w:val="0"/>
        <w:autoSpaceDE w:val="0"/>
        <w:autoSpaceDN w:val="0"/>
        <w:adjustRightInd w:val="0"/>
        <w:rPr>
          <w:rFonts w:ascii="Trebuchet MS" w:hAnsi="Trebuchet MS" w:cs="Trebuchet MS"/>
          <w:sz w:val="26"/>
          <w:szCs w:val="26"/>
        </w:rPr>
      </w:pPr>
    </w:p>
    <w:p w14:paraId="7A4FEFAD"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In entrambi i casi, il delivery dei change rispetteranno l'ordine di commit.</w:t>
      </w:r>
    </w:p>
    <w:p w14:paraId="67AACAEA" w14:textId="77777777" w:rsidR="00A30C63" w:rsidRDefault="00A30C63" w:rsidP="00A30C63">
      <w:pPr>
        <w:widowControl w:val="0"/>
        <w:autoSpaceDE w:val="0"/>
        <w:autoSpaceDN w:val="0"/>
        <w:adjustRightInd w:val="0"/>
        <w:rPr>
          <w:rFonts w:ascii="Trebuchet MS" w:hAnsi="Trebuchet MS" w:cs="Trebuchet MS"/>
          <w:sz w:val="26"/>
          <w:szCs w:val="26"/>
        </w:rPr>
      </w:pPr>
    </w:p>
    <w:p w14:paraId="1E3751A5" w14:textId="77777777" w:rsidR="00A30C63" w:rsidRDefault="00A30C63" w:rsidP="00A30C63">
      <w:pPr>
        <w:widowControl w:val="0"/>
        <w:autoSpaceDE w:val="0"/>
        <w:autoSpaceDN w:val="0"/>
        <w:adjustRightInd w:val="0"/>
        <w:rPr>
          <w:rFonts w:ascii="Trebuchet MS" w:hAnsi="Trebuchet MS" w:cs="Trebuchet MS"/>
          <w:sz w:val="26"/>
          <w:szCs w:val="26"/>
        </w:rPr>
      </w:pPr>
    </w:p>
    <w:p w14:paraId="4B43EA3A"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b/>
          <w:bCs/>
          <w:sz w:val="26"/>
          <w:szCs w:val="26"/>
        </w:rPr>
        <w:t>Come lavora la feature "dietro le quinte"?</w:t>
      </w:r>
    </w:p>
    <w:p w14:paraId="077D9142"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Qualunque deploy che coinvolge un migration script, consiste nella comparazione di "blocchi" e "blocchi di migrazione":</w:t>
      </w:r>
    </w:p>
    <w:p w14:paraId="773A50D0" w14:textId="77777777" w:rsidR="00A30C63" w:rsidRDefault="00A30C63" w:rsidP="00A30C63">
      <w:pPr>
        <w:widowControl w:val="0"/>
        <w:autoSpaceDE w:val="0"/>
        <w:autoSpaceDN w:val="0"/>
        <w:adjustRightInd w:val="0"/>
        <w:rPr>
          <w:rFonts w:ascii="Trebuchet MS" w:hAnsi="Trebuchet MS" w:cs="Trebuchet MS"/>
          <w:sz w:val="26"/>
          <w:szCs w:val="26"/>
        </w:rPr>
      </w:pPr>
    </w:p>
    <w:p w14:paraId="133B327A"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noProof/>
          <w:sz w:val="26"/>
          <w:szCs w:val="26"/>
        </w:rPr>
        <w:drawing>
          <wp:inline distT="0" distB="0" distL="0" distR="0" wp14:anchorId="39AA5C03" wp14:editId="5798C404">
            <wp:extent cx="6705600" cy="617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5600" cy="6172200"/>
                    </a:xfrm>
                    <a:prstGeom prst="rect">
                      <a:avLst/>
                    </a:prstGeom>
                    <a:noFill/>
                    <a:ln>
                      <a:noFill/>
                    </a:ln>
                  </pic:spPr>
                </pic:pic>
              </a:graphicData>
            </a:graphic>
          </wp:inline>
        </w:drawing>
      </w:r>
    </w:p>
    <w:p w14:paraId="610C2FFC" w14:textId="77777777" w:rsidR="00A30C63" w:rsidRDefault="00A30C63" w:rsidP="00A30C63">
      <w:pPr>
        <w:widowControl w:val="0"/>
        <w:autoSpaceDE w:val="0"/>
        <w:autoSpaceDN w:val="0"/>
        <w:adjustRightInd w:val="0"/>
        <w:rPr>
          <w:rFonts w:ascii="Trebuchet MS" w:hAnsi="Trebuchet MS" w:cs="Trebuchet MS"/>
          <w:sz w:val="26"/>
          <w:szCs w:val="26"/>
        </w:rPr>
      </w:pPr>
    </w:p>
    <w:p w14:paraId="2B99C332"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SQL Source Control crea una serie di elementi all'interno di una cartella denominata "Custom Scripts", che è all'interno della cartella su cui è mappato il database:</w:t>
      </w:r>
    </w:p>
    <w:p w14:paraId="44E2172D"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 &lt;datetime&gt; ue auto: configurazioni ed impostazioni sulla comparazione (anche</w:t>
      </w:r>
      <w:r>
        <w:rPr>
          <w:rFonts w:ascii="Trebuchet MS" w:hAnsi="Trebuchet MS" w:cs="Trebuchet MS"/>
          <w:i/>
          <w:iCs/>
          <w:sz w:val="26"/>
          <w:szCs w:val="26"/>
        </w:rPr>
        <w:t xml:space="preserve"> RedGateDatabaseInfo.xml</w:t>
      </w:r>
      <w:r>
        <w:rPr>
          <w:rFonts w:ascii="Trebuchet MS" w:hAnsi="Trebuchet MS" w:cs="Trebuchet MS"/>
          <w:sz w:val="26"/>
          <w:szCs w:val="26"/>
        </w:rPr>
        <w:t>)</w:t>
      </w:r>
    </w:p>
    <w:p w14:paraId="309FF429"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 &lt;datetime&gt; uf user: lo script di migrazione (sql script e json file per la trasformazione)</w:t>
      </w:r>
    </w:p>
    <w:p w14:paraId="0366A86F"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 DeploymentOrder.json: ordine del deploy di migrazione da rispettare</w:t>
      </w:r>
    </w:p>
    <w:p w14:paraId="14584E25" w14:textId="77777777" w:rsidR="00A30C63" w:rsidRDefault="00A30C63" w:rsidP="00A30C63">
      <w:pPr>
        <w:widowControl w:val="0"/>
        <w:autoSpaceDE w:val="0"/>
        <w:autoSpaceDN w:val="0"/>
        <w:adjustRightInd w:val="0"/>
        <w:rPr>
          <w:rFonts w:ascii="Trebuchet MS" w:hAnsi="Trebuchet MS" w:cs="Trebuchet MS"/>
          <w:sz w:val="26"/>
          <w:szCs w:val="26"/>
        </w:rPr>
      </w:pPr>
    </w:p>
    <w:p w14:paraId="1ABA8E2D"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xml:space="preserve">In aggiunta, viene creata sul database target una tabella chiamata </w:t>
      </w:r>
      <w:hyperlink r:id="rId18" w:history="1">
        <w:r>
          <w:rPr>
            <w:rFonts w:ascii="Trebuchet MS" w:hAnsi="Trebuchet MS" w:cs="Trebuchet MS"/>
            <w:color w:val="0000E9"/>
            <w:sz w:val="26"/>
            <w:szCs w:val="26"/>
            <w:u w:val="single" w:color="0000E9"/>
          </w:rPr>
          <w:t>RedGateLocal.DeploymentMetadata</w:t>
        </w:r>
      </w:hyperlink>
      <w:r>
        <w:rPr>
          <w:rFonts w:ascii="Trebuchet MS" w:hAnsi="Trebuchet MS" w:cs="Trebuchet MS"/>
          <w:sz w:val="26"/>
          <w:szCs w:val="26"/>
        </w:rPr>
        <w:t xml:space="preserve">. Essa contiene la lista degli script di migrazione eseguiti e consente di evitare la riesecuzione degli stessi. Maggiori dettagli </w:t>
      </w:r>
      <w:hyperlink r:id="rId19" w:history="1">
        <w:r>
          <w:rPr>
            <w:rFonts w:ascii="Trebuchet MS" w:hAnsi="Trebuchet MS" w:cs="Trebuchet MS"/>
            <w:color w:val="0000E9"/>
            <w:sz w:val="26"/>
            <w:szCs w:val="26"/>
            <w:u w:val="single" w:color="0000E9"/>
          </w:rPr>
          <w:t>qui</w:t>
        </w:r>
      </w:hyperlink>
      <w:r>
        <w:rPr>
          <w:rFonts w:ascii="Trebuchet MS" w:hAnsi="Trebuchet MS" w:cs="Trebuchet MS"/>
          <w:sz w:val="26"/>
          <w:szCs w:val="26"/>
        </w:rPr>
        <w:t>.</w:t>
      </w:r>
    </w:p>
    <w:p w14:paraId="01ED18B0" w14:textId="77777777" w:rsidR="00A30C63" w:rsidRDefault="00A30C63" w:rsidP="00A30C63">
      <w:pPr>
        <w:widowControl w:val="0"/>
        <w:autoSpaceDE w:val="0"/>
        <w:autoSpaceDN w:val="0"/>
        <w:adjustRightInd w:val="0"/>
        <w:rPr>
          <w:rFonts w:ascii="Trebuchet MS" w:hAnsi="Trebuchet MS" w:cs="Trebuchet MS"/>
          <w:sz w:val="26"/>
          <w:szCs w:val="26"/>
        </w:rPr>
      </w:pPr>
    </w:p>
    <w:p w14:paraId="7FD8BE39" w14:textId="77777777" w:rsidR="00A30C63" w:rsidRDefault="00A30C63" w:rsidP="00A30C63">
      <w:pPr>
        <w:widowControl w:val="0"/>
        <w:autoSpaceDE w:val="0"/>
        <w:autoSpaceDN w:val="0"/>
        <w:adjustRightInd w:val="0"/>
        <w:rPr>
          <w:rFonts w:ascii="Trebuchet MS" w:hAnsi="Trebuchet MS" w:cs="Trebuchet MS"/>
          <w:sz w:val="26"/>
          <w:szCs w:val="26"/>
        </w:rPr>
      </w:pPr>
    </w:p>
    <w:p w14:paraId="390689F2"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b/>
          <w:bCs/>
          <w:sz w:val="26"/>
          <w:szCs w:val="26"/>
        </w:rPr>
        <w:t>La fase di deploy</w:t>
      </w:r>
    </w:p>
    <w:p w14:paraId="4AE6CF6C"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 xml:space="preserve">Abbiamo più volte parlato di deploy, anche se Source Control non è coinvolto nel processo. Con esso prepariamo il package del quale fare deploy, tramite altri strumenti, anch'essi automatizzabili o utilizzabili da software dedicati all'automazione del delivery (come </w:t>
      </w:r>
      <w:hyperlink r:id="rId20" w:history="1">
        <w:r>
          <w:rPr>
            <w:rFonts w:ascii="Trebuchet MS" w:hAnsi="Trebuchet MS" w:cs="Trebuchet MS"/>
            <w:color w:val="420178"/>
            <w:sz w:val="26"/>
            <w:szCs w:val="26"/>
            <w:u w:val="single" w:color="420178"/>
          </w:rPr>
          <w:t>VS Release Management</w:t>
        </w:r>
      </w:hyperlink>
      <w:r>
        <w:rPr>
          <w:rFonts w:ascii="Trebuchet MS" w:hAnsi="Trebuchet MS" w:cs="Trebuchet MS"/>
          <w:sz w:val="26"/>
          <w:szCs w:val="26"/>
        </w:rPr>
        <w:t>, </w:t>
      </w:r>
      <w:hyperlink r:id="rId21" w:history="1">
        <w:r>
          <w:rPr>
            <w:rFonts w:ascii="Trebuchet MS" w:hAnsi="Trebuchet MS" w:cs="Trebuchet MS"/>
            <w:color w:val="420178"/>
            <w:sz w:val="26"/>
            <w:szCs w:val="26"/>
            <w:u w:val="single" w:color="420178"/>
          </w:rPr>
          <w:t>Octopus Deploy</w:t>
        </w:r>
      </w:hyperlink>
      <w:r>
        <w:rPr>
          <w:rFonts w:ascii="Trebuchet MS" w:hAnsi="Trebuchet MS" w:cs="Trebuchet MS"/>
          <w:sz w:val="26"/>
          <w:szCs w:val="26"/>
        </w:rPr>
        <w:t xml:space="preserve">, </w:t>
      </w:r>
      <w:hyperlink r:id="rId22" w:history="1">
        <w:r>
          <w:rPr>
            <w:rFonts w:ascii="Trebuchet MS" w:hAnsi="Trebuchet MS" w:cs="Trebuchet MS"/>
            <w:color w:val="0000E9"/>
            <w:sz w:val="26"/>
            <w:szCs w:val="26"/>
            <w:u w:val="single" w:color="0000E9"/>
          </w:rPr>
          <w:t>Jenkins</w:t>
        </w:r>
      </w:hyperlink>
      <w:r>
        <w:rPr>
          <w:rFonts w:ascii="Trebuchet MS" w:hAnsi="Trebuchet MS" w:cs="Trebuchet MS"/>
          <w:sz w:val="26"/>
          <w:szCs w:val="26"/>
        </w:rPr>
        <w:t xml:space="preserve">, </w:t>
      </w:r>
      <w:hyperlink r:id="rId23" w:history="1">
        <w:r>
          <w:rPr>
            <w:rFonts w:ascii="Trebuchet MS" w:hAnsi="Trebuchet MS" w:cs="Trebuchet MS"/>
            <w:color w:val="420178"/>
            <w:sz w:val="26"/>
            <w:szCs w:val="26"/>
            <w:u w:val="single" w:color="420178"/>
          </w:rPr>
          <w:t>TeamCity</w:t>
        </w:r>
      </w:hyperlink>
      <w:r>
        <w:rPr>
          <w:rFonts w:ascii="Trebuchet MS" w:hAnsi="Trebuchet MS" w:cs="Trebuchet MS"/>
          <w:sz w:val="26"/>
          <w:szCs w:val="26"/>
        </w:rPr>
        <w:t xml:space="preserve">). Le applicazioni ufficiali di Red Gate sono </w:t>
      </w:r>
      <w:hyperlink r:id="rId24" w:history="1">
        <w:r>
          <w:rPr>
            <w:rFonts w:ascii="Trebuchet MS" w:hAnsi="Trebuchet MS" w:cs="Trebuchet MS"/>
            <w:color w:val="420178"/>
            <w:sz w:val="26"/>
            <w:szCs w:val="26"/>
            <w:u w:val="single" w:color="420178"/>
          </w:rPr>
          <w:t>SQL Compare</w:t>
        </w:r>
      </w:hyperlink>
      <w:r>
        <w:rPr>
          <w:rFonts w:ascii="Trebuchet MS" w:hAnsi="Trebuchet MS" w:cs="Trebuchet MS"/>
          <w:sz w:val="26"/>
          <w:szCs w:val="26"/>
        </w:rPr>
        <w:t xml:space="preserve"> e </w:t>
      </w:r>
      <w:hyperlink r:id="rId25" w:history="1">
        <w:r>
          <w:rPr>
            <w:rFonts w:ascii="Trebuchet MS" w:hAnsi="Trebuchet MS" w:cs="Trebuchet MS"/>
            <w:color w:val="420178"/>
            <w:sz w:val="26"/>
            <w:szCs w:val="26"/>
            <w:u w:val="single" w:color="420178"/>
          </w:rPr>
          <w:t>SQL Data Compare</w:t>
        </w:r>
      </w:hyperlink>
      <w:r>
        <w:rPr>
          <w:rFonts w:ascii="Trebuchet MS" w:hAnsi="Trebuchet MS" w:cs="Trebuchet MS"/>
          <w:sz w:val="26"/>
          <w:szCs w:val="26"/>
        </w:rPr>
        <w:t xml:space="preserve">, rispettivamente per strutture e dati, e il tool di </w:t>
      </w:r>
      <w:hyperlink r:id="rId26" w:history="1">
        <w:r>
          <w:rPr>
            <w:rFonts w:ascii="Trebuchet MS" w:hAnsi="Trebuchet MS" w:cs="Trebuchet MS"/>
            <w:color w:val="0000E9"/>
            <w:sz w:val="26"/>
            <w:szCs w:val="26"/>
            <w:u w:val="single" w:color="0000E9"/>
          </w:rPr>
          <w:t>DLM automation</w:t>
        </w:r>
      </w:hyperlink>
      <w:r>
        <w:rPr>
          <w:rFonts w:ascii="Trebuchet MS" w:hAnsi="Trebuchet MS" w:cs="Trebuchet MS"/>
          <w:sz w:val="26"/>
          <w:szCs w:val="26"/>
        </w:rPr>
        <w:t>.</w:t>
      </w:r>
    </w:p>
    <w:p w14:paraId="13B03927" w14:textId="77777777" w:rsidR="00A30C63" w:rsidRDefault="00A30C63" w:rsidP="00A30C63">
      <w:pPr>
        <w:widowControl w:val="0"/>
        <w:autoSpaceDE w:val="0"/>
        <w:autoSpaceDN w:val="0"/>
        <w:adjustRightInd w:val="0"/>
        <w:rPr>
          <w:rFonts w:ascii="Trebuchet MS" w:hAnsi="Trebuchet MS" w:cs="Trebuchet MS"/>
          <w:sz w:val="26"/>
          <w:szCs w:val="26"/>
        </w:rPr>
      </w:pPr>
    </w:p>
    <w:p w14:paraId="6A8D5B9E"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Così come accade per la get/apply durante la fase di sviluppo, la comparazione verifica la presenza della cartella "</w:t>
      </w:r>
      <w:r>
        <w:rPr>
          <w:rFonts w:ascii="Trebuchet MS" w:hAnsi="Trebuchet MS" w:cs="Trebuchet MS"/>
          <w:i/>
          <w:iCs/>
          <w:sz w:val="26"/>
          <w:szCs w:val="26"/>
        </w:rPr>
        <w:t>Custom Scripts</w:t>
      </w:r>
      <w:r>
        <w:rPr>
          <w:rFonts w:ascii="Trebuchet MS" w:hAnsi="Trebuchet MS" w:cs="Trebuchet MS"/>
          <w:sz w:val="26"/>
          <w:szCs w:val="26"/>
        </w:rPr>
        <w:t>" e controlla il contenuto della tabella RedGateLocal.DeploymentMetadata. Se il migration script è già stato eseguito, viene saltato, mentre in caso contrario, viene eseguito nell'ordine con cui è stato fatto il commit. Ciò significa che il package avrà al suo interno solo la cartella "</w:t>
      </w:r>
      <w:r>
        <w:rPr>
          <w:rFonts w:ascii="Trebuchet MS" w:hAnsi="Trebuchet MS" w:cs="Trebuchet MS"/>
          <w:i/>
          <w:iCs/>
          <w:sz w:val="26"/>
          <w:szCs w:val="26"/>
        </w:rPr>
        <w:t>Custom Scripts</w:t>
      </w:r>
      <w:r>
        <w:rPr>
          <w:rFonts w:ascii="Trebuchet MS" w:hAnsi="Trebuchet MS" w:cs="Trebuchet MS"/>
          <w:sz w:val="26"/>
          <w:szCs w:val="26"/>
        </w:rPr>
        <w:t>" ma il database di destinazione dovrà essere dotato della tabella suddetta. Se essa non esiste, il primo deploy si occuperà di crearla.</w:t>
      </w:r>
    </w:p>
    <w:p w14:paraId="4C009D0E" w14:textId="77777777" w:rsidR="00A30C63" w:rsidRDefault="00A30C63" w:rsidP="00A30C63">
      <w:pPr>
        <w:widowControl w:val="0"/>
        <w:autoSpaceDE w:val="0"/>
        <w:autoSpaceDN w:val="0"/>
        <w:adjustRightInd w:val="0"/>
        <w:rPr>
          <w:rFonts w:ascii="Trebuchet MS" w:hAnsi="Trebuchet MS" w:cs="Trebuchet MS"/>
          <w:sz w:val="26"/>
          <w:szCs w:val="26"/>
        </w:rPr>
      </w:pPr>
    </w:p>
    <w:p w14:paraId="4E960810" w14:textId="77777777" w:rsidR="00A30C63" w:rsidRDefault="00A30C63" w:rsidP="00A30C63">
      <w:pPr>
        <w:widowControl w:val="0"/>
        <w:autoSpaceDE w:val="0"/>
        <w:autoSpaceDN w:val="0"/>
        <w:adjustRightInd w:val="0"/>
        <w:rPr>
          <w:rFonts w:ascii="Trebuchet MS" w:hAnsi="Trebuchet MS" w:cs="Trebuchet MS"/>
          <w:sz w:val="26"/>
          <w:szCs w:val="26"/>
        </w:rPr>
      </w:pPr>
    </w:p>
    <w:p w14:paraId="6CC02FD1"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b/>
          <w:bCs/>
          <w:sz w:val="26"/>
          <w:szCs w:val="26"/>
        </w:rPr>
        <w:t>Conclusioni</w:t>
      </w:r>
    </w:p>
    <w:p w14:paraId="23F7553F" w14:textId="77777777" w:rsidR="00A30C63" w:rsidRDefault="00A30C63" w:rsidP="00A30C63">
      <w:pPr>
        <w:widowControl w:val="0"/>
        <w:autoSpaceDE w:val="0"/>
        <w:autoSpaceDN w:val="0"/>
        <w:adjustRightInd w:val="0"/>
        <w:rPr>
          <w:rFonts w:ascii="Trebuchet MS" w:hAnsi="Trebuchet MS" w:cs="Trebuchet MS"/>
          <w:sz w:val="26"/>
          <w:szCs w:val="26"/>
        </w:rPr>
      </w:pPr>
      <w:r>
        <w:rPr>
          <w:rFonts w:ascii="Trebuchet MS" w:hAnsi="Trebuchet MS" w:cs="Trebuchet MS"/>
          <w:sz w:val="26"/>
          <w:szCs w:val="26"/>
        </w:rPr>
        <w:t>La funzionalità descritta è finalmente arrivata ad un'implementazione stabile ed efficace. Gli script suggeriti sono ben formati, tutto è piuttosto semplice e chiaro. Inoltre, l'esperienza utente è gradevole e ben seguita. Il punto più importante, è, a mio avviso, il vantaggio che possiamo ottenere dalle migrazioni durante la fase di deploy, parlando ovviamente di automazione. Improvvisamente infatti, per tutti coloro che creavano script a mano per questo tipo di change, la necessità di scrivere codice di migrazione cala drasticamente, riducendo, di fatto, anche il margine di errore umano. Una volta definita una buona pipeline ed una serie di regole da seguire, è sufficiente integrare il pacchetto nel nostro strumento di deploy, ed è fatta. Anche il database non sarà più un enorme problema di release.</w:t>
      </w:r>
    </w:p>
    <w:p w14:paraId="628E1026" w14:textId="77777777" w:rsidR="00A30C63" w:rsidRDefault="00A30C63" w:rsidP="00A30C63">
      <w:pPr>
        <w:widowControl w:val="0"/>
        <w:autoSpaceDE w:val="0"/>
        <w:autoSpaceDN w:val="0"/>
        <w:adjustRightInd w:val="0"/>
        <w:rPr>
          <w:rFonts w:ascii="Trebuchet MS" w:hAnsi="Trebuchet MS" w:cs="Trebuchet MS"/>
          <w:sz w:val="26"/>
          <w:szCs w:val="26"/>
        </w:rPr>
      </w:pPr>
    </w:p>
    <w:p w14:paraId="7F0E7FD5" w14:textId="77777777" w:rsidR="00A30C63" w:rsidRDefault="00A30C63" w:rsidP="00A30C63">
      <w:pPr>
        <w:widowControl w:val="0"/>
        <w:autoSpaceDE w:val="0"/>
        <w:autoSpaceDN w:val="0"/>
        <w:adjustRightInd w:val="0"/>
        <w:rPr>
          <w:rFonts w:ascii="Trebuchet MS" w:hAnsi="Trebuchet MS" w:cs="Trebuchet MS"/>
          <w:sz w:val="26"/>
          <w:szCs w:val="26"/>
        </w:rPr>
      </w:pPr>
    </w:p>
    <w:p w14:paraId="6A4AFC26" w14:textId="77777777" w:rsidR="00FA069B" w:rsidRDefault="00A30C63" w:rsidP="00A30C63">
      <w:r>
        <w:rPr>
          <w:rFonts w:ascii="Trebuchet MS" w:hAnsi="Trebuchet MS" w:cs="Trebuchet MS"/>
          <w:sz w:val="26"/>
          <w:szCs w:val="26"/>
        </w:rPr>
        <w:t>Stay Tuned! </w:t>
      </w:r>
      <w:r>
        <w:rPr>
          <w:rFonts w:ascii="Trebuchet MS" w:hAnsi="Trebuchet MS" w:cs="Trebuchet MS"/>
          <w:noProof/>
          <w:sz w:val="26"/>
          <w:szCs w:val="26"/>
        </w:rPr>
        <w:drawing>
          <wp:inline distT="0" distB="0" distL="0" distR="0" wp14:anchorId="1AA4C0FF" wp14:editId="3D8CAD8F">
            <wp:extent cx="241300" cy="241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bookmarkStart w:id="0" w:name="_GoBack"/>
      <w:bookmarkEnd w:id="0"/>
    </w:p>
    <w:sectPr w:rsidR="00FA069B" w:rsidSect="00A179C3">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C63"/>
    <w:rsid w:val="007B0706"/>
    <w:rsid w:val="00A179C3"/>
    <w:rsid w:val="00A3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BDF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visualstudio.com/en-us/features/release-management-vs.aspx" TargetMode="External"/><Relationship Id="rId21" Type="http://schemas.openxmlformats.org/officeDocument/2006/relationships/hyperlink" Target="https://octopus.com/" TargetMode="External"/><Relationship Id="rId22" Type="http://schemas.openxmlformats.org/officeDocument/2006/relationships/hyperlink" Target="https://jenkins.io/index.html" TargetMode="External"/><Relationship Id="rId23" Type="http://schemas.openxmlformats.org/officeDocument/2006/relationships/hyperlink" Target="http://www.jetbrains.com/teamcity/" TargetMode="External"/><Relationship Id="rId24" Type="http://schemas.openxmlformats.org/officeDocument/2006/relationships/hyperlink" Target="http://www.red-gate.com/products/sql-development/sql-compare/" TargetMode="External"/><Relationship Id="rId25" Type="http://schemas.openxmlformats.org/officeDocument/2006/relationships/hyperlink" Target="https://www.red-gate.com/products/sql-development/sql-data-compare/" TargetMode="External"/><Relationship Id="rId26" Type="http://schemas.openxmlformats.org/officeDocument/2006/relationships/hyperlink" Target="https://www.red-gate.com/products/dlm/dlm-automation/" TargetMode="External"/><Relationship Id="rId27" Type="http://schemas.openxmlformats.org/officeDocument/2006/relationships/image" Target="media/image11.gif"/><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documentation.red-gate.com/display/SOC5/RedGateLocal.DeploymentMetadata" TargetMode="External"/><Relationship Id="rId19" Type="http://schemas.openxmlformats.org/officeDocument/2006/relationships/hyperlink" Target="https://documentation.red-gate.com/display/SOC5/How+migration+scripts+work"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red-gate.com/products/sql-development/sql-source-control/" TargetMode="External"/><Relationship Id="rId5" Type="http://schemas.openxmlformats.org/officeDocument/2006/relationships/hyperlink" Target="https://www.simple-talk.com/blogs/2016/06/02/sql-source-control-5-weve-solved-the-data-problem/" TargetMode="External"/><Relationship Id="rId6" Type="http://schemas.openxmlformats.org/officeDocument/2006/relationships/hyperlink" Target="https://www.visualstudio.com/" TargetMode="External"/><Relationship Id="rId7" Type="http://schemas.openxmlformats.org/officeDocument/2006/relationships/hyperlink" Target="https://documentation.red-gate.com/display/SOC5/Teams+using+the+dedicated+mode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1891</Words>
  <Characters>10779</Characters>
  <Application>Microsoft Macintosh Word</Application>
  <DocSecurity>0</DocSecurity>
  <Lines>89</Lines>
  <Paragraphs>25</Paragraphs>
  <ScaleCrop>false</ScaleCrop>
  <LinksUpToDate>false</LinksUpToDate>
  <CharactersWithSpaces>12645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Alpi</dc:creator>
  <cp:keywords/>
  <dc:description/>
  <cp:lastModifiedBy>Alessandro Alpi</cp:lastModifiedBy>
  <cp:revision>1</cp:revision>
  <dcterms:created xsi:type="dcterms:W3CDTF">2016-07-30T15:31:00Z</dcterms:created>
  <dcterms:modified xsi:type="dcterms:W3CDTF">2016-07-30T15:31:00Z</dcterms:modified>
</cp:coreProperties>
</file>