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75a6435e-c3c7-474c-a48d-c3db8e26c82e"/>
        <w:id w:val="1060444138"/>
        <w:placeholder>
          <w:docPart w:val="DefaultPlaceholder_1081868574"/>
        </w:placeholder>
        <w:text/>
      </w:sdtPr>
      <w:sdtEndPr/>
      <w:sdtContent>
        <w:p w:rsidR="00790FAC" w:rsidRPr="00F1774F" w:rsidRDefault="00790FAC" w:rsidP="00790FAC">
          <w:pPr>
            <w:pStyle w:val="ppTopic"/>
            <w:rPr>
              <w:lang w:val="it-IT"/>
            </w:rPr>
          </w:pPr>
          <w:proofErr w:type="spellStart"/>
          <w:r>
            <w:rPr>
              <w:lang w:val="it-IT"/>
            </w:rPr>
            <w:t>Branch</w:t>
          </w:r>
          <w:proofErr w:type="spellEnd"/>
          <w:r>
            <w:rPr>
              <w:lang w:val="it-IT"/>
            </w:rPr>
            <w:t xml:space="preserve"> per </w:t>
          </w:r>
          <w:proofErr w:type="spellStart"/>
          <w:r>
            <w:rPr>
              <w:lang w:val="it-IT"/>
            </w:rPr>
            <w:t>feature</w:t>
          </w:r>
          <w:proofErr w:type="spellEnd"/>
          <w:r>
            <w:rPr>
              <w:lang w:val="it-IT"/>
            </w:rPr>
            <w:t xml:space="preserve"> in </w:t>
          </w:r>
          <w:proofErr w:type="spellStart"/>
          <w:r>
            <w:rPr>
              <w:lang w:val="it-IT"/>
            </w:rPr>
            <w:t>Git</w:t>
          </w:r>
          <w:proofErr w:type="spellEnd"/>
        </w:p>
      </w:sdtContent>
    </w:sdt>
    <w:p w:rsidR="0079349E" w:rsidRDefault="0079349E" w:rsidP="0079349E">
      <w:pPr>
        <w:pStyle w:val="Heading4"/>
        <w:spacing w:after="60"/>
        <w:rPr>
          <w:rFonts w:ascii="Verdana" w:hAnsi="Verdana"/>
          <w:color w:val="000000"/>
          <w:sz w:val="19"/>
          <w:szCs w:val="19"/>
          <w:lang w:val="it-IT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r w:rsidR="00DE1317">
        <w:fldChar w:fldCharType="begin"/>
      </w:r>
      <w:r w:rsidR="00DE1317" w:rsidRPr="00DE1317">
        <w:rPr>
          <w:lang w:val="it-IT"/>
        </w:rPr>
        <w:instrText xml:space="preserve"> HYPERLINK "http://mvp.microsoft.com/en-us/mvp/Gian%20Maria%20Ricci-4025635" </w:instrText>
      </w:r>
      <w:r w:rsidR="00DE1317">
        <w:fldChar w:fldCharType="separate"/>
      </w:r>
      <w:r w:rsidRPr="00BD7FB8">
        <w:rPr>
          <w:rStyle w:val="Hyperlink"/>
          <w:rFonts w:ascii="Verdana" w:hAnsi="Verdana"/>
          <w:sz w:val="19"/>
          <w:szCs w:val="19"/>
          <w:lang w:val="it-IT"/>
        </w:rPr>
        <w:t>Gian Maria Ricci</w:t>
      </w:r>
      <w:r w:rsidR="00DE1317">
        <w:rPr>
          <w:rStyle w:val="Hyperlink"/>
          <w:rFonts w:ascii="Verdana" w:hAnsi="Verdana"/>
          <w:sz w:val="19"/>
          <w:szCs w:val="19"/>
          <w:lang w:val="it-IT"/>
        </w:rPr>
        <w:fldChar w:fldCharType="end"/>
      </w:r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:rsidR="0079349E" w:rsidRPr="004E383C" w:rsidRDefault="0079349E" w:rsidP="0079349E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inglese: </w:t>
      </w:r>
      <w:r w:rsidR="00DE1317">
        <w:fldChar w:fldCharType="begin"/>
      </w:r>
      <w:r w:rsidR="00DE1317" w:rsidRPr="00DE1317">
        <w:rPr>
          <w:lang w:val="it-IT"/>
        </w:rPr>
        <w:instrText xml:space="preserve"> HYPERLINK "http://www.codewrecks.com" </w:instrText>
      </w:r>
      <w:r w:rsidR="00DE1317">
        <w:fldChar w:fldCharType="separate"/>
      </w:r>
      <w:r w:rsidRPr="00AA7591">
        <w:rPr>
          <w:rStyle w:val="Hyperlink"/>
          <w:lang w:val="it-IT"/>
        </w:rPr>
        <w:t>http://www.codewrecks.com</w:t>
      </w:r>
      <w:r w:rsidR="00DE1317">
        <w:rPr>
          <w:rStyle w:val="Hyperlink"/>
          <w:lang w:val="it-IT"/>
        </w:rPr>
        <w:fldChar w:fldCharType="end"/>
      </w:r>
      <w:r>
        <w:rPr>
          <w:lang w:val="it-IT"/>
        </w:rPr>
        <w:t xml:space="preserve"> </w:t>
      </w:r>
    </w:p>
    <w:p w:rsidR="0079349E" w:rsidRPr="004E383C" w:rsidRDefault="0079349E" w:rsidP="0079349E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 ALM: </w:t>
      </w:r>
      <w:r w:rsidR="00DE1317">
        <w:fldChar w:fldCharType="begin"/>
      </w:r>
      <w:r w:rsidR="00DE1317" w:rsidRPr="00DE1317">
        <w:rPr>
          <w:lang w:val="it-IT"/>
        </w:rPr>
        <w:instrText xml:space="preserve"> HYPERLINK "http://www.getlatestversion.it/author/alkampfer/" </w:instrText>
      </w:r>
      <w:r w:rsidR="00DE1317">
        <w:fldChar w:fldCharType="separate"/>
      </w:r>
      <w:r w:rsidRPr="00AA7591">
        <w:rPr>
          <w:rStyle w:val="Hyperlink"/>
          <w:lang w:val="it-IT"/>
        </w:rPr>
        <w:t>http://www.getlatestversion.it/author/alkampfer/</w:t>
      </w:r>
      <w:r w:rsidR="00DE1317">
        <w:rPr>
          <w:rStyle w:val="Hyperlink"/>
          <w:lang w:val="it-IT"/>
        </w:rPr>
        <w:fldChar w:fldCharType="end"/>
      </w:r>
      <w:r>
        <w:rPr>
          <w:lang w:val="it-IT"/>
        </w:rPr>
        <w:t xml:space="preserve">  </w:t>
      </w:r>
    </w:p>
    <w:p w:rsidR="0079349E" w:rsidRPr="004E383C" w:rsidRDefault="0079349E" w:rsidP="0079349E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Italiano: </w:t>
      </w:r>
      <w:r w:rsidR="00DE1317">
        <w:fldChar w:fldCharType="begin"/>
      </w:r>
      <w:r w:rsidR="00DE1317" w:rsidRPr="00DE1317">
        <w:rPr>
          <w:lang w:val="it-IT"/>
        </w:rPr>
        <w:instrText xml:space="preserve"> HYPERLINK "http://blogs.ugidotnet.org/rgm" </w:instrText>
      </w:r>
      <w:r w:rsidR="00DE1317">
        <w:fldChar w:fldCharType="separate"/>
      </w:r>
      <w:r w:rsidRPr="00AA7591">
        <w:rPr>
          <w:rStyle w:val="Hyperlink"/>
          <w:lang w:val="it-IT"/>
        </w:rPr>
        <w:t>http://blogs.ugidotnet.org/rgm</w:t>
      </w:r>
      <w:r w:rsidR="00DE1317">
        <w:rPr>
          <w:rStyle w:val="Hyperlink"/>
          <w:lang w:val="it-IT"/>
        </w:rPr>
        <w:fldChar w:fldCharType="end"/>
      </w:r>
      <w:r>
        <w:rPr>
          <w:lang w:val="it-IT"/>
        </w:rPr>
        <w:t xml:space="preserve"> </w:t>
      </w:r>
    </w:p>
    <w:p w:rsidR="0079349E" w:rsidRDefault="0079349E" w:rsidP="0079349E">
      <w:pPr>
        <w:pStyle w:val="ppFigure"/>
      </w:pPr>
      <w:r>
        <w:rPr>
          <w:noProof/>
          <w:lang w:bidi="ar-SA"/>
        </w:rPr>
        <w:drawing>
          <wp:inline distT="0" distB="0" distL="0" distR="0" wp14:anchorId="58877999" wp14:editId="6050C20A">
            <wp:extent cx="542925" cy="857250"/>
            <wp:effectExtent l="0" t="0" r="9525" b="0"/>
            <wp:docPr id="3" name="Picture 3" descr="ms-help://AstroNS20/TA_1306003_gmricci_GestionBranchGitVS/html/images/7B654F178A3842F7F616A829DC6DF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help://AstroNS20/TA_1306003_gmricci_GestionBranchGitVS/html/images/7B654F178A3842F7F616A829DC6DF5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9E" w:rsidRDefault="0079349E" w:rsidP="0079349E">
      <w:pPr>
        <w:pStyle w:val="ppBodyText"/>
        <w:rPr>
          <w:i/>
          <w:lang w:val="it-IT"/>
        </w:rPr>
      </w:pPr>
      <w:r>
        <w:rPr>
          <w:i/>
          <w:lang w:val="it-IT"/>
        </w:rPr>
        <w:t>Maggio, 2015</w:t>
      </w:r>
    </w:p>
    <w:p w:rsidR="0079349E" w:rsidRDefault="0079349E" w:rsidP="00790FAC">
      <w:pPr>
        <w:pStyle w:val="Heading2"/>
        <w:rPr>
          <w:lang w:val="it-IT"/>
        </w:rPr>
      </w:pPr>
    </w:p>
    <w:p w:rsidR="0079349E" w:rsidRDefault="0079349E" w:rsidP="00790FAC">
      <w:pPr>
        <w:pStyle w:val="Heading2"/>
        <w:rPr>
          <w:lang w:val="it-IT"/>
        </w:rPr>
      </w:pPr>
    </w:p>
    <w:p w:rsidR="00790FAC" w:rsidRDefault="00790FAC" w:rsidP="00790FAC">
      <w:pPr>
        <w:pStyle w:val="Heading2"/>
        <w:rPr>
          <w:lang w:val="it-IT"/>
        </w:rPr>
      </w:pPr>
      <w:r>
        <w:rPr>
          <w:lang w:val="it-IT"/>
        </w:rPr>
        <w:t>Differenze rispetto a un Source Control Centralizzato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Il differente modello di branching implementato da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, offre possibilità decisamente superiori rispetto ad un normale controllo di codice sorgente centralizzato, permettendo l’adozione di </w:t>
      </w:r>
      <w:r w:rsidRPr="0003787D">
        <w:rPr>
          <w:b/>
          <w:lang w:val="it-IT"/>
        </w:rPr>
        <w:t>strategie di branching difficilmente perseguibili con altri strumenti</w:t>
      </w:r>
      <w:r>
        <w:rPr>
          <w:lang w:val="it-IT"/>
        </w:rPr>
        <w:t>. Un’analisi delle differenze principali che esistono con un VCS centralizzato è solitamente il punto di partenza per capire come ristrutturare le proprie politiche di branching al fine di sfruttare al meglio il nuovo strumento.</w:t>
      </w:r>
    </w:p>
    <w:p w:rsidR="00790FAC" w:rsidRPr="0003787D" w:rsidRDefault="00790FAC" w:rsidP="00790FAC">
      <w:pPr>
        <w:pStyle w:val="ppBodyText"/>
        <w:rPr>
          <w:b/>
          <w:lang w:val="it-IT"/>
        </w:rPr>
      </w:pPr>
      <w:r w:rsidRPr="0003787D">
        <w:rPr>
          <w:b/>
          <w:i/>
          <w:lang w:val="it-IT"/>
        </w:rPr>
        <w:t xml:space="preserve">Concetto di </w:t>
      </w:r>
      <w:proofErr w:type="spellStart"/>
      <w:r>
        <w:rPr>
          <w:b/>
          <w:i/>
          <w:lang w:val="it-IT"/>
        </w:rPr>
        <w:t>Working</w:t>
      </w:r>
      <w:proofErr w:type="spellEnd"/>
      <w:r w:rsidRPr="0003787D">
        <w:rPr>
          <w:b/>
          <w:i/>
          <w:lang w:val="it-IT"/>
        </w:rPr>
        <w:t xml:space="preserve"> </w:t>
      </w:r>
      <w:r>
        <w:rPr>
          <w:b/>
          <w:i/>
          <w:lang w:val="it-IT"/>
        </w:rPr>
        <w:t>Directory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Mentre in un VCS centralizzato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è una “</w:t>
      </w:r>
      <w:r>
        <w:rPr>
          <w:i/>
          <w:lang w:val="it-IT"/>
        </w:rPr>
        <w:t>copia intelligente”</w:t>
      </w:r>
      <w:r>
        <w:rPr>
          <w:lang w:val="it-IT"/>
        </w:rPr>
        <w:t xml:space="preserve"> di una cartella ed occupa per questo uno “spazio logico” nella struttura del codice sorgente, 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esiste sempre una sola cartella dove lavorare, chiamata </w:t>
      </w:r>
      <w:proofErr w:type="spellStart"/>
      <w:r>
        <w:rPr>
          <w:lang w:val="it-IT"/>
        </w:rPr>
        <w:t>Working</w:t>
      </w:r>
      <w:proofErr w:type="spellEnd"/>
      <w:r>
        <w:rPr>
          <w:lang w:val="it-IT"/>
        </w:rPr>
        <w:t xml:space="preserve"> Directory. Durante un cambio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vengono aggiornati i file presenti nella </w:t>
      </w:r>
      <w:proofErr w:type="spellStart"/>
      <w:r>
        <w:rPr>
          <w:lang w:val="it-IT"/>
        </w:rPr>
        <w:t>Working</w:t>
      </w:r>
      <w:proofErr w:type="spellEnd"/>
      <w:r>
        <w:rPr>
          <w:lang w:val="it-IT"/>
        </w:rPr>
        <w:t xml:space="preserve"> Directory per riflettere il contenuto della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(o del singolo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) su cui si vuole lavorare. Questo comporta</w:t>
      </w:r>
    </w:p>
    <w:p w:rsidR="00790FAC" w:rsidRDefault="00790FAC" w:rsidP="00790FAC">
      <w:pPr>
        <w:pStyle w:val="ppBulletList"/>
        <w:rPr>
          <w:lang w:val="it-IT"/>
        </w:rPr>
      </w:pPr>
      <w:r>
        <w:rPr>
          <w:lang w:val="it-IT"/>
        </w:rPr>
        <w:t xml:space="preserve">A differenza di un VCS centralizzato, non è necessario adottare </w:t>
      </w:r>
      <w:r w:rsidR="00334AA1">
        <w:rPr>
          <w:lang w:val="it-IT"/>
        </w:rPr>
        <w:t>alcuna</w:t>
      </w:r>
      <w:r>
        <w:rPr>
          <w:lang w:val="it-IT"/>
        </w:rPr>
        <w:t xml:space="preserve"> strategia di </w:t>
      </w:r>
      <w:proofErr w:type="spellStart"/>
      <w:r>
        <w:rPr>
          <w:lang w:val="it-IT"/>
        </w:rPr>
        <w:t>mapping</w:t>
      </w:r>
      <w:proofErr w:type="spellEnd"/>
      <w:r>
        <w:rPr>
          <w:lang w:val="it-IT"/>
        </w:rPr>
        <w:t xml:space="preserve"> per evitare di scaricare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su cui non si vuole lavorare</w:t>
      </w:r>
    </w:p>
    <w:p w:rsidR="00790FAC" w:rsidRDefault="00790FAC" w:rsidP="00790FAC">
      <w:pPr>
        <w:pStyle w:val="ppBulletList"/>
        <w:rPr>
          <w:lang w:val="it-IT"/>
        </w:rPr>
      </w:pPr>
      <w:r>
        <w:rPr>
          <w:lang w:val="it-IT"/>
        </w:rPr>
        <w:t xml:space="preserve">Per ogni sviluppatore, lo spazio occupato da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è semplicemente il differenziale dalla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origine, non vi sono cartelle duplicate con copie dello stesso progetto per le differenti </w:t>
      </w:r>
      <w:proofErr w:type="spellStart"/>
      <w:r>
        <w:rPr>
          <w:lang w:val="it-IT"/>
        </w:rPr>
        <w:t>branch</w:t>
      </w:r>
      <w:proofErr w:type="spellEnd"/>
    </w:p>
    <w:p w:rsidR="00790FAC" w:rsidRDefault="00790FAC" w:rsidP="00790FAC">
      <w:pPr>
        <w:pStyle w:val="ppBulletList"/>
        <w:rPr>
          <w:lang w:val="it-IT"/>
        </w:rPr>
      </w:pPr>
      <w:r>
        <w:rPr>
          <w:lang w:val="it-IT"/>
        </w:rPr>
        <w:t xml:space="preserve">I file dei progetti e soluzioni hanno sempre lo stesso percorso relativo,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dove si sta lavorando non dipende dalla cartella in cui si è aperto il progetto / </w:t>
      </w:r>
      <w:proofErr w:type="spellStart"/>
      <w:r>
        <w:rPr>
          <w:lang w:val="it-IT"/>
        </w:rPr>
        <w:t>solution</w:t>
      </w:r>
      <w:proofErr w:type="spellEnd"/>
      <w:r>
        <w:rPr>
          <w:lang w:val="it-IT"/>
        </w:rPr>
        <w:t xml:space="preserve"> ma dipende dalla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attuale configurata con il comando </w:t>
      </w:r>
      <w:proofErr w:type="spellStart"/>
      <w:r w:rsidRPr="0003787D">
        <w:rPr>
          <w:i/>
          <w:lang w:val="it-IT"/>
        </w:rPr>
        <w:t>git</w:t>
      </w:r>
      <w:proofErr w:type="spellEnd"/>
      <w:r w:rsidRPr="0003787D">
        <w:rPr>
          <w:i/>
          <w:lang w:val="it-IT"/>
        </w:rPr>
        <w:t xml:space="preserve"> checkout</w:t>
      </w:r>
    </w:p>
    <w:p w:rsidR="00790FAC" w:rsidRDefault="00790FAC" w:rsidP="00790FAC">
      <w:pPr>
        <w:pStyle w:val="ppBulletList"/>
        <w:rPr>
          <w:lang w:val="it-IT"/>
        </w:rPr>
      </w:pPr>
      <w:r>
        <w:rPr>
          <w:lang w:val="it-IT"/>
        </w:rPr>
        <w:t xml:space="preserve">Si possono usare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locali, non visibili al resto del team.</w:t>
      </w:r>
    </w:p>
    <w:p w:rsidR="00790FAC" w:rsidRDefault="00790FAC" w:rsidP="00790FAC">
      <w:pPr>
        <w:pStyle w:val="ppListEnd"/>
        <w:rPr>
          <w:lang w:val="it-IT"/>
        </w:rPr>
      </w:pP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Questa differenza permette di creare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con più tranquillità, dato che l’impatto sul resto del team è minimo. </w:t>
      </w:r>
    </w:p>
    <w:p w:rsidR="00790FAC" w:rsidRPr="0003787D" w:rsidRDefault="00790FAC" w:rsidP="00790FAC">
      <w:pPr>
        <w:pStyle w:val="ppBodyText"/>
        <w:rPr>
          <w:b/>
          <w:i/>
          <w:lang w:val="it-IT"/>
        </w:rPr>
      </w:pPr>
      <w:r w:rsidRPr="0003787D">
        <w:rPr>
          <w:b/>
          <w:i/>
          <w:lang w:val="it-IT"/>
        </w:rPr>
        <w:lastRenderedPageBreak/>
        <w:t xml:space="preserve">Singola </w:t>
      </w:r>
      <w:proofErr w:type="spellStart"/>
      <w:r w:rsidRPr="0003787D">
        <w:rPr>
          <w:b/>
          <w:i/>
          <w:lang w:val="it-IT"/>
        </w:rPr>
        <w:t>build</w:t>
      </w:r>
      <w:proofErr w:type="spellEnd"/>
      <w:r w:rsidRPr="0003787D">
        <w:rPr>
          <w:b/>
          <w:i/>
          <w:lang w:val="it-IT"/>
        </w:rPr>
        <w:t xml:space="preserve"> per </w:t>
      </w:r>
      <w:proofErr w:type="spellStart"/>
      <w:r w:rsidRPr="0003787D">
        <w:rPr>
          <w:b/>
          <w:i/>
          <w:lang w:val="it-IT"/>
        </w:rPr>
        <w:t>branch</w:t>
      </w:r>
      <w:proofErr w:type="spellEnd"/>
      <w:r w:rsidRPr="0003787D">
        <w:rPr>
          <w:b/>
          <w:i/>
          <w:lang w:val="it-IT"/>
        </w:rPr>
        <w:t xml:space="preserve"> multiple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Se si lavora con un controllo di codice sorgente centralizzato, ogni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ha un percorso differente nello spazio logico dei file, es:</w:t>
      </w:r>
    </w:p>
    <w:p w:rsidR="00790FAC" w:rsidRDefault="00790FAC" w:rsidP="00790FAC">
      <w:pPr>
        <w:pStyle w:val="ppCodeIndent"/>
      </w:pPr>
      <w:r w:rsidRPr="009E54CD">
        <w:t>$/</w:t>
      </w:r>
      <w:proofErr w:type="spellStart"/>
      <w:r w:rsidRPr="009E54CD">
        <w:t>MyProject</w:t>
      </w:r>
      <w:proofErr w:type="spellEnd"/>
      <w:r w:rsidRPr="009E54CD">
        <w:t>/</w:t>
      </w:r>
      <w:r w:rsidRPr="009E54CD">
        <w:rPr>
          <w:b/>
        </w:rPr>
        <w:t>Trunk</w:t>
      </w:r>
      <w:r w:rsidRPr="009E54CD">
        <w:t>/</w:t>
      </w:r>
      <w:proofErr w:type="spellStart"/>
      <w:r w:rsidRPr="009E54CD">
        <w:t>src</w:t>
      </w:r>
      <w:proofErr w:type="spellEnd"/>
      <w:r w:rsidRPr="009E54CD">
        <w:t>/MyProject.sln</w:t>
      </w:r>
      <w:r w:rsidRPr="009E54CD">
        <w:br/>
        <w:t>$/</w:t>
      </w:r>
      <w:proofErr w:type="spellStart"/>
      <w:r w:rsidRPr="009E54CD">
        <w:t>MyProject</w:t>
      </w:r>
      <w:proofErr w:type="spellEnd"/>
      <w:r w:rsidRPr="009E54CD">
        <w:t>/</w:t>
      </w:r>
      <w:r>
        <w:rPr>
          <w:b/>
        </w:rPr>
        <w:t>Branches/Release1</w:t>
      </w:r>
      <w:r w:rsidRPr="009E54CD">
        <w:t>/</w:t>
      </w:r>
      <w:proofErr w:type="spellStart"/>
      <w:r w:rsidRPr="009E54CD">
        <w:t>src</w:t>
      </w:r>
      <w:proofErr w:type="spellEnd"/>
      <w:r w:rsidRPr="009E54CD">
        <w:t>/MyProject.sln</w:t>
      </w:r>
      <w:r>
        <w:br/>
      </w:r>
      <w:r w:rsidRPr="009E54CD">
        <w:t>$/</w:t>
      </w:r>
      <w:proofErr w:type="spellStart"/>
      <w:r w:rsidRPr="009E54CD">
        <w:t>MyProject</w:t>
      </w:r>
      <w:proofErr w:type="spellEnd"/>
      <w:r w:rsidRPr="009E54CD">
        <w:t>/</w:t>
      </w:r>
      <w:r>
        <w:rPr>
          <w:b/>
        </w:rPr>
        <w:t>Branches/Release2</w:t>
      </w:r>
      <w:r w:rsidRPr="009E54CD">
        <w:t>/</w:t>
      </w:r>
      <w:proofErr w:type="spellStart"/>
      <w:r w:rsidRPr="009E54CD">
        <w:t>src</w:t>
      </w:r>
      <w:proofErr w:type="spellEnd"/>
      <w:r w:rsidRPr="009E54CD">
        <w:t>/MyProject.sln</w:t>
      </w:r>
      <w:r>
        <w:br/>
      </w:r>
      <w:r w:rsidRPr="009E54CD">
        <w:t>$/</w:t>
      </w:r>
      <w:proofErr w:type="spellStart"/>
      <w:r w:rsidRPr="009E54CD">
        <w:t>MyProject</w:t>
      </w:r>
      <w:proofErr w:type="spellEnd"/>
      <w:r w:rsidRPr="009E54CD">
        <w:t>/</w:t>
      </w:r>
      <w:r>
        <w:rPr>
          <w:b/>
        </w:rPr>
        <w:t>Dev</w:t>
      </w:r>
      <w:r w:rsidRPr="009E54CD">
        <w:t>/</w:t>
      </w:r>
      <w:proofErr w:type="spellStart"/>
      <w:r w:rsidRPr="009E54CD">
        <w:t>src</w:t>
      </w:r>
      <w:proofErr w:type="spellEnd"/>
      <w:r w:rsidRPr="009E54CD">
        <w:t>/MyProject.sln</w:t>
      </w:r>
    </w:p>
    <w:p w:rsidR="00790FAC" w:rsidRDefault="00790FAC" w:rsidP="00790FAC">
      <w:pPr>
        <w:pStyle w:val="ppBodyText"/>
        <w:rPr>
          <w:lang w:val="it-IT"/>
        </w:rPr>
      </w:pPr>
      <w:r w:rsidRPr="009E54CD">
        <w:rPr>
          <w:lang w:val="it-IT"/>
        </w:rPr>
        <w:t xml:space="preserve">In questo caso ho evidenziato in neretto la parte del percorso che identifica la </w:t>
      </w:r>
      <w:proofErr w:type="spellStart"/>
      <w:r w:rsidRPr="009E54CD">
        <w:rPr>
          <w:lang w:val="it-IT"/>
        </w:rPr>
        <w:t>branch</w:t>
      </w:r>
      <w:proofErr w:type="spellEnd"/>
      <w:r w:rsidRPr="009E54CD">
        <w:rPr>
          <w:lang w:val="it-IT"/>
        </w:rPr>
        <w:t xml:space="preserve"> logica, ma </w:t>
      </w:r>
      <w:r>
        <w:rPr>
          <w:lang w:val="it-IT"/>
        </w:rPr>
        <w:t xml:space="preserve">a livello di File System, tutte le </w:t>
      </w:r>
      <w:proofErr w:type="spellStart"/>
      <w:r>
        <w:rPr>
          <w:lang w:val="it-IT"/>
        </w:rPr>
        <w:t>solution</w:t>
      </w:r>
      <w:proofErr w:type="spellEnd"/>
      <w:r>
        <w:rPr>
          <w:lang w:val="it-IT"/>
        </w:rPr>
        <w:t xml:space="preserve"> hanno un percorso differente. Questa limitazione comporta la necessità di creare una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distinta per ogni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dato che nella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si deve specificare il percorso dei file di progetto / </w:t>
      </w:r>
      <w:proofErr w:type="spellStart"/>
      <w:r>
        <w:rPr>
          <w:lang w:val="it-IT"/>
        </w:rPr>
        <w:t>solution</w:t>
      </w:r>
      <w:proofErr w:type="spellEnd"/>
      <w:r>
        <w:rPr>
          <w:lang w:val="it-IT"/>
        </w:rPr>
        <w:t xml:space="preserve"> che si vuole utilizzare.</w:t>
      </w:r>
    </w:p>
    <w:p w:rsidR="00790FAC" w:rsidRDefault="00790FAC" w:rsidP="00790FAC">
      <w:pPr>
        <w:pStyle w:val="ppBodyText"/>
        <w:rPr>
          <w:b/>
          <w:lang w:val="it-IT"/>
        </w:rPr>
      </w:pPr>
      <w:r>
        <w:rPr>
          <w:lang w:val="it-IT"/>
        </w:rPr>
        <w:t xml:space="preserve">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, grazie al concetto precedente di </w:t>
      </w:r>
      <w:proofErr w:type="spellStart"/>
      <w:r>
        <w:rPr>
          <w:i/>
          <w:lang w:val="it-IT"/>
        </w:rPr>
        <w:t>Working</w:t>
      </w:r>
      <w:proofErr w:type="spellEnd"/>
      <w:r>
        <w:rPr>
          <w:i/>
          <w:lang w:val="it-IT"/>
        </w:rPr>
        <w:t xml:space="preserve"> Directory</w:t>
      </w:r>
      <w:r>
        <w:rPr>
          <w:lang w:val="it-IT"/>
        </w:rPr>
        <w:t xml:space="preserve">, i file hanno sempre lo stesso percorso, quindi una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è concettualmente valida per tutte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. Per evitare lavoro inutile, è comunque necessario specificare la lista delle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cui si vuole attivare 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. Nella figura sottostante è ad esempio rappresentata una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che viene eseguita per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  <w:r>
        <w:rPr>
          <w:b/>
          <w:lang w:val="it-IT"/>
        </w:rPr>
        <w:t>master</w:t>
      </w:r>
      <w:r>
        <w:rPr>
          <w:lang w:val="it-IT"/>
        </w:rPr>
        <w:t xml:space="preserve"> e per tutte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iniziano per </w:t>
      </w:r>
      <w:proofErr w:type="spellStart"/>
      <w:r>
        <w:rPr>
          <w:b/>
          <w:lang w:val="it-IT"/>
        </w:rPr>
        <w:t>feat</w:t>
      </w:r>
      <w:proofErr w:type="spellEnd"/>
      <w:r>
        <w:rPr>
          <w:b/>
          <w:lang w:val="it-IT"/>
        </w:rPr>
        <w:t>.</w:t>
      </w:r>
    </w:p>
    <w:p w:rsidR="00790FAC" w:rsidRPr="00D05B44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0650F14" wp14:editId="400025E4">
            <wp:extent cx="4647619" cy="26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Se si hanno più </w:t>
      </w:r>
      <w:proofErr w:type="spellStart"/>
      <w:r>
        <w:rPr>
          <w:lang w:val="it-IT"/>
        </w:rPr>
        <w:t>b</w:t>
      </w:r>
      <w:r w:rsidR="0030174F">
        <w:rPr>
          <w:lang w:val="it-IT"/>
        </w:rPr>
        <w:t>uild</w:t>
      </w:r>
      <w:proofErr w:type="spellEnd"/>
      <w:r w:rsidR="0030174F">
        <w:rPr>
          <w:lang w:val="it-IT"/>
        </w:rPr>
        <w:t xml:space="preserve"> con forti personalizzazioni</w:t>
      </w:r>
      <w:r>
        <w:rPr>
          <w:lang w:val="it-IT"/>
        </w:rPr>
        <w:t xml:space="preserve">, il poter avere una singola definizione da utilizzare per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multiple è una funzionalità decisamente accattivante.</w:t>
      </w:r>
    </w:p>
    <w:p w:rsidR="00790FAC" w:rsidRDefault="00790FAC" w:rsidP="00790FAC">
      <w:pPr>
        <w:pStyle w:val="Heading2"/>
        <w:rPr>
          <w:lang w:val="it-IT"/>
        </w:rPr>
      </w:pPr>
      <w:r>
        <w:rPr>
          <w:lang w:val="it-IT"/>
        </w:rPr>
        <w:t xml:space="preserve">Strategie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avanzate –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feature</w:t>
      </w:r>
      <w:proofErr w:type="spellEnd"/>
    </w:p>
    <w:p w:rsidR="00790FAC" w:rsidRDefault="00790FAC" w:rsidP="00790FAC">
      <w:pPr>
        <w:pStyle w:val="ppBodyText"/>
        <w:rPr>
          <w:lang w:val="it-IT"/>
        </w:rPr>
      </w:pPr>
      <w:r w:rsidRPr="0003787D">
        <w:rPr>
          <w:b/>
          <w:lang w:val="it-IT"/>
        </w:rPr>
        <w:t xml:space="preserve">Le due differenze appena elencate permettono di superare le tradizionali difficoltà che si incontrano nell’adottare la strategia: </w:t>
      </w:r>
      <w:proofErr w:type="spellStart"/>
      <w:r w:rsidRPr="0003787D">
        <w:rPr>
          <w:b/>
          <w:i/>
          <w:lang w:val="it-IT"/>
        </w:rPr>
        <w:t>branch</w:t>
      </w:r>
      <w:proofErr w:type="spellEnd"/>
      <w:r w:rsidRPr="0003787D">
        <w:rPr>
          <w:b/>
          <w:i/>
          <w:lang w:val="it-IT"/>
        </w:rPr>
        <w:t xml:space="preserve"> per </w:t>
      </w:r>
      <w:proofErr w:type="spellStart"/>
      <w:r w:rsidRPr="0003787D">
        <w:rPr>
          <w:b/>
          <w:i/>
          <w:lang w:val="it-IT"/>
        </w:rPr>
        <w:t>feature</w:t>
      </w:r>
      <w:proofErr w:type="spellEnd"/>
      <w:r>
        <w:rPr>
          <w:lang w:val="it-IT"/>
        </w:rPr>
        <w:t xml:space="preserve">. In questo modello, ogni nuova funzionalità del software viene sviluppata in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isolata, portando i seguenti vantaggi: </w:t>
      </w:r>
    </w:p>
    <w:p w:rsidR="00790FAC" w:rsidRDefault="00790FAC" w:rsidP="002839A7">
      <w:pPr>
        <w:pStyle w:val="ppBulletList"/>
        <w:rPr>
          <w:lang w:val="it-IT"/>
        </w:rPr>
      </w:pPr>
      <w:r>
        <w:rPr>
          <w:lang w:val="it-IT"/>
        </w:rPr>
        <w:t>Ogni funzionalità è sviluppata in completo isolamento dalle altre</w:t>
      </w:r>
    </w:p>
    <w:p w:rsidR="00790FAC" w:rsidRDefault="00790FAC" w:rsidP="002839A7">
      <w:pPr>
        <w:pStyle w:val="ppBulletList"/>
        <w:rPr>
          <w:lang w:val="it-IT"/>
        </w:rPr>
      </w:pPr>
      <w:r>
        <w:rPr>
          <w:lang w:val="it-IT"/>
        </w:rPr>
        <w:t xml:space="preserve">Si può decidere per ogni singola funzionalità quando reintegrarla con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originale</w:t>
      </w:r>
    </w:p>
    <w:p w:rsidR="00790FAC" w:rsidRDefault="00790FAC" w:rsidP="002839A7">
      <w:pPr>
        <w:pStyle w:val="ppBulletList"/>
        <w:rPr>
          <w:lang w:val="it-IT"/>
        </w:rPr>
      </w:pPr>
      <w:r>
        <w:rPr>
          <w:lang w:val="it-IT"/>
        </w:rPr>
        <w:t xml:space="preserve">È molto adatta </w:t>
      </w:r>
      <w:r w:rsidR="002839A7">
        <w:rPr>
          <w:lang w:val="it-IT"/>
        </w:rPr>
        <w:t xml:space="preserve">all’uso </w:t>
      </w:r>
      <w:r>
        <w:rPr>
          <w:lang w:val="it-IT"/>
        </w:rPr>
        <w:t>con SCRUM e con metodologie agili</w:t>
      </w:r>
    </w:p>
    <w:p w:rsidR="002839A7" w:rsidRDefault="002839A7" w:rsidP="002839A7">
      <w:pPr>
        <w:pStyle w:val="ppListEnd"/>
        <w:rPr>
          <w:lang w:val="it-IT"/>
        </w:rPr>
      </w:pP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Ad esempio, se a fine Sprint il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 decide che solamente 4 dei 5 PBI sono completi, si può procedere con il reintegro delle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corrispondenti, lasciando la funzionalità non ancora completata </w:t>
      </w:r>
      <w:r>
        <w:rPr>
          <w:lang w:val="it-IT"/>
        </w:rPr>
        <w:lastRenderedPageBreak/>
        <w:t xml:space="preserve">nella sua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sviluppo. In questo modo si può promuovere solamente il codice relativo alle funzionalità che sono realmente completate.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Se il Product Manager decide che una certa funzionalità è pronta per il beta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, si può promuoverla in autonomia per la distribuzione ai beta-tester, senza preoccuparsi se altre funzionalità sono in stato incompleto e potrebbero rendere il software instabile. 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Nei sistemi classici l’adozione di questa strategia è molto difficoltosa, il rischio è quello di perdere molto tempo ad effettuare merge del codice, oltre che avere una proliferazione di cartelle tutte identiche nel proprio source control. Grazie a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anche il rischio di merge complesse è decisamente mitigato. Ad esempio, grazie alla definizione di una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accurata di controllo, si può conoscere in ogni momento lo stato di ogni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 Questo significa che per ogni funzionalità si può sapere se:</w:t>
      </w:r>
    </w:p>
    <w:p w:rsidR="00790FAC" w:rsidRDefault="00790FAC" w:rsidP="00B569F1">
      <w:pPr>
        <w:pStyle w:val="ppBulletList"/>
        <w:rPr>
          <w:lang w:val="it-IT"/>
        </w:rPr>
      </w:pPr>
      <w:r w:rsidRPr="003C5FB1">
        <w:rPr>
          <w:lang w:val="it-IT"/>
        </w:rPr>
        <w:t>Compila</w:t>
      </w:r>
    </w:p>
    <w:p w:rsidR="00790FAC" w:rsidRDefault="00790FAC" w:rsidP="00B569F1">
      <w:pPr>
        <w:pStyle w:val="ppBulletList"/>
        <w:rPr>
          <w:lang w:val="it-IT"/>
        </w:rPr>
      </w:pPr>
      <w:r>
        <w:rPr>
          <w:lang w:val="it-IT"/>
        </w:rPr>
        <w:t>Tutti i test sono OK</w:t>
      </w:r>
    </w:p>
    <w:p w:rsidR="00790FAC" w:rsidRDefault="00790FAC" w:rsidP="00B569F1">
      <w:pPr>
        <w:pStyle w:val="ppBulletList"/>
        <w:rPr>
          <w:lang w:val="it-IT"/>
        </w:rPr>
      </w:pP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automatico su server di test OK (verifica procedure di rilascio)</w:t>
      </w:r>
    </w:p>
    <w:p w:rsidR="00790FAC" w:rsidRDefault="00790FAC" w:rsidP="00B569F1">
      <w:pPr>
        <w:pStyle w:val="ppBulletList"/>
        <w:rPr>
          <w:lang w:val="it-IT"/>
        </w:rPr>
      </w:pPr>
      <w:r>
        <w:rPr>
          <w:lang w:val="it-IT"/>
        </w:rPr>
        <w:t>Etc.</w:t>
      </w:r>
    </w:p>
    <w:p w:rsidR="00B569F1" w:rsidRDefault="00B569F1" w:rsidP="00B569F1">
      <w:pPr>
        <w:pStyle w:val="ppListEnd"/>
        <w:rPr>
          <w:lang w:val="it-IT"/>
        </w:rPr>
      </w:pP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>Questo vi permette di capire se una funzionalità è pronta o meno per essere reintegrata.</w:t>
      </w:r>
    </w:p>
    <w:p w:rsidR="00790FAC" w:rsidRDefault="00790FAC" w:rsidP="00790FAC">
      <w:pPr>
        <w:pStyle w:val="Heading2"/>
        <w:rPr>
          <w:lang w:val="it-IT"/>
        </w:rPr>
      </w:pPr>
      <w:r>
        <w:rPr>
          <w:lang w:val="it-IT"/>
        </w:rPr>
        <w:t xml:space="preserve">Merge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monitor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Il problema maggiore utilizzando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è avere troppi conflitti durante il reintegro. L’unica soluzione per ridurre questo rischio, è </w:t>
      </w:r>
      <w:r w:rsidR="00B569F1">
        <w:rPr>
          <w:lang w:val="it-IT"/>
        </w:rPr>
        <w:t xml:space="preserve">di </w:t>
      </w:r>
      <w:r>
        <w:rPr>
          <w:lang w:val="it-IT"/>
        </w:rPr>
        <w:t xml:space="preserve">effettuare periodiche operazioni di </w:t>
      </w:r>
      <w:proofErr w:type="spellStart"/>
      <w:r>
        <w:rPr>
          <w:lang w:val="it-IT"/>
        </w:rPr>
        <w:t>forward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, ovvero portare le modifiche dalla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principale alle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delle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>. In questo modo le eventuali modifiche (</w:t>
      </w:r>
      <w:proofErr w:type="spellStart"/>
      <w:r>
        <w:rPr>
          <w:lang w:val="it-IT"/>
        </w:rPr>
        <w:t>bugfix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rientrate,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 della master, </w:t>
      </w:r>
      <w:proofErr w:type="spellStart"/>
      <w:r>
        <w:rPr>
          <w:lang w:val="it-IT"/>
        </w:rPr>
        <w:t>commitate</w:t>
      </w:r>
      <w:proofErr w:type="spellEnd"/>
      <w:r>
        <w:rPr>
          <w:lang w:val="it-IT"/>
        </w:rPr>
        <w:t xml:space="preserve"> dopo che una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è nata, vengono reintegrate a piccoli blocchi. 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È fondamentale capire infatti che le operazioni di merge sono più difficili tanto più tempo passa tra la scrittura del codice e la merge stessa. La domanda principale diventa quindi: </w:t>
      </w:r>
      <w:r>
        <w:rPr>
          <w:i/>
          <w:lang w:val="it-IT"/>
        </w:rPr>
        <w:t xml:space="preserve">ogni quanto effettuare la </w:t>
      </w:r>
      <w:proofErr w:type="spellStart"/>
      <w:r>
        <w:rPr>
          <w:i/>
          <w:lang w:val="it-IT"/>
        </w:rPr>
        <w:t>forward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integration</w:t>
      </w:r>
      <w:proofErr w:type="spellEnd"/>
      <w:r>
        <w:rPr>
          <w:i/>
          <w:lang w:val="it-IT"/>
        </w:rPr>
        <w:t xml:space="preserve"> tra la master e le varie </w:t>
      </w:r>
      <w:proofErr w:type="spellStart"/>
      <w:r>
        <w:rPr>
          <w:i/>
          <w:lang w:val="it-IT"/>
        </w:rPr>
        <w:t>feature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branches</w:t>
      </w:r>
      <w:proofErr w:type="spellEnd"/>
      <w:r>
        <w:rPr>
          <w:i/>
          <w:lang w:val="it-IT"/>
        </w:rPr>
        <w:t>.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Dato che 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di TFS può essere facilmente personalizzata con script, non è difficile scrivere un piccolo script </w:t>
      </w:r>
      <w:proofErr w:type="spellStart"/>
      <w:r>
        <w:rPr>
          <w:lang w:val="it-IT"/>
        </w:rPr>
        <w:t>powershell</w:t>
      </w:r>
      <w:proofErr w:type="spellEnd"/>
      <w:r>
        <w:rPr>
          <w:lang w:val="it-IT"/>
        </w:rPr>
        <w:t xml:space="preserve"> che, prima di effettuare 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dei sorgenti, ma dopo avere recuperato l’ultima versione, tenta di effettuare un merge utilizzando direttamente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 riga di comando. Il risultato è una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che è in grado di dirvi in maniera automatica se la </w:t>
      </w:r>
      <w:proofErr w:type="spellStart"/>
      <w:r>
        <w:rPr>
          <w:lang w:val="it-IT"/>
        </w:rPr>
        <w:t>forward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 tra la master e la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, genera conflitti o no.</w:t>
      </w:r>
    </w:p>
    <w:p w:rsidR="00790FAC" w:rsidRPr="005451BA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0BA7B70" wp14:editId="6D1E5738">
            <wp:extent cx="6120130" cy="4508667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In questo modo, ad ogni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di codice sulla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verrà effettuato un controllo ed il team può essere immediatamente avvertito quando un incremento di codice genera conflitti con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origine. In questo modo il team </w:t>
      </w:r>
      <w:r>
        <w:rPr>
          <w:i/>
          <w:lang w:val="it-IT"/>
        </w:rPr>
        <w:t>può immediatamente effettuare il merge quando le modifiche effettuate sono ancora fresche nella mente degli sviluppatori</w:t>
      </w:r>
      <w:r>
        <w:rPr>
          <w:lang w:val="it-IT"/>
        </w:rPr>
        <w:t>.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L’aspetto interessante è che, nel caso la merge riesca senza conflitti, 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prosegue, </w:t>
      </w:r>
      <w:r>
        <w:rPr>
          <w:b/>
          <w:lang w:val="it-IT"/>
        </w:rPr>
        <w:t>operando sul codice risultato della merge</w:t>
      </w:r>
      <w:r>
        <w:rPr>
          <w:lang w:val="it-IT"/>
        </w:rPr>
        <w:t xml:space="preserve">. È infatti possibile che la merge non dia conflitti, ma il codice risultato della merge automatica non compili nemmeno. Un caso tipico è la presenza di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di </w:t>
      </w:r>
      <w:r w:rsidR="00B569F1">
        <w:rPr>
          <w:lang w:val="it-IT"/>
        </w:rPr>
        <w:t xml:space="preserve">tipo </w:t>
      </w:r>
      <w:proofErr w:type="spellStart"/>
      <w:r>
        <w:rPr>
          <w:lang w:val="it-IT"/>
        </w:rPr>
        <w:t>rename</w:t>
      </w:r>
      <w:proofErr w:type="spellEnd"/>
      <w:r>
        <w:rPr>
          <w:lang w:val="it-IT"/>
        </w:rPr>
        <w:t xml:space="preserve"> nella </w:t>
      </w:r>
      <w:proofErr w:type="spellStart"/>
      <w:r w:rsidR="00B569F1">
        <w:rPr>
          <w:lang w:val="it-IT"/>
        </w:rPr>
        <w:t>branch</w:t>
      </w:r>
      <w:proofErr w:type="spellEnd"/>
      <w:r w:rsidR="00B569F1">
        <w:rPr>
          <w:lang w:val="it-IT"/>
        </w:rPr>
        <w:t xml:space="preserve"> </w:t>
      </w:r>
      <w:r>
        <w:rPr>
          <w:lang w:val="it-IT"/>
        </w:rPr>
        <w:t xml:space="preserve">master su classi che sono utilizzate anche dal nuovo codice della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4004EFE3" wp14:editId="1873AAB7">
            <wp:extent cx="6120130" cy="4078175"/>
            <wp:effectExtent l="0" t="0" r="0" b="0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AC" w:rsidRPr="007C5DAB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Se il codice compila verranno poi comunque eseguiti gli Unit Test e tutte le altre procedure di controllo impostate nella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. Una volta terminata, il risultato può anche essere utilizzato tramite Release Management per effettuare il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su di un server di test. </w:t>
      </w:r>
      <w:r>
        <w:rPr>
          <w:i/>
          <w:lang w:val="it-IT"/>
        </w:rPr>
        <w:t xml:space="preserve">Ricordate che in questo caso state testando </w:t>
      </w:r>
      <w:r>
        <w:rPr>
          <w:b/>
          <w:i/>
          <w:lang w:val="it-IT"/>
        </w:rPr>
        <w:t xml:space="preserve">il risultato della merge automatica tra la </w:t>
      </w:r>
      <w:proofErr w:type="spellStart"/>
      <w:r>
        <w:rPr>
          <w:b/>
          <w:i/>
          <w:lang w:val="it-IT"/>
        </w:rPr>
        <w:t>branch</w:t>
      </w:r>
      <w:proofErr w:type="spellEnd"/>
      <w:r>
        <w:rPr>
          <w:b/>
          <w:i/>
          <w:lang w:val="it-IT"/>
        </w:rPr>
        <w:t xml:space="preserve"> di partenza e la vostra </w:t>
      </w:r>
      <w:proofErr w:type="spellStart"/>
      <w:r>
        <w:rPr>
          <w:b/>
          <w:i/>
          <w:lang w:val="it-IT"/>
        </w:rPr>
        <w:t>feature</w:t>
      </w:r>
      <w:proofErr w:type="spellEnd"/>
      <w:r>
        <w:rPr>
          <w:b/>
          <w:i/>
          <w:lang w:val="it-IT"/>
        </w:rPr>
        <w:t xml:space="preserve"> </w:t>
      </w:r>
      <w:proofErr w:type="spellStart"/>
      <w:r>
        <w:rPr>
          <w:b/>
          <w:i/>
          <w:lang w:val="it-IT"/>
        </w:rPr>
        <w:t>branch</w:t>
      </w:r>
      <w:proofErr w:type="spellEnd"/>
      <w:r>
        <w:rPr>
          <w:b/>
          <w:i/>
          <w:lang w:val="it-IT"/>
        </w:rPr>
        <w:t xml:space="preserve">. 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Grazie a questa “rete di salvataggio” si possono ridurre fortemente i rischi di merge complesse, e si può reagire in maniera immediata appena si presentano conflitti o problemi dovuti alla divergenza tra le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origine.</w:t>
      </w:r>
    </w:p>
    <w:p w:rsidR="00790FAC" w:rsidRDefault="00790FAC" w:rsidP="00790FAC">
      <w:pPr>
        <w:pStyle w:val="Heading2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Flow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La strategia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è cosi utilizzata che, nel corso degli anni, una sua versione ancora più strutturata ha preso piede nella community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; stiamo parlando di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(</w:t>
      </w:r>
      <w:hyperlink r:id="rId10" w:history="1">
        <w:r w:rsidRPr="006427DC">
          <w:rPr>
            <w:rStyle w:val="Hyperlink"/>
            <w:lang w:val="it-IT"/>
          </w:rPr>
          <w:t>http://nvie.com/posts/a-successful-git-branching-model/</w:t>
        </w:r>
      </w:hyperlink>
      <w:r>
        <w:rPr>
          <w:lang w:val="it-IT"/>
        </w:rPr>
        <w:t>). Non mi addentrerò in questo articolo in una spiegazione dettagliata, ma vi rimando al link precedente per una spiegazione completa sulla sua implementazione.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Questa strategia ha una base di adozione molto grande, tanto che è possibile trovare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per quasi ogni strumento di sviluppo e Visual Studio non fa eccezione; potete infatti scaricare una estensione per supportare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direttamente dalla Gallery delle estensioni a questo indirizzo: </w:t>
      </w:r>
      <w:hyperlink r:id="rId11" w:history="1">
        <w:r w:rsidRPr="006427DC">
          <w:rPr>
            <w:rStyle w:val="Hyperlink"/>
            <w:lang w:val="it-IT"/>
          </w:rPr>
          <w:t>http://tinyurl.com/VsGitFlow</w:t>
        </w:r>
      </w:hyperlink>
      <w:r>
        <w:rPr>
          <w:lang w:val="it-IT"/>
        </w:rPr>
        <w:t xml:space="preserve"> 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>Questa estensione si integra in maniera semplice con i vari menu del Team Explorer, fondendosi naturalmente con tutti gli altri comandi supportati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2868DA64" wp14:editId="598EF2BD">
            <wp:extent cx="3114286" cy="1761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Dopo la prima installazione, se tentate di utilizzare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vi verrà proposto di installare gli script necessari in maniera automatica. Una volta installato, per ogni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potete inizializzare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specificando la vostra nomenclatura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C031047" wp14:editId="7C9468E7">
            <wp:extent cx="3276190" cy="267619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Dopo l’inizializzazione appare il menù con le azioni disponibili per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>.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4896272" wp14:editId="0592AB6D">
            <wp:extent cx="3266667" cy="14571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Ad esempio si può iniziare una </w:t>
      </w:r>
      <w:proofErr w:type="spellStart"/>
      <w:r>
        <w:rPr>
          <w:lang w:val="it-IT"/>
        </w:rPr>
        <w:t>Feature</w:t>
      </w:r>
      <w:proofErr w:type="spellEnd"/>
    </w:p>
    <w:p w:rsidR="00790FAC" w:rsidRPr="00E7469F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6C7194F" wp14:editId="7F22EC0C">
            <wp:extent cx="3285714" cy="13809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lastRenderedPageBreak/>
        <w:t xml:space="preserve">Una volta iniziata una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, potete visualizzarla direttamente nella lista delle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 correnti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79C68E54" wp14:editId="514F2407">
            <wp:extent cx="3247619" cy="1619048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Dietro le quinte vengono utilizzate le normali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, ma grazie a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è possibile mantenere una nomenclatura consistente e guidare gli utenti meno esperti nella corretta adozione di una struttura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comune e condivisa, evitando che il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possa andare fuori controllo se utilizzato da persone inesperte.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>Se si vuole essere sicuri</w:t>
      </w:r>
      <w:r w:rsidR="0079349E">
        <w:rPr>
          <w:lang w:val="it-IT"/>
        </w:rPr>
        <w:t>,</w:t>
      </w:r>
      <w:r>
        <w:rPr>
          <w:lang w:val="it-IT"/>
        </w:rPr>
        <w:t xml:space="preserve"> si può verificare nel menu standard delle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le operazioni di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non fanno altro che creare normali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.</w:t>
      </w:r>
    </w:p>
    <w:p w:rsidR="00790FAC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425EF97" wp14:editId="1E6565E6">
            <wp:extent cx="3285714" cy="2609524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Default="00790FAC" w:rsidP="00790FAC">
      <w:pPr>
        <w:pStyle w:val="ppBodyText"/>
        <w:rPr>
          <w:i/>
          <w:lang w:val="it-IT"/>
        </w:rPr>
      </w:pPr>
      <w:r>
        <w:rPr>
          <w:lang w:val="it-IT"/>
        </w:rPr>
        <w:t xml:space="preserve">Altro aspetto interessante è che il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di Visual Studio non re-implementa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, ma bensì installa e configura le estensioni standard realizzate per la riga di comando di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. Questo significa che se preferite lavorare a riga di comando, potete tranquillamente utilizzare </w:t>
      </w:r>
      <w:proofErr w:type="spellStart"/>
      <w:r>
        <w:rPr>
          <w:lang w:val="it-IT"/>
        </w:rPr>
        <w:t>GitFlow</w:t>
      </w:r>
      <w:proofErr w:type="spellEnd"/>
      <w:r>
        <w:rPr>
          <w:lang w:val="it-IT"/>
        </w:rPr>
        <w:t xml:space="preserve"> nella vostra </w:t>
      </w:r>
      <w:proofErr w:type="spellStart"/>
      <w:r>
        <w:rPr>
          <w:lang w:val="it-IT"/>
        </w:rPr>
        <w:t>bash</w:t>
      </w:r>
      <w:proofErr w:type="spellEnd"/>
      <w:r>
        <w:rPr>
          <w:lang w:val="it-IT"/>
        </w:rPr>
        <w:t xml:space="preserve">. Per conoscere i comandi basta scrivere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flow help.</w:t>
      </w:r>
    </w:p>
    <w:p w:rsidR="00790FAC" w:rsidRPr="00E7469F" w:rsidRDefault="00790FAC" w:rsidP="004B0E23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3302ED91" wp14:editId="12609252">
            <wp:extent cx="6028571" cy="210476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C" w:rsidRPr="00F648DE" w:rsidRDefault="00790FAC" w:rsidP="00790FAC">
      <w:pPr>
        <w:pStyle w:val="ppBodyText"/>
        <w:rPr>
          <w:lang w:val="it-IT"/>
        </w:rPr>
      </w:pPr>
    </w:p>
    <w:p w:rsidR="00790FAC" w:rsidRDefault="00790FAC" w:rsidP="00790FAC">
      <w:pPr>
        <w:pStyle w:val="Heading2"/>
        <w:rPr>
          <w:lang w:val="it-IT"/>
        </w:rPr>
      </w:pPr>
      <w:r>
        <w:rPr>
          <w:lang w:val="it-IT"/>
        </w:rPr>
        <w:t>Conclusioni</w:t>
      </w:r>
    </w:p>
    <w:p w:rsidR="00790FAC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Grazie al modello di branching nativo offerto in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è possibile adottare strategie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avanzate, come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Feature</w:t>
      </w:r>
      <w:proofErr w:type="spellEnd"/>
      <w:r>
        <w:rPr>
          <w:lang w:val="it-IT"/>
        </w:rPr>
        <w:t xml:space="preserve">, riducendo di molto i rischi che si hanno utilizzando i modelli classici. Questo comporta, nel caso abbiate deciso di adottare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in un progetto, una nuova analisi sui modelli di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adottati, in modo da poter sfruttare al meglio la potenza dello strumento.</w:t>
      </w:r>
    </w:p>
    <w:p w:rsidR="004B0E23" w:rsidRDefault="004B0E23" w:rsidP="00790FAC">
      <w:pPr>
        <w:pStyle w:val="ppBodyText"/>
        <w:rPr>
          <w:lang w:val="it-IT"/>
        </w:rPr>
      </w:pPr>
    </w:p>
    <w:p w:rsidR="004B0E23" w:rsidRDefault="004B0E23" w:rsidP="00790FAC">
      <w:pPr>
        <w:pStyle w:val="ppBodyText"/>
        <w:rPr>
          <w:lang w:val="it-IT"/>
        </w:rPr>
      </w:pPr>
    </w:p>
    <w:p w:rsidR="00790FAC" w:rsidRPr="007C5DAB" w:rsidRDefault="00790FAC" w:rsidP="00790FAC">
      <w:pPr>
        <w:pStyle w:val="ppBodyText"/>
        <w:rPr>
          <w:lang w:val="it-IT"/>
        </w:rPr>
      </w:pPr>
      <w:r>
        <w:rPr>
          <w:lang w:val="it-IT"/>
        </w:rPr>
        <w:t xml:space="preserve"> </w:t>
      </w:r>
    </w:p>
    <w:p w:rsidR="004B0E23" w:rsidRDefault="004B0E23" w:rsidP="004B0E23">
      <w:pPr>
        <w:pStyle w:val="Heading4"/>
        <w:spacing w:after="60"/>
        <w:rPr>
          <w:rFonts w:ascii="Verdana" w:hAnsi="Verdana"/>
          <w:color w:val="000000"/>
          <w:sz w:val="19"/>
          <w:szCs w:val="19"/>
          <w:lang w:val="it-IT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hyperlink r:id="rId19" w:history="1">
        <w:r w:rsidRPr="00BD7FB8">
          <w:rPr>
            <w:rStyle w:val="Hyperlink"/>
            <w:rFonts w:ascii="Verdana" w:hAnsi="Verdana"/>
            <w:sz w:val="19"/>
            <w:szCs w:val="19"/>
            <w:lang w:val="it-IT"/>
          </w:rPr>
          <w:t>Gian Maria Ricci</w:t>
        </w:r>
      </w:hyperlink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:rsidR="00E629B0" w:rsidRDefault="00E629B0" w:rsidP="00DE1317">
      <w:pPr>
        <w:pStyle w:val="ppBodyText"/>
        <w:rPr>
          <w:lang w:val="it-IT"/>
        </w:rPr>
      </w:pPr>
      <w:bookmarkStart w:id="0" w:name="_GoBack"/>
    </w:p>
    <w:p w:rsidR="004B0E23" w:rsidRDefault="004B0E23" w:rsidP="00DE1317">
      <w:pPr>
        <w:pStyle w:val="ppBodyText"/>
        <w:rPr>
          <w:lang w:val="it-IT"/>
        </w:rPr>
      </w:pPr>
    </w:p>
    <w:p w:rsidR="004B0E23" w:rsidRDefault="004B0E23" w:rsidP="00DE1317">
      <w:pPr>
        <w:pStyle w:val="ppBodyText"/>
        <w:rPr>
          <w:lang w:val="it-IT"/>
        </w:rPr>
      </w:pPr>
    </w:p>
    <w:p w:rsidR="004B0E23" w:rsidRDefault="004B0E23" w:rsidP="00DE1317">
      <w:pPr>
        <w:pStyle w:val="ppBodyText"/>
        <w:rPr>
          <w:lang w:val="it-IT"/>
        </w:rPr>
      </w:pPr>
    </w:p>
    <w:bookmarkEnd w:id="0"/>
    <w:p w:rsidR="004B0E23" w:rsidRPr="00790FAC" w:rsidRDefault="004B0E23" w:rsidP="00DE1317">
      <w:pPr>
        <w:pStyle w:val="ppBodyText"/>
        <w:rPr>
          <w:lang w:val="it-IT"/>
        </w:rPr>
      </w:pPr>
    </w:p>
    <w:sectPr w:rsidR="004B0E23" w:rsidRPr="00790F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 w15:restartNumberingAfterBreak="0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 w15:restartNumberingAfterBreak="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25A3C76"/>
    <w:multiLevelType w:val="hybridMultilevel"/>
    <w:tmpl w:val="70A85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4033821"/>
    <w:multiLevelType w:val="hybridMultilevel"/>
    <w:tmpl w:val="FF3A0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59B717F4"/>
    <w:multiLevelType w:val="hybridMultilevel"/>
    <w:tmpl w:val="43A81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2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3" w15:restartNumberingAfterBreak="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5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7B"/>
    <w:rsid w:val="002839A7"/>
    <w:rsid w:val="0030174F"/>
    <w:rsid w:val="00334AA1"/>
    <w:rsid w:val="004B0E23"/>
    <w:rsid w:val="00790FAC"/>
    <w:rsid w:val="0079349E"/>
    <w:rsid w:val="008253CF"/>
    <w:rsid w:val="008B6A05"/>
    <w:rsid w:val="00B569F1"/>
    <w:rsid w:val="00D5277B"/>
    <w:rsid w:val="00DE1317"/>
    <w:rsid w:val="00E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A1572-2BE4-49CA-9DF9-298CE63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90FAC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90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90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90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90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0F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90F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paragraph" w:customStyle="1" w:styleId="ppBodyText">
    <w:name w:val="pp Body Text"/>
    <w:qFormat/>
    <w:rsid w:val="00790FAC"/>
    <w:pPr>
      <w:spacing w:after="120" w:line="276" w:lineRule="auto"/>
    </w:pPr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790F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790FAC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90FAC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Indent">
    <w:name w:val="pp Body Text Indent"/>
    <w:basedOn w:val="ppBodyText"/>
    <w:rsid w:val="00790FAC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90FAC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90FAC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790FAC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790FAC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90FAC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90FAC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90FAC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90FAC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90FAC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90FAC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90FAC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90FAC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90FAC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90FAC"/>
    <w:pPr>
      <w:numPr>
        <w:ilvl w:val="1"/>
        <w:numId w:val="10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90FAC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90FAC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90FAC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90FAC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90FAC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90FAC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90FAC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90FAC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90FAC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90FAC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90FAC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790FAC"/>
    <w:pPr>
      <w:numPr>
        <w:ilvl w:val="0"/>
        <w:numId w:val="23"/>
      </w:numPr>
      <w:ind w:left="426" w:hanging="284"/>
    </w:pPr>
  </w:style>
  <w:style w:type="paragraph" w:customStyle="1" w:styleId="ppNoteIndent">
    <w:name w:val="pp Note Indent"/>
    <w:basedOn w:val="ppNote"/>
    <w:rsid w:val="00790FA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90FAC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90FAC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90FAC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90FAC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90FAC"/>
    <w:rPr>
      <w:color w:val="333399"/>
    </w:rPr>
  </w:style>
  <w:style w:type="table" w:customStyle="1" w:styleId="ppTableGrid">
    <w:name w:val="pp Table Grid"/>
    <w:basedOn w:val="ppTableList"/>
    <w:rsid w:val="00790FAC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90FAC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90FAC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90FAC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90FAC"/>
  </w:style>
  <w:style w:type="table" w:styleId="TableGrid">
    <w:name w:val="Table Grid"/>
    <w:basedOn w:val="TableNormal"/>
    <w:rsid w:val="00790FAC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90FA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0FAC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90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FA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FAC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90FAC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90FA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F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90F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AC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90FA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90FAC"/>
    <w:pPr>
      <w:spacing w:after="24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90FAC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90FAC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790FAC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90FAC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90FAC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90FAC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90FAC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90FAC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90FAC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90FAC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90FAC"/>
  </w:style>
  <w:style w:type="character" w:customStyle="1" w:styleId="BodyTextChar">
    <w:name w:val="Body Text Char"/>
    <w:basedOn w:val="DefaultParagraphFont"/>
    <w:link w:val="BodyText"/>
    <w:semiHidden/>
    <w:rsid w:val="00790FAC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90FAC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90FAC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90FAC"/>
    <w:pPr>
      <w:ind w:left="2580"/>
    </w:pPr>
  </w:style>
  <w:style w:type="character" w:styleId="FollowedHyperlink">
    <w:name w:val="FollowedHyperlink"/>
    <w:basedOn w:val="DefaultParagraphFont"/>
    <w:uiPriority w:val="99"/>
    <w:semiHidden/>
    <w:unhideWhenUsed/>
    <w:rsid w:val="00793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inyurl.com/VsGitFlo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nvie.com/posts/a-successful-git-branching-model/" TargetMode="External"/><Relationship Id="rId19" Type="http://schemas.openxmlformats.org/officeDocument/2006/relationships/hyperlink" Target="http://mvp.microsoft.com/en-us/mvp/Gian%20Maria%20Ricci-40256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E488B-B955-48FE-B041-C8C3BF21460C}"/>
      </w:docPartPr>
      <w:docPartBody>
        <w:p w:rsidR="00952AF0" w:rsidRDefault="00524553">
          <w:r w:rsidRPr="009923A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53"/>
    <w:rsid w:val="00524553"/>
    <w:rsid w:val="006776F8"/>
    <w:rsid w:val="008F7D50"/>
    <w:rsid w:val="00952AF0"/>
    <w:rsid w:val="00D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7 5 a 6 4 3 5 e - c 3 c 7 - 4 7 4 c - a 4 8 d - c 3 d b 8 e 2 6 c 8 2 e "   t i t l e = " B r a n c h   p e r   f e a t u r e   i n   G i t "   s t y l e = " T o p i c " / >  
 < / t o c > 
</file>

<file path=customXml/itemProps1.xml><?xml version="1.0" encoding="utf-8"?>
<ds:datastoreItem xmlns:ds="http://schemas.openxmlformats.org/officeDocument/2006/customXml" ds:itemID="{88784507-5F80-439A-8766-0FA1C251A6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55</TotalTime>
  <Pages>8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9</cp:revision>
  <dcterms:created xsi:type="dcterms:W3CDTF">2015-05-22T10:16:00Z</dcterms:created>
  <dcterms:modified xsi:type="dcterms:W3CDTF">2015-05-22T11:16:00Z</dcterms:modified>
</cp:coreProperties>
</file>