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it-IT"/>
        </w:rPr>
        <w:alias w:val="Topic"/>
        <w:tag w:val="f979fccc-e3f5-451e-81de-2e15e92f56fb"/>
        <w:id w:val="-2052459155"/>
        <w:placeholder>
          <w:docPart w:val="DefaultPlaceholder_1082065158"/>
        </w:placeholder>
        <w:text/>
      </w:sdtPr>
      <w:sdtEndPr/>
      <w:sdtContent>
        <w:p w:rsidR="00BC62E1" w:rsidRDefault="00BC62E1" w:rsidP="00BC62E1">
          <w:pPr>
            <w:pStyle w:val="ppTopic"/>
            <w:rPr>
              <w:lang w:val="it-IT"/>
            </w:rPr>
          </w:pPr>
          <w:r w:rsidRPr="00BC62E1">
            <w:rPr>
              <w:lang w:val="it-IT"/>
            </w:rPr>
            <w:t>Migrazioni con la Team Foundation Server Integration Platform</w:t>
          </w:r>
        </w:p>
      </w:sdtContent>
    </w:sdt>
    <w:p w:rsidR="00BC62E1" w:rsidRPr="002C5F81" w:rsidRDefault="00BC62E1" w:rsidP="00BC62E1">
      <w:pPr>
        <w:pStyle w:val="Heading4"/>
        <w:rPr>
          <w:lang w:val="it-IT"/>
        </w:rPr>
      </w:pPr>
      <w:r w:rsidRPr="002C5F81">
        <w:rPr>
          <w:lang w:val="it-IT"/>
        </w:rPr>
        <w:t xml:space="preserve">di </w:t>
      </w:r>
      <w:hyperlink r:id="rId9" w:history="1">
        <w:r>
          <w:rPr>
            <w:rStyle w:val="Hyperlink"/>
            <w:lang w:val="it-IT"/>
          </w:rPr>
          <w:t>Matteo Emili</w:t>
        </w:r>
      </w:hyperlink>
      <w:r>
        <w:rPr>
          <w:lang w:val="it-IT"/>
        </w:rPr>
        <w:t xml:space="preserve"> - Microsoft  MVP</w:t>
      </w:r>
    </w:p>
    <w:p w:rsidR="00BC62E1" w:rsidRDefault="00BC62E1" w:rsidP="00BC62E1">
      <w:pPr>
        <w:pStyle w:val="ppFigure"/>
      </w:pPr>
      <w:r>
        <w:rPr>
          <w:noProof/>
          <w:lang w:bidi="ar-SA"/>
        </w:rPr>
        <w:drawing>
          <wp:inline distT="0" distB="0" distL="0" distR="0" wp14:anchorId="1E82DDF7" wp14:editId="1D8A223A">
            <wp:extent cx="543001" cy="85737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V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2E1" w:rsidRDefault="00BC62E1" w:rsidP="00BC62E1">
      <w:pPr>
        <w:pStyle w:val="ppBodyText"/>
        <w:rPr>
          <w:i/>
          <w:iCs/>
          <w:lang w:val="it-IT"/>
        </w:rPr>
      </w:pPr>
      <w:r>
        <w:rPr>
          <w:i/>
          <w:iCs/>
          <w:lang w:val="it-IT"/>
        </w:rPr>
        <w:t>Giugno</w:t>
      </w:r>
      <w:r w:rsidRPr="004A5D54">
        <w:rPr>
          <w:i/>
          <w:iCs/>
          <w:lang w:val="it-IT"/>
        </w:rPr>
        <w:t>, 2012</w:t>
      </w:r>
    </w:p>
    <w:p w:rsidR="00BC62E1" w:rsidRDefault="00BC62E1" w:rsidP="00BC62E1">
      <w:pPr>
        <w:pStyle w:val="ppBodyText"/>
        <w:rPr>
          <w:lang w:val="it-IT"/>
        </w:rPr>
      </w:pPr>
    </w:p>
    <w:p w:rsidR="00664672" w:rsidRDefault="00376B69" w:rsidP="00BC62E1">
      <w:pPr>
        <w:pStyle w:val="ppBodyText"/>
        <w:rPr>
          <w:lang w:val="it-IT"/>
        </w:rPr>
      </w:pPr>
      <w:r w:rsidRPr="00376B69">
        <w:rPr>
          <w:lang w:val="it-IT"/>
        </w:rPr>
        <w:t xml:space="preserve">Fino ad oggi integrare Team Foundation Server con altri strumenti di ALM (spaziando da CVS fino ad altri TFS) era estremamente complesso, necessitava di codice </w:t>
      </w:r>
      <w:r>
        <w:rPr>
          <w:lang w:val="it-IT"/>
        </w:rPr>
        <w:t>custom e, in definitiva, era un gran dispendio di tempo ed energie che difficilmente sarebbe stato poi riutilizzabile in altri scenari.</w:t>
      </w:r>
    </w:p>
    <w:p w:rsidR="00376B69" w:rsidRDefault="00376B69" w:rsidP="00BC62E1">
      <w:pPr>
        <w:pStyle w:val="ppBodyText"/>
        <w:rPr>
          <w:lang w:val="it-IT"/>
        </w:rPr>
      </w:pPr>
      <w:r>
        <w:rPr>
          <w:lang w:val="it-IT"/>
        </w:rPr>
        <w:t>Sollevato il problema, quelli che erano ieri i Visual Studio Team System Rangers (oggi Visual Studio ALM Rangers</w:t>
      </w:r>
      <w:r w:rsidR="00FA3C41">
        <w:rPr>
          <w:lang w:val="it-IT"/>
        </w:rPr>
        <w:t>, un gruppo di persone selezionate dalle community, dai Microsoft Consulting Services, e dai team di sviluppo</w:t>
      </w:r>
      <w:r>
        <w:rPr>
          <w:lang w:val="it-IT"/>
        </w:rPr>
        <w:t>) hanno avviato lo sviluppo di una soluzione.</w:t>
      </w:r>
      <w:r w:rsidR="00FA3C41">
        <w:rPr>
          <w:lang w:val="it-IT"/>
        </w:rPr>
        <w:br/>
      </w:r>
      <w:r>
        <w:rPr>
          <w:lang w:val="it-IT"/>
        </w:rPr>
        <w:t>E questa soluzione si chiama Team Foundation Server Integration Platform.</w:t>
      </w:r>
    </w:p>
    <w:p w:rsidR="00FB2348" w:rsidRDefault="00376B69" w:rsidP="00BC62E1">
      <w:pPr>
        <w:pStyle w:val="ppBodyText"/>
        <w:rPr>
          <w:lang w:val="it-IT"/>
        </w:rPr>
      </w:pPr>
      <w:r>
        <w:rPr>
          <w:lang w:val="it-IT"/>
        </w:rPr>
        <w:t xml:space="preserve">Si tratta di uno strumento molto potente, </w:t>
      </w:r>
      <w:r w:rsidR="007C04E0">
        <w:rPr>
          <w:lang w:val="it-IT"/>
        </w:rPr>
        <w:t xml:space="preserve">ed inoltre è un progetto </w:t>
      </w:r>
      <w:proofErr w:type="spellStart"/>
      <w:r w:rsidR="007C04E0">
        <w:rPr>
          <w:lang w:val="it-IT"/>
        </w:rPr>
        <w:t>opensource</w:t>
      </w:r>
      <w:proofErr w:type="spellEnd"/>
      <w:r w:rsidR="007C04E0">
        <w:rPr>
          <w:lang w:val="it-IT"/>
        </w:rPr>
        <w:t xml:space="preserve"> (ospitato all’indirizzo </w:t>
      </w:r>
      <w:hyperlink r:id="rId11" w:history="1">
        <w:r w:rsidR="007C04E0" w:rsidRPr="00390AB0">
          <w:rPr>
            <w:rStyle w:val="Hyperlink"/>
            <w:lang w:val="it-IT"/>
          </w:rPr>
          <w:t>http://tfsintegration.codeplex.com</w:t>
        </w:r>
      </w:hyperlink>
      <w:r w:rsidR="007C04E0">
        <w:rPr>
          <w:lang w:val="it-IT"/>
        </w:rPr>
        <w:t xml:space="preserve">). </w:t>
      </w:r>
      <w:r w:rsidR="00FB2348">
        <w:rPr>
          <w:lang w:val="it-IT"/>
        </w:rPr>
        <w:t>Essendo l’unico strumento di migrazione supportato da Microsoft, l’ultima versione con supporto è disponibile in Visual Studio Gallery (</w:t>
      </w:r>
      <w:hyperlink r:id="rId12" w:history="1">
        <w:r w:rsidR="00FB2348" w:rsidRPr="00722155">
          <w:rPr>
            <w:rStyle w:val="Hyperlink"/>
            <w:lang w:val="it-IT"/>
          </w:rPr>
          <w:t>http://visualstudiogallery.msdn.microsoft.com/eb77e739-c98c-4e36-9ead-fa115b27fefe</w:t>
        </w:r>
      </w:hyperlink>
      <w:r w:rsidR="00FB2348">
        <w:rPr>
          <w:lang w:val="it-IT"/>
        </w:rPr>
        <w:t xml:space="preserve">), mentre su </w:t>
      </w:r>
      <w:proofErr w:type="spellStart"/>
      <w:r w:rsidR="00FB2348">
        <w:rPr>
          <w:lang w:val="it-IT"/>
        </w:rPr>
        <w:t>CodePlex</w:t>
      </w:r>
      <w:proofErr w:type="spellEnd"/>
      <w:r w:rsidR="00FB2348">
        <w:rPr>
          <w:lang w:val="it-IT"/>
        </w:rPr>
        <w:t xml:space="preserve"> si trovano sia i sorgenti che tutte le beta e la documentazione.</w:t>
      </w:r>
    </w:p>
    <w:p w:rsidR="00376B69" w:rsidRDefault="007C04E0" w:rsidP="00BC62E1">
      <w:pPr>
        <w:pStyle w:val="ppBodyText"/>
        <w:rPr>
          <w:lang w:val="it-IT"/>
        </w:rPr>
      </w:pPr>
      <w:r>
        <w:rPr>
          <w:lang w:val="it-IT"/>
        </w:rPr>
        <w:t>Vediamo cosa troviamo, una volta installato:</w:t>
      </w:r>
    </w:p>
    <w:p w:rsidR="007C04E0" w:rsidRDefault="007C04E0" w:rsidP="00BC62E1">
      <w:pPr>
        <w:pStyle w:val="ppBulletList"/>
        <w:rPr>
          <w:lang w:val="it-IT"/>
        </w:rPr>
      </w:pPr>
      <w:r>
        <w:rPr>
          <w:lang w:val="it-IT"/>
        </w:rPr>
        <w:t>I tools</w:t>
      </w:r>
    </w:p>
    <w:p w:rsidR="00EC59AE" w:rsidRDefault="00EC59AE" w:rsidP="00BC62E1">
      <w:pPr>
        <w:pStyle w:val="ppBulletList"/>
        <w:rPr>
          <w:lang w:val="it-IT"/>
        </w:rPr>
      </w:pPr>
      <w:r>
        <w:rPr>
          <w:lang w:val="it-IT"/>
        </w:rPr>
        <w:t>Il TFS Migration Service</w:t>
      </w:r>
    </w:p>
    <w:p w:rsidR="007C04E0" w:rsidRDefault="007C04E0" w:rsidP="00BC62E1">
      <w:pPr>
        <w:pStyle w:val="ppBulletList"/>
        <w:rPr>
          <w:lang w:val="it-IT"/>
        </w:rPr>
      </w:pPr>
      <w:r>
        <w:rPr>
          <w:lang w:val="it-IT"/>
        </w:rPr>
        <w:t>L’SDK</w:t>
      </w:r>
    </w:p>
    <w:p w:rsidR="007C04E0" w:rsidRDefault="007C04E0" w:rsidP="00BC62E1">
      <w:pPr>
        <w:pStyle w:val="ppBulletList"/>
        <w:rPr>
          <w:lang w:val="it-IT"/>
        </w:rPr>
      </w:pPr>
      <w:r>
        <w:rPr>
          <w:lang w:val="it-IT"/>
        </w:rPr>
        <w:t>Una serie di adapter già pronti (altri sono scaricabili, ed il modello a plugin permette di scriverne in tempi relativamente brevi)</w:t>
      </w:r>
    </w:p>
    <w:p w:rsidR="007C04E0" w:rsidRDefault="007C04E0" w:rsidP="00BC62E1">
      <w:pPr>
        <w:pStyle w:val="ppBulletList"/>
        <w:rPr>
          <w:lang w:val="it-IT"/>
        </w:rPr>
      </w:pPr>
      <w:r>
        <w:rPr>
          <w:lang w:val="it-IT"/>
        </w:rPr>
        <w:t>Tantissima documentazione</w:t>
      </w:r>
    </w:p>
    <w:p w:rsidR="00BC62E1" w:rsidRDefault="00BC62E1" w:rsidP="00BC62E1">
      <w:pPr>
        <w:pStyle w:val="ppListEnd"/>
        <w:rPr>
          <w:lang w:val="it-IT"/>
        </w:rPr>
      </w:pPr>
    </w:p>
    <w:p w:rsidR="007C04E0" w:rsidRDefault="00FA3C41" w:rsidP="00BC62E1">
      <w:pPr>
        <w:pStyle w:val="ppBodyText"/>
        <w:rPr>
          <w:lang w:val="it-IT"/>
        </w:rPr>
      </w:pPr>
      <w:r>
        <w:rPr>
          <w:lang w:val="it-IT"/>
        </w:rPr>
        <w:t>Nella versione attuale (</w:t>
      </w:r>
      <w:r w:rsidR="00FB2348">
        <w:rPr>
          <w:lang w:val="it-IT"/>
        </w:rPr>
        <w:t>Marzo 2012</w:t>
      </w:r>
      <w:r>
        <w:rPr>
          <w:lang w:val="it-IT"/>
        </w:rPr>
        <w:t xml:space="preserve">, </w:t>
      </w:r>
      <w:r w:rsidR="00FB2348">
        <w:rPr>
          <w:lang w:val="it-IT"/>
        </w:rPr>
        <w:t>stabile</w:t>
      </w:r>
      <w:r>
        <w:rPr>
          <w:lang w:val="it-IT"/>
        </w:rPr>
        <w:t xml:space="preserve">) il tool principale (dal quale si effettua il 99% della configurazione e dell’esecuzione) è già comprensivo della GUI! Per chi ha lavorato con le precedenti </w:t>
      </w:r>
      <w:r>
        <w:rPr>
          <w:lang w:val="it-IT"/>
        </w:rPr>
        <w:lastRenderedPageBreak/>
        <w:t>Alpha</w:t>
      </w:r>
      <w:r w:rsidR="00FB2348">
        <w:rPr>
          <w:lang w:val="it-IT"/>
        </w:rPr>
        <w:t xml:space="preserve"> e Beta</w:t>
      </w:r>
      <w:r>
        <w:rPr>
          <w:lang w:val="it-IT"/>
        </w:rPr>
        <w:t>, sapeva che non esisteva nulla di tutto ciò</w:t>
      </w:r>
      <w:r w:rsidR="002A09DA">
        <w:rPr>
          <w:lang w:val="it-IT"/>
        </w:rPr>
        <w:t>, e si utilizzava esclusivamente a linea di comando.</w:t>
      </w:r>
    </w:p>
    <w:p w:rsidR="00FA3C41" w:rsidRDefault="00FB2348" w:rsidP="00BC62E1">
      <w:pPr>
        <w:pStyle w:val="ppFigure"/>
        <w:rPr>
          <w:lang w:val="it-IT"/>
        </w:rPr>
      </w:pPr>
      <w:r>
        <w:rPr>
          <w:noProof/>
          <w:lang w:bidi="ar-SA"/>
        </w:rPr>
        <w:drawing>
          <wp:inline distT="0" distB="0" distL="0" distR="0" wp14:anchorId="333B37F3" wp14:editId="01DE37A1">
            <wp:extent cx="5943600" cy="3569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C41" w:rsidRDefault="00866174" w:rsidP="002D68BA">
      <w:pPr>
        <w:pStyle w:val="Heading2"/>
        <w:rPr>
          <w:lang w:val="it-IT"/>
        </w:rPr>
      </w:pPr>
      <w:r>
        <w:rPr>
          <w:lang w:val="it-IT"/>
        </w:rPr>
        <w:lastRenderedPageBreak/>
        <w:t>Architettura</w:t>
      </w:r>
    </w:p>
    <w:p w:rsidR="00FA3C41" w:rsidRDefault="00FA3C41" w:rsidP="00BC62E1">
      <w:pPr>
        <w:pStyle w:val="ppFigure"/>
        <w:rPr>
          <w:lang w:val="it-IT"/>
        </w:rPr>
      </w:pPr>
      <w:r>
        <w:rPr>
          <w:noProof/>
          <w:lang w:bidi="ar-SA"/>
        </w:rPr>
        <w:drawing>
          <wp:inline distT="0" distB="0" distL="0" distR="0" wp14:anchorId="24BEA9EA" wp14:editId="41893FAA">
            <wp:extent cx="5943600" cy="4594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C41" w:rsidRDefault="00C50C05" w:rsidP="00BC62E1">
      <w:pPr>
        <w:pStyle w:val="ppBodyText"/>
        <w:rPr>
          <w:lang w:val="it-IT"/>
        </w:rPr>
      </w:pPr>
      <w:r>
        <w:rPr>
          <w:lang w:val="it-IT"/>
        </w:rPr>
        <w:t>Gli attori sono tre: l’Adapter, il Synchronization Orchestrator e la Pipeline.</w:t>
      </w:r>
    </w:p>
    <w:p w:rsidR="00FA3C41" w:rsidRDefault="00C50C05" w:rsidP="00BC62E1">
      <w:pPr>
        <w:pStyle w:val="ppBodyText"/>
        <w:rPr>
          <w:lang w:val="it-IT"/>
        </w:rPr>
      </w:pPr>
      <w:r>
        <w:rPr>
          <w:lang w:val="it-IT"/>
        </w:rPr>
        <w:t>Il primo è un oggetto che permette di interpretare la sorgente o la destinazione, ed è quello che permette il dialogo fra la Pipeline ed il server.</w:t>
      </w:r>
    </w:p>
    <w:p w:rsidR="00C50C05" w:rsidRDefault="00C50C05" w:rsidP="00BC62E1">
      <w:pPr>
        <w:pStyle w:val="ppBodyText"/>
        <w:rPr>
          <w:lang w:val="it-IT"/>
        </w:rPr>
      </w:pPr>
      <w:r>
        <w:rPr>
          <w:lang w:val="it-IT"/>
        </w:rPr>
        <w:t>La Pipeline è il cuore di tutto, e contiene il Synchronization Orchestrator.</w:t>
      </w:r>
    </w:p>
    <w:p w:rsidR="00C50C05" w:rsidRDefault="00C50C05" w:rsidP="00BC62E1">
      <w:pPr>
        <w:pStyle w:val="ppBodyText"/>
        <w:rPr>
          <w:lang w:val="it-IT"/>
        </w:rPr>
      </w:pPr>
      <w:r>
        <w:rPr>
          <w:lang w:val="it-IT"/>
        </w:rPr>
        <w:t>Il Synchronization Orchestrator è l’oggetto che coordina i tre motori interni alla Pipeline.</w:t>
      </w:r>
    </w:p>
    <w:p w:rsidR="00C50C05" w:rsidRPr="007C04E0" w:rsidRDefault="00C50C05" w:rsidP="00BC62E1">
      <w:pPr>
        <w:pStyle w:val="ppBodyText"/>
        <w:rPr>
          <w:lang w:val="it-IT"/>
        </w:rPr>
      </w:pPr>
      <w:r>
        <w:rPr>
          <w:lang w:val="it-IT"/>
        </w:rPr>
        <w:t>C’è anche una comparsa, nell’ombra: un database.</w:t>
      </w:r>
    </w:p>
    <w:p w:rsidR="007C04E0" w:rsidRDefault="00C50C05" w:rsidP="00BC62E1">
      <w:pPr>
        <w:pStyle w:val="ppBodyText"/>
        <w:rPr>
          <w:lang w:val="it-IT"/>
        </w:rPr>
      </w:pPr>
      <w:r>
        <w:rPr>
          <w:lang w:val="it-IT"/>
        </w:rPr>
        <w:t>Ora, cosa succede quando andiamo a fare una migrazione (per ora non ci addentriamo nelle configurazioni, rimaniamo nel teorico)?</w:t>
      </w:r>
    </w:p>
    <w:p w:rsidR="003E6CC8" w:rsidRDefault="00C50C05" w:rsidP="00BC62E1">
      <w:pPr>
        <w:pStyle w:val="ppBodyText"/>
        <w:rPr>
          <w:lang w:val="it-IT"/>
        </w:rPr>
      </w:pPr>
      <w:r>
        <w:rPr>
          <w:lang w:val="it-IT"/>
        </w:rPr>
        <w:t>Premettendo che tutto gira sotto la direzione del Synchronization Orchestrator, la prima cosa che accade è la generazione dei delta (relazioni comprese) della sorgente e della destinazione da parte dell’Analysis Engine. In caso di conflitti, il Conflict Resolution Engine</w:t>
      </w:r>
      <w:r w:rsidR="003E6CC8">
        <w:rPr>
          <w:lang w:val="it-IT"/>
        </w:rPr>
        <w:t xml:space="preserve"> li solleva e risolve automaticamente ove possibile (nel caso in cui non sia possibile, interviene l’utente). Una volta risolti, vengono salvati nel database tutti i dati e trasferiti dal Migration Engine. </w:t>
      </w:r>
    </w:p>
    <w:p w:rsidR="004B3DAF" w:rsidRDefault="004B3DAF" w:rsidP="002D68BA">
      <w:pPr>
        <w:pStyle w:val="Heading2"/>
        <w:rPr>
          <w:lang w:val="it-IT"/>
        </w:rPr>
      </w:pPr>
      <w:r>
        <w:rPr>
          <w:lang w:val="it-IT"/>
        </w:rPr>
        <w:lastRenderedPageBreak/>
        <w:t>Configurazioni</w:t>
      </w:r>
    </w:p>
    <w:p w:rsidR="00866174" w:rsidRDefault="00866174" w:rsidP="00BC62E1">
      <w:pPr>
        <w:pStyle w:val="ppBodyText"/>
        <w:rPr>
          <w:lang w:val="it-IT"/>
        </w:rPr>
      </w:pPr>
      <w:r w:rsidRPr="004B3DAF">
        <w:rPr>
          <w:lang w:val="it-IT"/>
        </w:rPr>
        <w:t>Le configurazioni possibili sono molteplici:</w:t>
      </w:r>
    </w:p>
    <w:p w:rsidR="00866174" w:rsidRDefault="00866174" w:rsidP="00636B91">
      <w:pPr>
        <w:pStyle w:val="ppBulletList"/>
        <w:rPr>
          <w:lang w:val="it-IT"/>
        </w:rPr>
      </w:pPr>
      <w:r>
        <w:rPr>
          <w:lang w:val="it-IT"/>
        </w:rPr>
        <w:t>One-way migration, ossia la cosiddetta “snapshot migration” (migrazione totale ad un preciso istante temporale)</w:t>
      </w:r>
    </w:p>
    <w:p w:rsidR="00866174" w:rsidRDefault="00866174" w:rsidP="00636B91">
      <w:pPr>
        <w:pStyle w:val="ppBulletList"/>
        <w:rPr>
          <w:lang w:val="it-IT"/>
        </w:rPr>
      </w:pPr>
      <w:r>
        <w:rPr>
          <w:lang w:val="it-IT"/>
        </w:rPr>
        <w:t>Two-way sync (sincronizzazione bidirezionale che avviene magari per allineare un TFS appena installato a quello già esistente, ad esempio)</w:t>
      </w:r>
    </w:p>
    <w:p w:rsidR="00866174" w:rsidRDefault="00866174" w:rsidP="00636B91">
      <w:pPr>
        <w:pStyle w:val="ppBulletList"/>
        <w:rPr>
          <w:lang w:val="it-IT"/>
        </w:rPr>
      </w:pPr>
      <w:r>
        <w:rPr>
          <w:lang w:val="it-IT"/>
        </w:rPr>
        <w:t>Custom</w:t>
      </w:r>
    </w:p>
    <w:p w:rsidR="00636B91" w:rsidRDefault="00636B91" w:rsidP="00636B91">
      <w:pPr>
        <w:pStyle w:val="ppListEnd"/>
        <w:rPr>
          <w:lang w:val="it-IT"/>
        </w:rPr>
      </w:pPr>
    </w:p>
    <w:p w:rsidR="00866174" w:rsidRDefault="00866174" w:rsidP="00BC62E1">
      <w:pPr>
        <w:pStyle w:val="ppBodyText"/>
        <w:rPr>
          <w:lang w:val="it-IT"/>
        </w:rPr>
      </w:pPr>
      <w:r>
        <w:rPr>
          <w:lang w:val="it-IT"/>
        </w:rPr>
        <w:t>Ed è con la configurazione Custom che si aprono gli scenari più ampi in materia di integrazione. Perchè è possibile specificare</w:t>
      </w:r>
      <w:r w:rsidRPr="00866174">
        <w:rPr>
          <w:lang w:val="it-IT"/>
        </w:rPr>
        <w:t xml:space="preserve"> </w:t>
      </w:r>
      <w:r>
        <w:rPr>
          <w:lang w:val="it-IT"/>
        </w:rPr>
        <w:t>oltre alla direzione (unidirezionale o bidirezionale) la frequenza.</w:t>
      </w:r>
    </w:p>
    <w:p w:rsidR="00866174" w:rsidRDefault="00866174" w:rsidP="00BC62E1">
      <w:pPr>
        <w:pStyle w:val="ppBodyText"/>
        <w:rPr>
          <w:lang w:val="it-IT"/>
        </w:rPr>
      </w:pPr>
      <w:r>
        <w:rPr>
          <w:lang w:val="it-IT"/>
        </w:rPr>
        <w:t>La frequenza può essere:</w:t>
      </w:r>
    </w:p>
    <w:p w:rsidR="00866174" w:rsidRDefault="00866174" w:rsidP="00636B91">
      <w:pPr>
        <w:pStyle w:val="ppBulletList"/>
        <w:rPr>
          <w:lang w:val="it-IT"/>
        </w:rPr>
      </w:pPr>
      <w:r>
        <w:rPr>
          <w:lang w:val="it-IT"/>
        </w:rPr>
        <w:t>One Time</w:t>
      </w:r>
    </w:p>
    <w:p w:rsidR="00866174" w:rsidRDefault="00866174" w:rsidP="00636B91">
      <w:pPr>
        <w:pStyle w:val="ppBulletList"/>
        <w:rPr>
          <w:lang w:val="it-IT"/>
        </w:rPr>
      </w:pPr>
      <w:r>
        <w:rPr>
          <w:lang w:val="it-IT"/>
        </w:rPr>
        <w:t>Continuous Manual</w:t>
      </w:r>
    </w:p>
    <w:p w:rsidR="00866174" w:rsidRDefault="00866174" w:rsidP="00636B91">
      <w:pPr>
        <w:pStyle w:val="ppBulletList"/>
        <w:rPr>
          <w:lang w:val="it-IT"/>
        </w:rPr>
      </w:pPr>
      <w:proofErr w:type="spellStart"/>
      <w:r>
        <w:rPr>
          <w:lang w:val="it-IT"/>
        </w:rPr>
        <w:t>Continuous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Automatic</w:t>
      </w:r>
      <w:proofErr w:type="spellEnd"/>
    </w:p>
    <w:p w:rsidR="00636B91" w:rsidRDefault="00636B91" w:rsidP="00636B91">
      <w:pPr>
        <w:pStyle w:val="ppListEnd"/>
        <w:rPr>
          <w:lang w:val="it-IT"/>
        </w:rPr>
      </w:pPr>
    </w:p>
    <w:p w:rsidR="00866174" w:rsidRDefault="004B3DAF" w:rsidP="00BC62E1">
      <w:pPr>
        <w:pStyle w:val="ppBodyText"/>
        <w:rPr>
          <w:lang w:val="it-IT"/>
        </w:rPr>
      </w:pPr>
      <w:r>
        <w:rPr>
          <w:lang w:val="it-IT"/>
        </w:rPr>
        <w:t>Quest’ultima ci fa capire che può essere utilizzata anche come servizio di sincronizzazione continua</w:t>
      </w:r>
      <w:r w:rsidR="00EC59AE">
        <w:rPr>
          <w:lang w:val="it-IT"/>
        </w:rPr>
        <w:t xml:space="preserve"> (con l’ausilio del TFS Migration Service)</w:t>
      </w:r>
      <w:r>
        <w:rPr>
          <w:lang w:val="it-IT"/>
        </w:rPr>
        <w:t>.</w:t>
      </w:r>
    </w:p>
    <w:p w:rsidR="004B3DAF" w:rsidRDefault="004B3DAF" w:rsidP="002D68BA">
      <w:pPr>
        <w:pStyle w:val="Heading2"/>
        <w:rPr>
          <w:lang w:val="it-IT"/>
        </w:rPr>
      </w:pPr>
      <w:r>
        <w:rPr>
          <w:lang w:val="it-IT"/>
        </w:rPr>
        <w:t>Adapter e Provider</w:t>
      </w:r>
    </w:p>
    <w:p w:rsidR="002A09DA" w:rsidRDefault="004B3DAF" w:rsidP="00BC62E1">
      <w:pPr>
        <w:pStyle w:val="ppBodyText"/>
        <w:rPr>
          <w:lang w:val="it-IT"/>
        </w:rPr>
      </w:pPr>
      <w:r>
        <w:rPr>
          <w:lang w:val="it-IT"/>
        </w:rPr>
        <w:t xml:space="preserve">Come abbiamo visto esiste un adapter per far comunicare la pipeline della Integration Plaform con i nostri strumenti. All’interno di un adapter è possibile ospitare dei provider, </w:t>
      </w:r>
      <w:r w:rsidR="003F39CE">
        <w:rPr>
          <w:lang w:val="it-IT"/>
        </w:rPr>
        <w:t>ognuno con un ruolo ben preciso.</w:t>
      </w:r>
    </w:p>
    <w:p w:rsidR="004B3DAF" w:rsidRDefault="003F39CE" w:rsidP="00BC62E1">
      <w:pPr>
        <w:pStyle w:val="ppBodyText"/>
        <w:rPr>
          <w:lang w:val="it-IT"/>
        </w:rPr>
      </w:pPr>
      <w:r>
        <w:rPr>
          <w:lang w:val="it-IT"/>
        </w:rPr>
        <w:t>Di default per Team Foundation Server ne abbiamo due, uno che si occupa del Version Control e l’altro dei Work Item</w:t>
      </w:r>
      <w:r w:rsidR="002A09DA">
        <w:rPr>
          <w:lang w:val="it-IT"/>
        </w:rPr>
        <w:t>. Ovviamente è possibile utilizzarne uno solo o più insieme, non siamo limitati</w:t>
      </w:r>
      <w:r w:rsidR="00A55562">
        <w:rPr>
          <w:lang w:val="it-IT"/>
        </w:rPr>
        <w:t>, e soprattutto è possibile scriverne altri, mediante l’SDK.</w:t>
      </w:r>
    </w:p>
    <w:p w:rsidR="00A55562" w:rsidRDefault="00FB2348" w:rsidP="00BC62E1">
      <w:pPr>
        <w:pStyle w:val="ppBodyText"/>
        <w:rPr>
          <w:lang w:val="it-IT"/>
        </w:rPr>
      </w:pPr>
      <w:r>
        <w:rPr>
          <w:lang w:val="it-IT"/>
        </w:rPr>
        <w:t>Attualmente esistono provider per Team Foundation Server, IBM ClearCase e ClearQuest, Subversion e il File System.</w:t>
      </w:r>
    </w:p>
    <w:p w:rsidR="00FB2348" w:rsidRDefault="00FB2348" w:rsidP="002D68BA">
      <w:pPr>
        <w:pStyle w:val="Heading2"/>
        <w:rPr>
          <w:lang w:val="it-IT"/>
        </w:rPr>
      </w:pPr>
      <w:r>
        <w:rPr>
          <w:lang w:val="it-IT"/>
        </w:rPr>
        <w:t>Scenario</w:t>
      </w:r>
    </w:p>
    <w:p w:rsidR="00FB2348" w:rsidRDefault="00FB2348" w:rsidP="00BC62E1">
      <w:pPr>
        <w:pStyle w:val="ppBodyText"/>
        <w:rPr>
          <w:lang w:val="it-IT"/>
        </w:rPr>
      </w:pPr>
      <w:r>
        <w:rPr>
          <w:lang w:val="it-IT"/>
        </w:rPr>
        <w:t>Utilizziamo uno scenario abbastanza semplice, per comodità: snapshot migration di Version Control e Work Items fra due Team Foundation Server 2012.</w:t>
      </w:r>
    </w:p>
    <w:p w:rsidR="00FB2348" w:rsidRDefault="00FB2348" w:rsidP="00BC62E1">
      <w:pPr>
        <w:pStyle w:val="ppBodyText"/>
        <w:rPr>
          <w:lang w:val="it-IT"/>
        </w:rPr>
      </w:pPr>
      <w:r>
        <w:rPr>
          <w:lang w:val="it-IT"/>
        </w:rPr>
        <w:t>In un TFS ho una Project Collection (DefaultCollection) contenente un Team Project chiamato “Demo</w:t>
      </w:r>
      <w:r w:rsidR="00D54783">
        <w:rPr>
          <w:lang w:val="it-IT"/>
        </w:rPr>
        <w:t xml:space="preserve"> Agile</w:t>
      </w:r>
      <w:r>
        <w:rPr>
          <w:lang w:val="it-IT"/>
        </w:rPr>
        <w:t>” con del codice ed alcuni Work Item, legati fra di loro con una relazione padre-figlio.</w:t>
      </w:r>
    </w:p>
    <w:p w:rsidR="00FB2348" w:rsidRDefault="00FB2348" w:rsidP="00BC62E1">
      <w:pPr>
        <w:pStyle w:val="ppBodyText"/>
        <w:rPr>
          <w:lang w:val="it-IT"/>
        </w:rPr>
      </w:pPr>
      <w:r>
        <w:rPr>
          <w:lang w:val="it-IT"/>
        </w:rPr>
        <w:t>Nell’istanza “vuota” invece ho la Project Collection di default contenente un Team Project chiamato “Migration”, completamente vuoto.</w:t>
      </w:r>
    </w:p>
    <w:p w:rsidR="00FB2348" w:rsidRDefault="00D54783" w:rsidP="00BC62E1">
      <w:pPr>
        <w:pStyle w:val="ppFigure"/>
        <w:rPr>
          <w:lang w:val="it-IT"/>
        </w:rPr>
      </w:pPr>
      <w:r>
        <w:rPr>
          <w:noProof/>
          <w:lang w:bidi="ar-SA"/>
        </w:rPr>
        <w:lastRenderedPageBreak/>
        <w:drawing>
          <wp:inline distT="0" distB="0" distL="0" distR="0" wp14:anchorId="1631A306" wp14:editId="0947CC77">
            <wp:extent cx="3305175" cy="17811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348" w:rsidRDefault="00D54783" w:rsidP="00BC62E1">
      <w:pPr>
        <w:pStyle w:val="ppFigure"/>
        <w:rPr>
          <w:lang w:val="it-IT"/>
        </w:rPr>
      </w:pPr>
      <w:r>
        <w:rPr>
          <w:noProof/>
          <w:lang w:bidi="ar-SA"/>
        </w:rPr>
        <w:drawing>
          <wp:inline distT="0" distB="0" distL="0" distR="0" wp14:anchorId="08791629" wp14:editId="2853C91C">
            <wp:extent cx="5172075" cy="15525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348" w:rsidRDefault="00D54783" w:rsidP="00BC62E1">
      <w:pPr>
        <w:pStyle w:val="ppFigure"/>
        <w:rPr>
          <w:lang w:val="it-IT"/>
        </w:rPr>
      </w:pPr>
      <w:r>
        <w:rPr>
          <w:noProof/>
          <w:lang w:bidi="ar-SA"/>
        </w:rPr>
        <w:drawing>
          <wp:inline distT="0" distB="0" distL="0" distR="0" wp14:anchorId="31570313" wp14:editId="721DC9D0">
            <wp:extent cx="3762375" cy="37814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348" w:rsidRDefault="00FB2348" w:rsidP="002D68BA">
      <w:pPr>
        <w:pStyle w:val="Heading2"/>
        <w:rPr>
          <w:lang w:val="it-IT"/>
        </w:rPr>
      </w:pPr>
      <w:r>
        <w:rPr>
          <w:lang w:val="it-IT"/>
        </w:rPr>
        <w:t>Demo</w:t>
      </w:r>
    </w:p>
    <w:p w:rsidR="00FB2348" w:rsidRDefault="00FB2348" w:rsidP="00BC62E1">
      <w:pPr>
        <w:pStyle w:val="ppBodyText"/>
        <w:rPr>
          <w:lang w:val="it-IT"/>
        </w:rPr>
      </w:pPr>
      <w:r>
        <w:rPr>
          <w:lang w:val="it-IT"/>
        </w:rPr>
        <w:t>Apriamo la console, e creiamo una nuova configurazione per la migrazione.</w:t>
      </w:r>
    </w:p>
    <w:p w:rsidR="00FB2348" w:rsidRDefault="00D54783" w:rsidP="00BC62E1">
      <w:pPr>
        <w:pStyle w:val="ppFigure"/>
        <w:rPr>
          <w:lang w:val="it-IT"/>
        </w:rPr>
      </w:pPr>
      <w:r>
        <w:rPr>
          <w:noProof/>
          <w:lang w:bidi="ar-SA"/>
        </w:rPr>
        <w:lastRenderedPageBreak/>
        <w:drawing>
          <wp:inline distT="0" distB="0" distL="0" distR="0" wp14:anchorId="415E0387" wp14:editId="4EBA2331">
            <wp:extent cx="4543425" cy="32480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348" w:rsidRDefault="00FB2348" w:rsidP="00BC62E1">
      <w:pPr>
        <w:pStyle w:val="ppBodyText"/>
        <w:rPr>
          <w:lang w:val="it-IT"/>
        </w:rPr>
      </w:pPr>
      <w:r>
        <w:rPr>
          <w:lang w:val="it-IT"/>
        </w:rPr>
        <w:t>Devo scegliere un template. Ne ho a disposizione diversi, che spaziano dall’integrazione fra TFS fino a connettori per IBM Rational ClearCase e ClearQuest, o anche al file system.</w:t>
      </w:r>
    </w:p>
    <w:p w:rsidR="00FB2348" w:rsidRDefault="00D54783" w:rsidP="00BC62E1">
      <w:pPr>
        <w:pStyle w:val="ppFigure"/>
        <w:rPr>
          <w:lang w:val="it-IT"/>
        </w:rPr>
      </w:pPr>
      <w:r>
        <w:rPr>
          <w:noProof/>
          <w:lang w:bidi="ar-SA"/>
        </w:rPr>
        <w:drawing>
          <wp:inline distT="0" distB="0" distL="0" distR="0" wp14:anchorId="16CA4F7F" wp14:editId="6A587966">
            <wp:extent cx="5203268" cy="37178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5559" cy="371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348" w:rsidRDefault="00FB2348" w:rsidP="00BC62E1">
      <w:pPr>
        <w:pStyle w:val="ppBodyText"/>
        <w:rPr>
          <w:lang w:val="it-IT"/>
        </w:rPr>
      </w:pPr>
      <w:r>
        <w:rPr>
          <w:lang w:val="it-IT"/>
        </w:rPr>
        <w:t>Nel nostro caso, fra quelli per Team Foundation Server, scelgo quello che mi permette di fare migrazione di VC e WIT.</w:t>
      </w:r>
    </w:p>
    <w:p w:rsidR="00FB2348" w:rsidRPr="00D54783" w:rsidRDefault="00D54783" w:rsidP="00BC62E1">
      <w:pPr>
        <w:pStyle w:val="ppFigure"/>
        <w:rPr>
          <w:lang w:val="it-IT"/>
        </w:rPr>
      </w:pPr>
      <w:r>
        <w:rPr>
          <w:noProof/>
          <w:lang w:bidi="ar-SA"/>
        </w:rPr>
        <w:lastRenderedPageBreak/>
        <w:drawing>
          <wp:inline distT="0" distB="0" distL="0" distR="0" wp14:anchorId="62A629DD" wp14:editId="1BA0ED03">
            <wp:extent cx="5943600" cy="41814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348" w:rsidRDefault="00FB2348" w:rsidP="00BC62E1">
      <w:pPr>
        <w:pStyle w:val="ppBodyText"/>
        <w:rPr>
          <w:lang w:val="it-IT"/>
        </w:rPr>
      </w:pPr>
      <w:r>
        <w:rPr>
          <w:lang w:val="it-IT"/>
        </w:rPr>
        <w:t>Fatto questo, assegno un nome alla configurazione e lascio invariato il tipo di workflow (one-way migration, in questo caso). Configuro le sorgenti e le destinazioni mediante la stessa user interface che utilizzo nel Team Explorer per selezionare il Team Project a cui mi debbo collegare.</w:t>
      </w:r>
    </w:p>
    <w:p w:rsidR="00FB2348" w:rsidRDefault="00FB2348" w:rsidP="00BC62E1">
      <w:pPr>
        <w:pStyle w:val="ppBodyText"/>
        <w:rPr>
          <w:lang w:val="it-IT"/>
        </w:rPr>
      </w:pPr>
      <w:r>
        <w:rPr>
          <w:lang w:val="it-IT"/>
        </w:rPr>
        <w:t>Una piccola nota: per “Left Source” si intende sempre la partenza, quindi bisogna inserire il Team Foundation Server contenente i dati da sincronizzare.</w:t>
      </w:r>
    </w:p>
    <w:p w:rsidR="00FB2348" w:rsidRDefault="00FB2348" w:rsidP="00BC62E1">
      <w:pPr>
        <w:pStyle w:val="ppBodyText"/>
        <w:rPr>
          <w:lang w:val="it-IT"/>
        </w:rPr>
      </w:pPr>
      <w:r>
        <w:rPr>
          <w:lang w:val="it-IT"/>
        </w:rPr>
        <w:t>E’ possibile aggiungere alcuni settaggi personalizzati (cosa che per ora non faremo), ma soprattutto qualunque impostazione è completamente modificabile sia da UI, che da visualizzazione XML.</w:t>
      </w:r>
    </w:p>
    <w:p w:rsidR="00FB2348" w:rsidRDefault="00FB2348" w:rsidP="00BC62E1">
      <w:pPr>
        <w:pStyle w:val="ppBodyText"/>
        <w:rPr>
          <w:lang w:val="it-IT"/>
        </w:rPr>
      </w:pPr>
    </w:p>
    <w:p w:rsidR="00FB2348" w:rsidRDefault="00124B7C" w:rsidP="00BC62E1">
      <w:pPr>
        <w:pStyle w:val="ppFigure"/>
        <w:rPr>
          <w:lang w:val="it-IT"/>
        </w:rPr>
      </w:pPr>
      <w:r>
        <w:rPr>
          <w:noProof/>
          <w:lang w:bidi="ar-SA"/>
        </w:rPr>
        <w:drawing>
          <wp:inline distT="0" distB="0" distL="0" distR="0" wp14:anchorId="6101C11D" wp14:editId="1B5A64CE">
            <wp:extent cx="5943600" cy="16979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348" w:rsidRDefault="00124B7C" w:rsidP="00BC62E1">
      <w:pPr>
        <w:pStyle w:val="ppFigure"/>
        <w:rPr>
          <w:lang w:val="it-IT"/>
        </w:rPr>
      </w:pPr>
      <w:r>
        <w:rPr>
          <w:noProof/>
          <w:lang w:bidi="ar-SA"/>
        </w:rPr>
        <w:lastRenderedPageBreak/>
        <w:drawing>
          <wp:inline distT="0" distB="0" distL="0" distR="0" wp14:anchorId="09A4F837" wp14:editId="18D3100D">
            <wp:extent cx="5943600" cy="16008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B7C" w:rsidRDefault="00124B7C" w:rsidP="00BC62E1">
      <w:pPr>
        <w:pStyle w:val="ppBodyText"/>
        <w:rPr>
          <w:lang w:val="it-IT"/>
        </w:rPr>
      </w:pPr>
      <w:r>
        <w:rPr>
          <w:lang w:val="it-IT"/>
        </w:rPr>
        <w:t>Tutto quello che è visualizzato proviene da un file di configurazione.</w:t>
      </w:r>
    </w:p>
    <w:p w:rsidR="00FB2348" w:rsidRDefault="00124B7C" w:rsidP="00BC62E1">
      <w:pPr>
        <w:pStyle w:val="ppFigure"/>
        <w:rPr>
          <w:lang w:val="it-IT"/>
        </w:rPr>
      </w:pPr>
      <w:r>
        <w:rPr>
          <w:noProof/>
          <w:lang w:bidi="ar-SA"/>
        </w:rPr>
        <w:drawing>
          <wp:inline distT="0" distB="0" distL="0" distR="0" wp14:anchorId="0855628C" wp14:editId="4EB2377A">
            <wp:extent cx="5943600" cy="2492375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348" w:rsidRDefault="00FB2348" w:rsidP="00BC62E1">
      <w:pPr>
        <w:pStyle w:val="ppBodyText"/>
        <w:rPr>
          <w:lang w:val="it-IT"/>
        </w:rPr>
      </w:pPr>
      <w:r>
        <w:rPr>
          <w:lang w:val="it-IT"/>
        </w:rPr>
        <w:t>Fatto ciò salviamo nel database la configurazione, e siamo pronti a far partire la migrazione.</w:t>
      </w:r>
    </w:p>
    <w:p w:rsidR="00FB2348" w:rsidRDefault="00124B7C" w:rsidP="00BC62E1">
      <w:pPr>
        <w:pStyle w:val="ppFigure"/>
        <w:rPr>
          <w:lang w:val="it-IT"/>
        </w:rPr>
      </w:pPr>
      <w:r>
        <w:rPr>
          <w:noProof/>
          <w:lang w:bidi="ar-SA"/>
        </w:rPr>
        <w:lastRenderedPageBreak/>
        <w:drawing>
          <wp:inline distT="0" distB="0" distL="0" distR="0" wp14:anchorId="68FB57A8" wp14:editId="0D5EACF7">
            <wp:extent cx="5943600" cy="358394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348" w:rsidRDefault="00FB2348" w:rsidP="00BC62E1">
      <w:pPr>
        <w:pStyle w:val="ppBodyText"/>
        <w:rPr>
          <w:lang w:val="it-IT"/>
        </w:rPr>
      </w:pPr>
      <w:r>
        <w:rPr>
          <w:lang w:val="it-IT"/>
        </w:rPr>
        <w:t>Verranno sollevati alcuni conflitti che il Conflict Resolution Engine non è riuscito a risolvere. Ecco come si presentano:</w:t>
      </w:r>
    </w:p>
    <w:p w:rsidR="00BE63BB" w:rsidRDefault="00124B7C" w:rsidP="00BC62E1">
      <w:pPr>
        <w:pStyle w:val="ppFigure"/>
        <w:rPr>
          <w:noProof/>
          <w:lang w:val="en-GB" w:eastAsia="en-GB"/>
        </w:rPr>
      </w:pPr>
      <w:r>
        <w:rPr>
          <w:noProof/>
          <w:lang w:bidi="ar-SA"/>
        </w:rPr>
        <w:drawing>
          <wp:inline distT="0" distB="0" distL="0" distR="0" wp14:anchorId="52701DE2" wp14:editId="32373E52">
            <wp:extent cx="4705350" cy="7048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63BB" w:rsidRPr="00BE63BB">
        <w:rPr>
          <w:noProof/>
          <w:lang w:val="en-GB" w:eastAsia="en-GB"/>
        </w:rPr>
        <w:t xml:space="preserve"> </w:t>
      </w:r>
    </w:p>
    <w:p w:rsidR="00FB2348" w:rsidRDefault="00BE63BB" w:rsidP="00BC62E1">
      <w:pPr>
        <w:pStyle w:val="ppFigure"/>
        <w:rPr>
          <w:lang w:val="it-IT"/>
        </w:rPr>
      </w:pPr>
      <w:r>
        <w:rPr>
          <w:noProof/>
          <w:lang w:bidi="ar-SA"/>
        </w:rPr>
        <w:drawing>
          <wp:inline distT="0" distB="0" distL="0" distR="0" wp14:anchorId="4E67FAF7" wp14:editId="0613B15F">
            <wp:extent cx="5943600" cy="151193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348" w:rsidRDefault="00FB2348" w:rsidP="00BC62E1">
      <w:pPr>
        <w:pStyle w:val="ppBodyText"/>
        <w:rPr>
          <w:lang w:val="it-IT"/>
        </w:rPr>
      </w:pPr>
      <w:r>
        <w:rPr>
          <w:lang w:val="it-IT"/>
        </w:rPr>
        <w:t>A volte, basterà un retry dell’operazione senza alcuna modifica, altrimenti potrebbe essere necessario scegliere uno dei due file, oppure eseguire un merge dei due changeset (che potrà essere ancora una volta automatico o manuale, come ben sappiamo). In questo caso, la versione da tenere in considerazione è quella della sorgente, quindi risolviamo rapidamente</w:t>
      </w:r>
      <w:r w:rsidR="00F230EE">
        <w:rPr>
          <w:lang w:val="it-IT"/>
        </w:rPr>
        <w:t xml:space="preserve"> indicando il changeset di riferimento</w:t>
      </w:r>
      <w:r>
        <w:rPr>
          <w:lang w:val="it-IT"/>
        </w:rPr>
        <w:t>.</w:t>
      </w:r>
    </w:p>
    <w:p w:rsidR="0057396E" w:rsidRDefault="0057396E" w:rsidP="00BC62E1">
      <w:pPr>
        <w:pStyle w:val="ppBodyText"/>
        <w:rPr>
          <w:lang w:val="it-IT"/>
        </w:rPr>
      </w:pPr>
      <w:r>
        <w:rPr>
          <w:lang w:val="it-IT"/>
        </w:rPr>
        <w:t>Esiste inoltre un Rules Manager, per impostare delle regole da far eseguire automaticamente.</w:t>
      </w:r>
    </w:p>
    <w:p w:rsidR="00FB2348" w:rsidRDefault="00FB2348" w:rsidP="00BC62E1">
      <w:pPr>
        <w:pStyle w:val="ppBodyText"/>
        <w:rPr>
          <w:lang w:val="it-IT"/>
        </w:rPr>
      </w:pPr>
      <w:r>
        <w:rPr>
          <w:lang w:val="it-IT"/>
        </w:rPr>
        <w:lastRenderedPageBreak/>
        <w:t>Alla fine, otteniamo un confortante feedback:</w:t>
      </w:r>
    </w:p>
    <w:p w:rsidR="00FB2348" w:rsidRDefault="00F230EE" w:rsidP="00BC62E1">
      <w:pPr>
        <w:pStyle w:val="ppFigure"/>
        <w:rPr>
          <w:lang w:val="it-IT"/>
        </w:rPr>
      </w:pPr>
      <w:r>
        <w:rPr>
          <w:noProof/>
          <w:lang w:bidi="ar-SA"/>
        </w:rPr>
        <w:drawing>
          <wp:inline distT="0" distB="0" distL="0" distR="0" wp14:anchorId="5B31D136" wp14:editId="2133D88A">
            <wp:extent cx="3886200" cy="5905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348" w:rsidRDefault="00FB2348" w:rsidP="00BC62E1">
      <w:pPr>
        <w:pStyle w:val="ppBodyText"/>
        <w:rPr>
          <w:lang w:val="it-IT"/>
        </w:rPr>
      </w:pPr>
      <w:r>
        <w:rPr>
          <w:lang w:val="it-IT"/>
        </w:rPr>
        <w:t>Oltre a delle statistiche sulla migrazione ed i conflitti:</w:t>
      </w:r>
    </w:p>
    <w:p w:rsidR="00FB2348" w:rsidRDefault="00F230EE" w:rsidP="00BC62E1">
      <w:pPr>
        <w:pStyle w:val="ppFigure"/>
        <w:rPr>
          <w:lang w:val="it-IT"/>
        </w:rPr>
      </w:pPr>
      <w:r>
        <w:rPr>
          <w:noProof/>
          <w:lang w:bidi="ar-SA"/>
        </w:rPr>
        <w:drawing>
          <wp:inline distT="0" distB="0" distL="0" distR="0" wp14:anchorId="53DE3BDE" wp14:editId="0FAB8925">
            <wp:extent cx="4114800" cy="20288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348" w:rsidRDefault="00FB2348" w:rsidP="00BC62E1">
      <w:pPr>
        <w:pStyle w:val="ppBodyText"/>
        <w:rPr>
          <w:lang w:val="it-IT"/>
        </w:rPr>
      </w:pPr>
      <w:r>
        <w:rPr>
          <w:lang w:val="it-IT"/>
        </w:rPr>
        <w:t>Migrazione terminata.</w:t>
      </w:r>
    </w:p>
    <w:p w:rsidR="00FB2348" w:rsidRDefault="00FB2348" w:rsidP="002D68BA">
      <w:pPr>
        <w:pStyle w:val="Heading2"/>
        <w:rPr>
          <w:lang w:val="it-IT"/>
        </w:rPr>
      </w:pPr>
      <w:r>
        <w:rPr>
          <w:lang w:val="it-IT"/>
        </w:rPr>
        <w:t>Limiti</w:t>
      </w:r>
    </w:p>
    <w:p w:rsidR="00FB2348" w:rsidRDefault="00FB2348" w:rsidP="00BC62E1">
      <w:pPr>
        <w:pStyle w:val="ppBodyText"/>
        <w:rPr>
          <w:lang w:val="it-IT"/>
        </w:rPr>
      </w:pPr>
      <w:r>
        <w:rPr>
          <w:lang w:val="it-IT"/>
        </w:rPr>
        <w:t xml:space="preserve">Gli oggetti che vengono migrati sono, evidentemente, solo i Work Item ed il codice sorgente (con i relativi collegamenti fra di loro). </w:t>
      </w:r>
    </w:p>
    <w:p w:rsidR="00FB2348" w:rsidRDefault="00FB2348" w:rsidP="00BC62E1">
      <w:pPr>
        <w:pStyle w:val="ppBodyText"/>
        <w:rPr>
          <w:lang w:val="it-IT"/>
        </w:rPr>
      </w:pPr>
      <w:r>
        <w:rPr>
          <w:lang w:val="it-IT"/>
        </w:rPr>
        <w:t>Non vengono preservati gli ID dei Work Item ed i changeset numbers, ma sono riassegnati sequenzialmente durante la migrazione (mantenendo comunque validi tutti i link), cosi come i timestamps delle revisioni sono tutti azzerati al momento della migrazione.</w:t>
      </w:r>
    </w:p>
    <w:p w:rsidR="00BC62E1" w:rsidRDefault="00BC62E1" w:rsidP="00BC62E1">
      <w:pPr>
        <w:pStyle w:val="ppBodyText"/>
        <w:rPr>
          <w:lang w:val="it-IT"/>
        </w:rPr>
      </w:pPr>
    </w:p>
    <w:p w:rsidR="00BC62E1" w:rsidRDefault="00BC62E1" w:rsidP="00BC62E1">
      <w:pPr>
        <w:pStyle w:val="ppBodyText"/>
        <w:rPr>
          <w:lang w:val="it-IT"/>
        </w:rPr>
      </w:pPr>
    </w:p>
    <w:p w:rsidR="00BC62E1" w:rsidRPr="002C5F81" w:rsidRDefault="00BC62E1" w:rsidP="00BC62E1">
      <w:pPr>
        <w:pStyle w:val="Heading4"/>
        <w:rPr>
          <w:lang w:val="it-IT"/>
        </w:rPr>
      </w:pPr>
      <w:r w:rsidRPr="002C5F81">
        <w:rPr>
          <w:lang w:val="it-IT"/>
        </w:rPr>
        <w:t xml:space="preserve">di </w:t>
      </w:r>
      <w:hyperlink r:id="rId29" w:history="1">
        <w:r>
          <w:rPr>
            <w:rStyle w:val="Hyperlink"/>
            <w:lang w:val="it-IT"/>
          </w:rPr>
          <w:t>Matteo Emili</w:t>
        </w:r>
      </w:hyperlink>
      <w:r>
        <w:rPr>
          <w:lang w:val="it-IT"/>
        </w:rPr>
        <w:t xml:space="preserve"> - Microsoft  MVP</w:t>
      </w:r>
    </w:p>
    <w:p w:rsidR="00A55562" w:rsidRDefault="00A55562" w:rsidP="00BC62E1">
      <w:pPr>
        <w:pStyle w:val="ppBodyText"/>
        <w:rPr>
          <w:lang w:val="it-IT"/>
        </w:rPr>
      </w:pPr>
    </w:p>
    <w:p w:rsidR="002D68BA" w:rsidRPr="00386963" w:rsidRDefault="002D68BA" w:rsidP="002D68BA">
      <w:pPr>
        <w:pStyle w:val="ppFigure"/>
        <w:rPr>
          <w:lang w:val="it-IT"/>
        </w:rPr>
      </w:pPr>
      <w:hyperlink r:id="rId30" w:history="1">
        <w:r>
          <w:rPr>
            <w:rStyle w:val="Hyperlink"/>
            <w:i/>
            <w:lang w:val="it-IT"/>
          </w:rPr>
          <w:t>A</w:t>
        </w:r>
        <w:r w:rsidRPr="00386963">
          <w:rPr>
            <w:rStyle w:val="Hyperlink"/>
            <w:i/>
            <w:lang w:val="it-IT"/>
          </w:rPr>
          <w:t xml:space="preserve">ltri articoli di </w:t>
        </w:r>
        <w:r>
          <w:rPr>
            <w:rStyle w:val="Hyperlink"/>
            <w:i/>
            <w:lang w:val="it-IT"/>
          </w:rPr>
          <w:t xml:space="preserve">Matteo </w:t>
        </w:r>
        <w:proofErr w:type="spellStart"/>
        <w:r>
          <w:rPr>
            <w:rStyle w:val="Hyperlink"/>
            <w:i/>
            <w:lang w:val="it-IT"/>
          </w:rPr>
          <w:t>Emili</w:t>
        </w:r>
        <w:proofErr w:type="spellEnd"/>
        <w:r w:rsidRPr="00386963">
          <w:rPr>
            <w:rStyle w:val="Hyperlink"/>
            <w:i/>
            <w:lang w:val="it-IT"/>
          </w:rPr>
          <w:t xml:space="preserve"> </w:t>
        </w:r>
        <w:r>
          <w:rPr>
            <w:rStyle w:val="Hyperlink"/>
            <w:i/>
            <w:lang w:val="it-IT"/>
          </w:rPr>
          <w:t>ne</w:t>
        </w:r>
        <w:r w:rsidRPr="00386963">
          <w:rPr>
            <w:rStyle w:val="Hyperlink"/>
            <w:i/>
            <w:lang w:val="it-IT"/>
          </w:rPr>
          <w:t>lla Libreria</w:t>
        </w:r>
      </w:hyperlink>
      <w:r>
        <w:rPr>
          <w:lang w:val="it-IT"/>
        </w:rPr>
        <w:t xml:space="preserve">  </w:t>
      </w:r>
      <w:r>
        <w:rPr>
          <w:noProof/>
          <w:lang w:bidi="ar-SA"/>
        </w:rPr>
        <w:drawing>
          <wp:inline distT="0" distB="0" distL="0" distR="0" wp14:anchorId="60B0CE1D" wp14:editId="79E00E71">
            <wp:extent cx="161948" cy="161948"/>
            <wp:effectExtent l="0" t="0" r="9525" b="9525"/>
            <wp:docPr id="3" name="Picture 3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SS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2E1" w:rsidRDefault="00BC62E1" w:rsidP="00BC62E1">
      <w:pPr>
        <w:pStyle w:val="ppBodyText"/>
        <w:rPr>
          <w:lang w:val="it-IT"/>
        </w:rPr>
      </w:pPr>
    </w:p>
    <w:p w:rsidR="002D68BA" w:rsidRDefault="002D68BA" w:rsidP="00BC62E1">
      <w:pPr>
        <w:pStyle w:val="ppBodyText"/>
        <w:rPr>
          <w:lang w:val="it-IT"/>
        </w:rPr>
      </w:pPr>
    </w:p>
    <w:p w:rsidR="002D68BA" w:rsidRPr="004B3DAF" w:rsidRDefault="002D68BA" w:rsidP="00BC62E1">
      <w:pPr>
        <w:pStyle w:val="ppBodyText"/>
        <w:rPr>
          <w:lang w:val="it-IT"/>
        </w:rPr>
      </w:pPr>
      <w:bookmarkStart w:id="0" w:name="_GoBack"/>
      <w:bookmarkEnd w:id="0"/>
    </w:p>
    <w:sectPr w:rsidR="002D68BA" w:rsidRPr="004B3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62F45"/>
    <w:multiLevelType w:val="hybridMultilevel"/>
    <w:tmpl w:val="50288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2">
    <w:nsid w:val="17A12B19"/>
    <w:multiLevelType w:val="hybridMultilevel"/>
    <w:tmpl w:val="4AFC3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2F10FF"/>
    <w:multiLevelType w:val="multilevel"/>
    <w:tmpl w:val="59F80AD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firstLine="0"/>
      </w:pPr>
      <w:rPr>
        <w:rFonts w:hint="default"/>
      </w:rPr>
    </w:lvl>
  </w:abstractNum>
  <w:abstractNum w:abstractNumId="4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5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6">
    <w:nsid w:val="3B266392"/>
    <w:multiLevelType w:val="hybridMultilevel"/>
    <w:tmpl w:val="59102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DF086C"/>
    <w:multiLevelType w:val="hybridMultilevel"/>
    <w:tmpl w:val="306C0596"/>
    <w:lvl w:ilvl="0" w:tplc="9E884784">
      <w:start w:val="1"/>
      <w:numFmt w:val="bullet"/>
      <w:pStyle w:val="ppNote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4F7740E6"/>
    <w:multiLevelType w:val="multilevel"/>
    <w:tmpl w:val="3AFC219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9">
    <w:nsid w:val="57937A46"/>
    <w:multiLevelType w:val="hybridMultilevel"/>
    <w:tmpl w:val="1E94638A"/>
    <w:lvl w:ilvl="0" w:tplc="E4A40D04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0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1">
    <w:nsid w:val="6D0D5BAB"/>
    <w:multiLevelType w:val="multilevel"/>
    <w:tmpl w:val="2A1A895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  <w:rPr>
        <w:rFonts w:hint="default"/>
      </w:rPr>
    </w:lvl>
  </w:abstractNum>
  <w:abstractNum w:abstractNumId="12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3">
    <w:nsid w:val="7A8626E4"/>
    <w:multiLevelType w:val="multilevel"/>
    <w:tmpl w:val="E16689F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4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5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9"/>
  </w:num>
  <w:num w:numId="5">
    <w:abstractNumId w:val="11"/>
  </w:num>
  <w:num w:numId="6">
    <w:abstractNumId w:val="1"/>
  </w:num>
  <w:num w:numId="7">
    <w:abstractNumId w:val="15"/>
  </w:num>
  <w:num w:numId="8">
    <w:abstractNumId w:val="10"/>
  </w:num>
  <w:num w:numId="9">
    <w:abstractNumId w:val="12"/>
  </w:num>
  <w:num w:numId="10">
    <w:abstractNumId w:val="5"/>
  </w:num>
  <w:num w:numId="11">
    <w:abstractNumId w:val="14"/>
  </w:num>
  <w:num w:numId="12">
    <w:abstractNumId w:val="4"/>
  </w:num>
  <w:num w:numId="13">
    <w:abstractNumId w:val="13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</w:num>
  <w:num w:numId="22">
    <w:abstractNumId w:val="3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B69"/>
    <w:rsid w:val="00124B7C"/>
    <w:rsid w:val="002A09DA"/>
    <w:rsid w:val="002D68BA"/>
    <w:rsid w:val="00376B69"/>
    <w:rsid w:val="003E6CC8"/>
    <w:rsid w:val="003F39CE"/>
    <w:rsid w:val="004B3DAF"/>
    <w:rsid w:val="0057396E"/>
    <w:rsid w:val="00636B91"/>
    <w:rsid w:val="00664672"/>
    <w:rsid w:val="007C04E0"/>
    <w:rsid w:val="00866174"/>
    <w:rsid w:val="00A55562"/>
    <w:rsid w:val="00BC62E1"/>
    <w:rsid w:val="00BE63BB"/>
    <w:rsid w:val="00C50C05"/>
    <w:rsid w:val="00D54783"/>
    <w:rsid w:val="00EC59AE"/>
    <w:rsid w:val="00F230EE"/>
    <w:rsid w:val="00FA3C41"/>
    <w:rsid w:val="00FB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3709D8-1BE4-4A9B-BD8B-57084F46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BC62E1"/>
    <w:pPr>
      <w:spacing w:after="120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BC62E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BC62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BC62E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BC62E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04E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04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62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2E1"/>
    <w:rPr>
      <w:rFonts w:ascii="Tahoma" w:eastAsiaTheme="minorEastAsia" w:hAnsi="Tahoma" w:cs="Tahoma"/>
      <w:sz w:val="16"/>
      <w:szCs w:val="16"/>
      <w:lang w:bidi="en-US"/>
    </w:rPr>
  </w:style>
  <w:style w:type="character" w:customStyle="1" w:styleId="Heading2Char">
    <w:name w:val="Heading 2 Char"/>
    <w:basedOn w:val="DefaultParagraphFont"/>
    <w:link w:val="Heading2"/>
    <w:rsid w:val="00BC62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1Char">
    <w:name w:val="Heading 1 Char"/>
    <w:basedOn w:val="DefaultParagraphFont"/>
    <w:link w:val="Heading1"/>
    <w:rsid w:val="00BC62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NoSpacing">
    <w:name w:val="No Spacing"/>
    <w:uiPriority w:val="1"/>
    <w:qFormat/>
    <w:rsid w:val="004B3DAF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rsid w:val="00BC62E1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BC62E1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qFormat/>
    <w:rsid w:val="00BC62E1"/>
    <w:p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BC62E1"/>
    <w:pPr>
      <w:numPr>
        <w:ilvl w:val="2"/>
      </w:numPr>
      <w:ind w:left="720"/>
    </w:pPr>
  </w:style>
  <w:style w:type="paragraph" w:customStyle="1" w:styleId="ppBodyTextIndent2">
    <w:name w:val="pp Body Text Indent 2"/>
    <w:basedOn w:val="ppBodyTextIndent"/>
    <w:rsid w:val="00BC62E1"/>
    <w:pPr>
      <w:numPr>
        <w:ilvl w:val="3"/>
      </w:numPr>
      <w:ind w:left="1440"/>
    </w:pPr>
  </w:style>
  <w:style w:type="paragraph" w:customStyle="1" w:styleId="ppBulletList">
    <w:name w:val="pp Bullet List"/>
    <w:basedOn w:val="ppNumberList"/>
    <w:link w:val="ppBulletListChar"/>
    <w:qFormat/>
    <w:rsid w:val="00BC62E1"/>
    <w:pPr>
      <w:numPr>
        <w:numId w:val="6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BC62E1"/>
    <w:pPr>
      <w:numPr>
        <w:ilvl w:val="2"/>
      </w:numPr>
      <w:ind w:left="1434" w:hanging="357"/>
    </w:pPr>
  </w:style>
  <w:style w:type="paragraph" w:customStyle="1" w:styleId="ppChapterNumber">
    <w:name w:val="pp Chapter Number"/>
    <w:next w:val="Normal"/>
    <w:uiPriority w:val="14"/>
    <w:rsid w:val="00BC62E1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BC62E1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BC62E1"/>
    <w:pPr>
      <w:spacing w:before="340" w:after="24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BC62E1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BC62E1"/>
    <w:pPr>
      <w:numPr>
        <w:ilvl w:val="1"/>
        <w:numId w:val="7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BC62E1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BC62E1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BC62E1"/>
    <w:pPr>
      <w:keepNext/>
      <w:numPr>
        <w:ilvl w:val="1"/>
        <w:numId w:val="8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BC62E1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BC62E1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BC62E1"/>
    <w:pPr>
      <w:numPr>
        <w:ilvl w:val="1"/>
        <w:numId w:val="10"/>
      </w:numPr>
      <w:spacing w:after="240"/>
      <w:ind w:left="0"/>
    </w:pPr>
  </w:style>
  <w:style w:type="paragraph" w:customStyle="1" w:styleId="ppFigureCaption">
    <w:name w:val="pp Figure Caption"/>
    <w:basedOn w:val="Normal"/>
    <w:next w:val="ppBodyText"/>
    <w:qFormat/>
    <w:rsid w:val="00BC62E1"/>
    <w:pPr>
      <w:numPr>
        <w:ilvl w:val="1"/>
        <w:numId w:val="9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BC62E1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BC62E1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BC62E1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BC62E1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BC62E1"/>
    <w:pPr>
      <w:numPr>
        <w:ilvl w:val="1"/>
        <w:numId w:val="11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BC62E1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BC62E1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BC62E1"/>
    <w:pPr>
      <w:numPr>
        <w:ilvl w:val="1"/>
        <w:numId w:val="13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BC62E1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BC62E1"/>
    <w:pPr>
      <w:numPr>
        <w:ilvl w:val="1"/>
        <w:numId w:val="12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BC62E1"/>
    <w:pPr>
      <w:numPr>
        <w:ilvl w:val="0"/>
        <w:numId w:val="23"/>
      </w:numPr>
      <w:ind w:left="426" w:hanging="284"/>
    </w:pPr>
  </w:style>
  <w:style w:type="paragraph" w:customStyle="1" w:styleId="ppNoteIndent">
    <w:name w:val="pp Note Indent"/>
    <w:basedOn w:val="ppNote"/>
    <w:rsid w:val="00BC62E1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BC62E1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BC62E1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BC62E1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BC62E1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BC62E1"/>
    <w:rPr>
      <w:color w:val="333399"/>
    </w:rPr>
  </w:style>
  <w:style w:type="table" w:customStyle="1" w:styleId="ppTableGrid">
    <w:name w:val="pp Table Grid"/>
    <w:basedOn w:val="ppTableList"/>
    <w:rsid w:val="00BC62E1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BC62E1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BC62E1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BC62E1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BC62E1"/>
  </w:style>
  <w:style w:type="table" w:styleId="TableGrid">
    <w:name w:val="Table Grid"/>
    <w:basedOn w:val="TableNormal"/>
    <w:rsid w:val="00BC62E1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BC62E1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C62E1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BC62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62E1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BC62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62E1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BC62E1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BC62E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62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BC62E1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BC62E1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BC62E1"/>
    <w:pPr>
      <w:spacing w:after="24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BC62E1"/>
    <w:pPr>
      <w:numPr>
        <w:ilvl w:val="4"/>
      </w:numPr>
      <w:ind w:left="2160"/>
    </w:pPr>
  </w:style>
  <w:style w:type="paragraph" w:customStyle="1" w:styleId="ppBulletListIndent2">
    <w:name w:val="pp Bullet List Indent 2"/>
    <w:basedOn w:val="ppBulletListIndent"/>
    <w:qFormat/>
    <w:rsid w:val="00BC62E1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BC62E1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BC62E1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BC62E1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BC62E1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BC62E1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BC62E1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BC62E1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BC62E1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BC62E1"/>
  </w:style>
  <w:style w:type="character" w:customStyle="1" w:styleId="BodyTextChar">
    <w:name w:val="Body Text Char"/>
    <w:basedOn w:val="DefaultParagraphFont"/>
    <w:link w:val="BodyText"/>
    <w:semiHidden/>
    <w:rsid w:val="00BC62E1"/>
    <w:rPr>
      <w:rFonts w:eastAsiaTheme="minorEastAsia"/>
      <w:lang w:bidi="en-US"/>
    </w:rPr>
  </w:style>
  <w:style w:type="paragraph" w:customStyle="1" w:styleId="ppNoteBulletIndent">
    <w:name w:val="pp Note Bullet Indent"/>
    <w:basedOn w:val="ppNoteBullet"/>
    <w:qFormat/>
    <w:rsid w:val="00BC62E1"/>
    <w:pPr>
      <w:ind w:left="1146"/>
    </w:pPr>
  </w:style>
  <w:style w:type="paragraph" w:customStyle="1" w:styleId="ppNoteBulletIndent2">
    <w:name w:val="pp Note Bullet Indent 2"/>
    <w:basedOn w:val="ppNoteBulletIndent"/>
    <w:qFormat/>
    <w:rsid w:val="00BC62E1"/>
    <w:pPr>
      <w:ind w:left="1866"/>
    </w:pPr>
  </w:style>
  <w:style w:type="paragraph" w:customStyle="1" w:styleId="ppNoteBulletIndent3">
    <w:name w:val="pp Note Bullet Indent 3"/>
    <w:basedOn w:val="ppNoteBulletIndent2"/>
    <w:qFormat/>
    <w:rsid w:val="00BC62E1"/>
    <w:pPr>
      <w:ind w:left="25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://visualstudiogallery.msdn.microsoft.com/eb77e739-c98c-4e36-9ead-fa115b27fefe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s://mvp.support.microsoft.com/profile/Matteo.Emili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tfsintegration.codeplex.com" TargetMode="Externa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image" Target="media/image18.png"/><Relationship Id="rId4" Type="http://schemas.openxmlformats.org/officeDocument/2006/relationships/customXml" Target="../customXml/item4.xml"/><Relationship Id="rId9" Type="http://schemas.openxmlformats.org/officeDocument/2006/relationships/hyperlink" Target="https://mvp.support.microsoft.com/profile/Matteo.Emili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yperlink" Target="http://sxp.microsoft.com/feeds/3.0/msdntn/TA_MSDN_ITA?contenttype=Article&amp;author=Matteo%20Emili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dod\AppData\Roaming\Microsoft\Templates\pp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83FCD-6E19-4DEC-968C-7EBFB28E9019}"/>
      </w:docPartPr>
      <w:docPartBody>
        <w:p w:rsidR="003321C1" w:rsidRDefault="00AB4161">
          <w:r w:rsidRPr="00303E1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161"/>
    <w:rsid w:val="003321C1"/>
    <w:rsid w:val="00421EF4"/>
    <w:rsid w:val="00551670"/>
    <w:rsid w:val="009670D0"/>
    <w:rsid w:val="00AB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416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A8B6A33B790546A94A5AD40427151D" ma:contentTypeVersion="4" ma:contentTypeDescription="Create a new document." ma:contentTypeScope="" ma:versionID="a0ae9d25be816ef08da569f8f3f040a4">
  <xsd:schema xmlns:xsd="http://www.w3.org/2001/XMLSchema" xmlns:p="http://schemas.microsoft.com/office/2006/metadata/properties" xmlns:ns1="http://schemas.microsoft.com/sharepoint/v3" xmlns:ns2="c5d4bebd-79bb-4f92-b68e-7d1772775060" targetNamespace="http://schemas.microsoft.com/office/2006/metadata/properties" ma:root="true" ma:fieldsID="4802bd1cb1eb13c97e71fb49e182a3b7" ns1:_="" ns2:_="">
    <xsd:import namespace="http://schemas.microsoft.com/sharepoint/v3"/>
    <xsd:import namespace="c5d4bebd-79bb-4f92-b68e-7d1772775060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internalName="PublishingStartDate">
      <xsd:simpleType>
        <xsd:restriction base="dms:Unknown"/>
      </xsd:simpleType>
    </xsd:element>
    <xsd:element name="PublishingExpirationDate" ma:index="9" nillable="true" ma:displayName="Scheduling End Date" ma:internalName="PublishingExpirationDate">
      <xsd:simpleType>
        <xsd:restriction base="dms:Unknown"/>
      </xsd:simpleType>
    </xsd:element>
  </xsd:schema>
  <xsd:schema xmlns:xsd="http://www.w3.org/2001/XMLSchema" xmlns:dms="http://schemas.microsoft.com/office/2006/documentManagement/types" targetNamespace="c5d4bebd-79bb-4f92-b68e-7d1772775060" elementFormDefault="qualified">
    <xsd:import namespace="http://schemas.microsoft.com/office/2006/documentManagement/types"/>
    <xsd:element name="Status" ma:index="11" nillable="true" ma:displayName="Status" ma:internalName="Statu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Status xmlns="c5d4bebd-79bb-4f92-b68e-7d1772775060" xsi:nil="true"/>
    <PublishingExpirationDate xmlns="http://schemas.microsoft.com/sharepoint/v3" xsi:nil="true"/>
    <PublishingStartDate xmlns="http://schemas.microsoft.com/sharepoint/v3" xsi:nil="true"/>
  </documentManagement>
</p:properties>
</file>

<file path=customXml/item4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>  
     < t o p i c   i d = " f 9 7 9 f c c c - e 3 f 5 - 4 5 1 e - 8 1 d e - 2 e 1 5 e 9 2 f 5 6 f b "   t i t l e = " M i g r a z i o n i   c o n   l a   T e a m   F o u n d a t i o n   S e r v e r   I n t e g r a t i o n   P l a t f o r m "   s t y l e = " T o p i c " / >  
 < / t o c > 
</file>

<file path=customXml/itemProps1.xml><?xml version="1.0" encoding="utf-8"?>
<ds:datastoreItem xmlns:ds="http://schemas.openxmlformats.org/officeDocument/2006/customXml" ds:itemID="{02E23537-4153-47E0-9835-43FD146759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59EF1D-4648-4C6B-B091-20A0F10526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5d4bebd-79bb-4f92-b68e-7d1772775060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8183919-8D49-4172-A91E-BDFA0FBE4E30}">
  <ds:schemaRefs>
    <ds:schemaRef ds:uri="http://schemas.microsoft.com/office/2006/metadata/properties"/>
    <ds:schemaRef ds:uri="c5d4bebd-79bb-4f92-b68e-7d1772775060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855F01D0-6DFB-4AF9-A96D-1269FD89E919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ppContent.dotx</Template>
  <TotalTime>248</TotalTime>
  <Pages>10</Pages>
  <Words>1115</Words>
  <Characters>6360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Migrazioni con la Team Foundation Server Integration Platform</vt:lpstr>
    </vt:vector>
  </TitlesOfParts>
  <Company>Microsoft Corporation</Company>
  <LinksUpToDate>false</LinksUpToDate>
  <CharactersWithSpaces>7461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Migrazioni con la Team Foundation Server Integration Platform</dc:title>
  <dc:creator>Matteo</dc:creator>
  <cp:lastModifiedBy>Aldo Donetti</cp:lastModifiedBy>
  <cp:revision>8</cp:revision>
  <dcterms:created xsi:type="dcterms:W3CDTF">2010-06-01T10:56:00Z</dcterms:created>
  <dcterms:modified xsi:type="dcterms:W3CDTF">2012-12-05T11:04:00Z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0x0101009EA8B6A33B790546A94A5AD40427151D</vt:lpwstr>
  </property>
</Properties>
</file>