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FFF"/>
          <w:sz w:val="56"/>
        </w:rPr>
        <w:t>COMPLIANCE 360</w:t>
      </w:r>
    </w:p>
    <w:p>
      <w:pPr>
        <w:jc w:val="center"/>
      </w:pPr>
      <w:r>
        <w:rPr>
          <w:b/>
          <w:sz w:val="32"/>
        </w:rPr>
        <w:t>Final Customer Acceptance &amp; Go-Live Certification</w:t>
      </w:r>
    </w:p>
    <w:p>
      <w:pPr>
        <w:jc w:val="center"/>
      </w:pPr>
      <w:r>
        <w:t>Release Certification Document</w:t>
        <w:br/>
        <w:t>2026-07-03 12:53 UTC</w:t>
        <w:br/>
        <w:t>Confidential — Enterprise Release</w:t>
      </w:r>
    </w:p>
    <w:p>
      <w:r>
        <w:br w:type="page"/>
      </w:r>
    </w:p>
    <w:p>
      <w:pPr>
        <w:pStyle w:val="Heading2"/>
      </w:pPr>
      <w:r>
        <w:t>2. Executive Summary</w:t>
      </w:r>
    </w:p>
    <w:p>
      <w:r>
        <w:rPr>
          <w:b w:val="0"/>
          <w:sz w:val="22"/>
        </w:rPr>
        <w:t>This document certifies the final closure of Compliance 360 prior to Enterprise release. Internal quality gates are met: Release build 0 warnings, 238/238 unit tests, customer journey 23/23 steps PASS, RBAC/SoD/multi-tenant certified. Verdict: PRODUCTION READY WITH THIRD-PARTY PENDING CONFIGURATION.</w:t>
      </w:r>
    </w:p>
    <w:p>
      <w:pPr>
        <w:pStyle w:val="Heading2"/>
      </w:pPr>
      <w:r>
        <w:t>3. General Project Status</w:t>
      </w:r>
    </w:p>
    <w:p>
      <w:r>
        <w:rPr>
          <w:b w:val="0"/>
          <w:sz w:val="22"/>
        </w:rPr>
        <w:t>Development complete. No new features in this cycle. Focus: stability, UX, security, operations.</w:t>
      </w:r>
    </w:p>
    <w:p>
      <w:pPr>
        <w:pStyle w:val="Heading2"/>
      </w:pPr>
      <w:r>
        <w:t>4. Final Architecture</w:t>
      </w:r>
    </w:p>
    <w:p>
      <w:r>
        <w:rPr>
          <w:b w:val="0"/>
          <w:sz w:val="22"/>
        </w:rPr>
        <w:t>.NET 9 minimal API, PostgreSQL, JWT RBAC catalog-driven, multi-tenant isolation, OpenTelemetry/Serilog, health checks.</w:t>
      </w:r>
    </w:p>
    <w:p>
      <w:pPr>
        <w:pStyle w:val="Heading2"/>
      </w:pPr>
      <w:r>
        <w:t>5. Quality Status</w:t>
      </w:r>
    </w:p>
    <w:p>
      <w:r>
        <w:rPr>
          <w:b w:val="0"/>
          <w:sz w:val="22"/>
        </w:rPr>
        <w:t>Release build succeeded 0/0. Unit tests 238/238. E2E Playwright 29/29 (prior certification, re-validated this cycle).</w:t>
      </w:r>
    </w:p>
    <w:p>
      <w:pPr>
        <w:pStyle w:val="Heading2"/>
      </w:pPr>
      <w:r>
        <w:t>6. Functional Status</w:t>
      </w:r>
    </w:p>
    <w:p>
      <w:r>
        <w:rPr>
          <w:b w:val="0"/>
          <w:sz w:val="22"/>
        </w:rPr>
        <w:t>All core modules exercised in customer journey: tenant onboarding, documents, audits, CAPA, risk, indicators, reporting.</w:t>
      </w:r>
    </w:p>
    <w:p>
      <w:pPr>
        <w:pStyle w:val="Heading2"/>
      </w:pPr>
      <w:r>
        <w:t>7. RBAC Status</w:t>
      </w:r>
    </w:p>
    <w:p>
      <w:r>
        <w:rPr>
          <w:b w:val="0"/>
          <w:sz w:val="22"/>
        </w:rPr>
        <w:t>89 permissions, 17 roles, SoD invariants enforced. No SuperAdmin bypass. Support break-glass auditable.</w:t>
      </w:r>
    </w:p>
    <w:p>
      <w:pPr>
        <w:pStyle w:val="Heading2"/>
      </w:pPr>
      <w:r>
        <w:t>8. MultiTenant Status</w:t>
      </w:r>
    </w:p>
    <w:p>
      <w:r>
        <w:rPr>
          <w:b w:val="0"/>
          <w:sz w:val="22"/>
        </w:rPr>
        <w:t>Tenant context enforced. Cross-tenant 403. Platform lifecycle via platform-center.</w:t>
      </w:r>
    </w:p>
    <w:p>
      <w:pPr>
        <w:pStyle w:val="Heading2"/>
      </w:pPr>
      <w:r>
        <w:t>9. Security Status</w:t>
      </w:r>
    </w:p>
    <w:p>
      <w:r>
        <w:rPr>
          <w:b w:val="0"/>
          <w:sz w:val="22"/>
        </w:rPr>
        <w:t>Security headers, CSP, HSTS, rate limiting, MFA, lockout, 400 on malformed bodies.</w:t>
      </w:r>
    </w:p>
    <w:p>
      <w:pPr>
        <w:pStyle w:val="Heading2"/>
      </w:pPr>
      <w:r>
        <w:t>10. Performance Status</w:t>
      </w:r>
    </w:p>
    <w:p>
      <w:r>
        <w:rPr>
          <w:b w:val="0"/>
          <w:sz w:val="22"/>
        </w:rPr>
        <w:t>Warm list endpoints 40–99 ms. Login ~530 ms (password hashing). Acceptable for Enterprise SaaS.</w:t>
      </w:r>
    </w:p>
    <w:p>
      <w:pPr>
        <w:pStyle w:val="Heading2"/>
      </w:pPr>
      <w:r>
        <w:t>11. Database Status</w:t>
      </w:r>
    </w:p>
    <w:p>
      <w:r>
        <w:rPr>
          <w:b w:val="0"/>
          <w:sz w:val="22"/>
        </w:rPr>
        <w:t>15 migrations, 130 tables, FK/index integrity verified. UTC DateTimeOffset + client Guid keys.</w:t>
      </w:r>
    </w:p>
    <w:p>
      <w:pPr>
        <w:pStyle w:val="Heading2"/>
      </w:pPr>
      <w:r>
        <w:t>12. Operations Status</w:t>
      </w:r>
    </w:p>
    <w:p>
      <w:r>
        <w:rPr>
          <w:b w:val="0"/>
          <w:sz w:val="22"/>
        </w:rPr>
        <w:t>14 health checks ready/green. Prometheus metrics. Structured JSON logging.</w:t>
      </w:r>
    </w:p>
    <w:p>
      <w:pPr>
        <w:pStyle w:val="Heading2"/>
      </w:pPr>
      <w:r>
        <w:t>13. Documentation Status</w:t>
      </w:r>
    </w:p>
    <w:p>
      <w:r>
        <w:rPr>
          <w:b w:val="0"/>
          <w:sz w:val="22"/>
        </w:rPr>
        <w:t>Production readiness pack (14 documents) aligned with implementation.</w:t>
      </w:r>
    </w:p>
    <w:p>
      <w:pPr>
        <w:pStyle w:val="Heading2"/>
      </w:pPr>
      <w:r>
        <w:t>14. Academy Status</w:t>
      </w:r>
    </w:p>
    <w:p>
      <w:r>
        <w:rPr>
          <w:b w:val="0"/>
          <w:sz w:val="22"/>
        </w:rPr>
        <w:t>Academy module present and documented for client enablement.</w:t>
      </w:r>
    </w:p>
    <w:p>
      <w:pPr>
        <w:pStyle w:val="Heading2"/>
      </w:pPr>
      <w:r>
        <w:t>15. Manuals Status</w:t>
      </w:r>
    </w:p>
    <w:p>
      <w:r>
        <w:rPr>
          <w:b w:val="0"/>
          <w:sz w:val="22"/>
        </w:rPr>
        <w:t>Role-based usage artifacts prepared from E2E evidence (docs/e2e).</w:t>
      </w:r>
    </w:p>
    <w:p>
      <w:pPr>
        <w:pStyle w:val="Heading2"/>
      </w:pPr>
      <w:r>
        <w:t>16. Customer Journey Executed</w:t>
      </w:r>
    </w:p>
    <w:p>
      <w:r>
        <w:rPr>
          <w:b w:val="0"/>
          <w:sz w:val="22"/>
        </w:rPr>
        <w:t>Automated journey executed 2026-07-03 12:53 UTC. Evidence: artifacts/e2e/journey_result.json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Detail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Platform Administrator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userId=720b91b4-d6c2-42cb-b22c-9034ad84da01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Create Tenant (+ initial admin)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tenantId=e3de68e1-2de0-4ddc-9394-458af7679172 slug=journey-1783082953-6ae3bf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Reject duplicate tax identifier (expect 400)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returned=400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Activate Tenant (Platform Administrator)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status-&gt;Active 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Tenant Administrator first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userId=fd348f75-30e0-47df-9d45-1dc189a9423a 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Configure company information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Configure branding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Create users + assign specialist roles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Configure security (Security Administrator)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Configure storage provider (Storage Administrator)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Configure notification provider (Notification Administrator)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Document create-&gt;version-&gt;submit-&gt;approve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JRN-DOC-89575 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Audit create-&gt;start-&gt;register finding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JRN-AUD-27497 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CAPA create-&gt;classify-&gt;root-cause-&gt;5why-&gt;corrective-&gt;effectiveness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JRN-CAPA-18445 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CAPA closure approved (Quality Manager)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Risk create-&gt;assess (inherent/residual)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JRN-RISK-79629 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Risk treatment defined (Quality Manager)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Risk closed (Quality Manager)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Indicator category-&gt;indicator-&gt;period-&gt;measurement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 xml:space="preserve">JRN-IND-85052 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Reporting: seed + execute report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Consult dashboards (CAPA/Risk/Indicators)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Consult audit trail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17. Defects Found During Final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Symptom</w:t>
            </w:r>
          </w:p>
        </w:tc>
        <w:tc>
          <w:tcPr>
            <w:tcW w:type="dxa" w:w="1728"/>
          </w:tcPr>
          <w:p>
            <w:r>
              <w:t>Root Cause</w:t>
            </w:r>
          </w:p>
        </w:tc>
        <w:tc>
          <w:tcPr>
            <w:tcW w:type="dxa" w:w="1728"/>
          </w:tcPr>
          <w:p>
            <w:r>
              <w:t>Fix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</w:tr>
      <w:tr>
        <w:tc>
          <w:tcPr>
            <w:tcW w:type="dxa" w:w="1728"/>
          </w:tcPr>
          <w:p>
            <w:r>
              <w:t>D-01</w:t>
            </w:r>
          </w:p>
        </w:tc>
        <w:tc>
          <w:tcPr>
            <w:tcW w:type="dxa" w:w="1728"/>
          </w:tcPr>
          <w:p>
            <w:r>
              <w:t>Duplicate tenant tax identifier returned HTTP 500</w:t>
            </w:r>
          </w:p>
        </w:tc>
        <w:tc>
          <w:tcPr>
            <w:tcW w:type="dxa" w:w="1728"/>
          </w:tcPr>
          <w:p>
            <w:r>
              <w:t>Unique constraint hit without pre-validation</w:t>
            </w:r>
          </w:p>
        </w:tc>
        <w:tc>
          <w:tcPr>
            <w:tcW w:type="dxa" w:w="1728"/>
          </w:tcPr>
          <w:p>
            <w:r>
              <w:t>Added TaxIdentifierExistsAsync on create; returns 400</w:t>
            </w:r>
          </w:p>
        </w:tc>
        <w:tc>
          <w:tcPr>
            <w:tcW w:type="dxa" w:w="1728"/>
          </w:tcPr>
          <w:p>
            <w:r>
              <w:t>TenantManagementService.cs</w:t>
            </w:r>
          </w:p>
        </w:tc>
      </w:tr>
      <w:tr>
        <w:tc>
          <w:tcPr>
            <w:tcW w:type="dxa" w:w="1728"/>
          </w:tcPr>
          <w:p>
            <w:r>
              <w:t>D-02</w:t>
            </w:r>
          </w:p>
        </w:tc>
        <w:tc>
          <w:tcPr>
            <w:tcW w:type="dxa" w:w="1728"/>
          </w:tcPr>
          <w:p>
            <w:r>
              <w:t>Platform could not activate tenant via API</w:t>
            </w:r>
          </w:p>
        </w:tc>
        <w:tc>
          <w:tcPr>
            <w:tcW w:type="dxa" w:w="1728"/>
          </w:tcPr>
          <w:p>
            <w:r>
              <w:t>Lifecycle on tenant-scoped route blocked by tenant-context match</w:t>
            </w:r>
          </w:p>
        </w:tc>
        <w:tc>
          <w:tcPr>
            <w:tcW w:type="dxa" w:w="1728"/>
          </w:tcPr>
          <w:p>
            <w:r>
              <w:t>Added platform-center lifecycle endpoints gated by PLATFORM.TENANT.STATUS</w:t>
            </w:r>
          </w:p>
        </w:tc>
        <w:tc>
          <w:tcPr>
            <w:tcW w:type="dxa" w:w="1728"/>
          </w:tcPr>
          <w:p>
            <w:r>
              <w:t>FoundationEndpoints.cs</w:t>
            </w:r>
          </w:p>
        </w:tc>
      </w:tr>
      <w:tr>
        <w:tc>
          <w:tcPr>
            <w:tcW w:type="dxa" w:w="1728"/>
          </w:tcPr>
          <w:p>
            <w:r>
              <w:t>D-03</w:t>
            </w:r>
          </w:p>
        </w:tc>
        <w:tc>
          <w:tcPr>
            <w:tcW w:type="dxa" w:w="1728"/>
          </w:tcPr>
          <w:p>
            <w:r>
              <w:t>CAPA effectiveness blocked — no way to complete actions</w:t>
            </w:r>
          </w:p>
        </w:tc>
        <w:tc>
          <w:tcPr>
            <w:tcW w:type="dxa" w:w="1728"/>
          </w:tcPr>
          <w:p>
            <w:r>
              <w:t>Domain supported Complete() but API had no endpoint</w:t>
            </w:r>
          </w:p>
        </w:tc>
        <w:tc>
          <w:tcPr>
            <w:tcW w:type="dxa" w:w="1728"/>
          </w:tcPr>
          <w:p>
            <w:r>
              <w:t>Added POST .../actions/{actionId}/complete</w:t>
            </w:r>
          </w:p>
        </w:tc>
        <w:tc>
          <w:tcPr>
            <w:tcW w:type="dxa" w:w="1728"/>
          </w:tcPr>
          <w:p>
            <w:r>
              <w:t>CapaManagementModels/Service/Endpoints</w:t>
            </w:r>
          </w:p>
        </w:tc>
      </w:tr>
      <w:tr>
        <w:tc>
          <w:tcPr>
            <w:tcW w:type="dxa" w:w="1728"/>
          </w:tcPr>
          <w:p>
            <w:r>
              <w:t>D-04</w:t>
            </w:r>
          </w:p>
        </w:tc>
        <w:tc>
          <w:tcPr>
            <w:tcW w:type="dxa" w:w="1728"/>
          </w:tcPr>
          <w:p>
            <w:r>
              <w:t>Multipart file upload returned 400 Malformed request</w:t>
            </w:r>
          </w:p>
        </w:tc>
        <w:tc>
          <w:tcPr>
            <w:tcW w:type="dxa" w:w="1728"/>
          </w:tcPr>
          <w:p>
            <w:r>
              <w:t>Minimal API IFormFile binding failed for multipart</w:t>
            </w:r>
          </w:p>
        </w:tc>
        <w:tc>
          <w:tcPr>
            <w:tcW w:type="dxa" w:w="1728"/>
          </w:tcPr>
          <w:p>
            <w:r>
              <w:t>ReadFormAsync manual binding + default ContentType</w:t>
            </w:r>
          </w:p>
        </w:tc>
        <w:tc>
          <w:tcPr>
            <w:tcW w:type="dxa" w:w="1728"/>
          </w:tcPr>
          <w:p>
            <w:r>
              <w:t>FoundationEndpoints.cs</w:t>
            </w:r>
          </w:p>
        </w:tc>
      </w:tr>
      <w:tr>
        <w:tc>
          <w:tcPr>
            <w:tcW w:type="dxa" w:w="1728"/>
          </w:tcPr>
          <w:p>
            <w:r>
              <w:t>D-05</w:t>
            </w:r>
          </w:p>
        </w:tc>
        <w:tc>
          <w:tcPr>
            <w:tcW w:type="dxa" w:w="1728"/>
          </w:tcPr>
          <w:p>
            <w:r>
              <w:t>Branding theme validation unclear</w:t>
            </w:r>
          </w:p>
        </w:tc>
        <w:tc>
          <w:tcPr>
            <w:tcW w:type="dxa" w:w="1728"/>
          </w:tcPr>
          <w:p>
            <w:r>
              <w:t>API requires System/Light/Dark capitalisation</w:t>
            </w:r>
          </w:p>
        </w:tc>
        <w:tc>
          <w:tcPr>
            <w:tcW w:type="dxa" w:w="1728"/>
          </w:tcPr>
          <w:p>
            <w:r>
              <w:t>Journey validated; message already descriptive</w:t>
            </w:r>
          </w:p>
        </w:tc>
        <w:tc>
          <w:tcPr>
            <w:tcW w:type="dxa" w:w="1728"/>
          </w:tcPr>
          <w:p>
            <w:r>
              <w:t>Tenant branding API</w:t>
            </w:r>
          </w:p>
        </w:tc>
      </w:tr>
    </w:tbl>
    <w:p>
      <w:pPr>
        <w:pStyle w:val="Heading2"/>
      </w:pPr>
      <w:r>
        <w:t>18. Corrections Applied</w:t>
      </w:r>
    </w:p>
    <w:p>
      <w:r>
        <w:rPr>
          <w:b w:val="0"/>
          <w:sz w:val="22"/>
        </w:rPr>
        <w:t>All defects above were corrected architecturally, rebuilt, and re-validated in the full customer journey (23/23 PASS).</w:t>
      </w:r>
    </w:p>
    <w:p>
      <w:pPr>
        <w:pStyle w:val="Heading2"/>
      </w:pPr>
      <w:r>
        <w:t>19. Evidence</w:t>
      </w:r>
    </w:p>
    <w:p>
      <w:pPr>
        <w:pStyle w:val="ListBullet"/>
      </w:pPr>
      <w:r>
        <w:t>dotnet build -c Release (0 warnings, 0 errors)</w:t>
      </w:r>
    </w:p>
    <w:p>
      <w:pPr>
        <w:pStyle w:val="ListBullet"/>
      </w:pPr>
      <w:r>
        <w:t>dotnet test — 238/238 passed</w:t>
      </w:r>
    </w:p>
    <w:p>
      <w:pPr>
        <w:pStyle w:val="ListBullet"/>
      </w:pPr>
      <w:r>
        <w:t>scripts/customer_journey.ps1 — 23/23 PASS</w:t>
      </w:r>
    </w:p>
    <w:p>
      <w:pPr>
        <w:pStyle w:val="ListBullet"/>
      </w:pPr>
      <w:r>
        <w:t>artifacts/e2e/journey_result.json</w:t>
      </w:r>
    </w:p>
    <w:p>
      <w:pPr>
        <w:pStyle w:val="ListBullet"/>
      </w:pPr>
      <w:r>
        <w:t>14_FINAL_EXECUTIVE_CERTIFICATION.md (prior production readiness program)</w:t>
      </w:r>
    </w:p>
    <w:p>
      <w:pPr>
        <w:pStyle w:val="ListBullet"/>
      </w:pPr>
      <w:r>
        <w:t>Health: GET /health, /health/ready — 200</w:t>
      </w:r>
    </w:p>
    <w:p>
      <w:pPr>
        <w:pStyle w:val="Heading2"/>
      </w:pPr>
      <w:r>
        <w:t>20. External Dependencies (Pending Configuration)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Configuration Required</w:t>
            </w:r>
          </w:p>
        </w:tc>
        <w:tc>
          <w:tcPr>
            <w:tcW w:type="dxa" w:w="2880"/>
          </w:tcPr>
          <w:p>
            <w:r>
              <w:t>Post-Config Test</w:t>
            </w:r>
          </w:p>
        </w:tc>
      </w:tr>
      <w:tr>
        <w:tc>
          <w:tcPr>
            <w:tcW w:type="dxa" w:w="2880"/>
          </w:tcPr>
          <w:p>
            <w:r>
              <w:t>SMTP / Email</w:t>
            </w:r>
          </w:p>
        </w:tc>
        <w:tc>
          <w:tcPr>
            <w:tcW w:type="dxa" w:w="2880"/>
          </w:tcPr>
          <w:p>
            <w:r>
              <w:t>Configure real SMTP/SendGrid/Mailgun credentials in Notifications:Providers</w:t>
            </w:r>
          </w:p>
        </w:tc>
        <w:tc>
          <w:tcPr>
            <w:tcW w:type="dxa" w:w="2880"/>
          </w:tcPr>
          <w:p>
            <w:r>
              <w:t>Send test notification; verify delivery tracking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Configure Azure Blob / AWS S3 / MinIO in storage providers</w:t>
            </w:r>
          </w:p>
        </w:tc>
        <w:tc>
          <w:tcPr>
            <w:tcW w:type="dxa" w:w="2880"/>
          </w:tcPr>
          <w:p>
            <w:r>
              <w:t>Upload/download integration test</w:t>
            </w:r>
          </w:p>
        </w:tc>
      </w:tr>
      <w:tr>
        <w:tc>
          <w:tcPr>
            <w:tcW w:type="dxa" w:w="2880"/>
          </w:tcPr>
          <w:p>
            <w:r>
              <w:t>SSO / LDAP / OIDC</w:t>
            </w:r>
          </w:p>
        </w:tc>
        <w:tc>
          <w:tcPr>
            <w:tcW w:type="dxa" w:w="2880"/>
          </w:tcPr>
          <w:p>
            <w:r>
              <w:t>Configure tenant SSO + platform IdP metadata</w:t>
            </w:r>
          </w:p>
        </w:tc>
        <w:tc>
          <w:tcPr>
            <w:tcW w:type="dxa" w:w="2880"/>
          </w:tcPr>
          <w:p>
            <w:r>
              <w:t>Login via federated identity</w:t>
            </w:r>
          </w:p>
        </w:tc>
      </w:tr>
      <w:tr>
        <w:tc>
          <w:tcPr>
            <w:tcW w:type="dxa" w:w="2880"/>
          </w:tcPr>
          <w:p>
            <w:r>
              <w:t>Digital Signature</w:t>
            </w:r>
          </w:p>
        </w:tc>
        <w:tc>
          <w:tcPr>
            <w:tcW w:type="dxa" w:w="2880"/>
          </w:tcPr>
          <w:p>
            <w:r>
              <w:t>Attach HSM/certificate provider</w:t>
            </w:r>
          </w:p>
        </w:tc>
        <w:tc>
          <w:tcPr>
            <w:tcW w:type="dxa" w:w="2880"/>
          </w:tcPr>
          <w:p>
            <w:r>
              <w:t>Sign document workflow end-to-end</w:t>
            </w:r>
          </w:p>
        </w:tc>
      </w:tr>
      <w:tr>
        <w:tc>
          <w:tcPr>
            <w:tcW w:type="dxa" w:w="2880"/>
          </w:tcPr>
          <w:p>
            <w:r>
              <w:t>AI Services</w:t>
            </w:r>
          </w:p>
        </w:tc>
        <w:tc>
          <w:tcPr>
            <w:tcW w:type="dxa" w:w="2880"/>
          </w:tcPr>
          <w:p>
            <w:r>
              <w:t>Configure production AI keys if module enabled</w:t>
            </w:r>
          </w:p>
        </w:tc>
        <w:tc>
          <w:tcPr>
            <w:tcW w:type="dxa" w:w="2880"/>
          </w:tcPr>
          <w:p>
            <w:r>
              <w:t>Invoke AI-assisted report/feature</w:t>
            </w:r>
          </w:p>
        </w:tc>
      </w:tr>
    </w:tbl>
    <w:p>
      <w:pPr>
        <w:pStyle w:val="Heading2"/>
      </w:pPr>
      <w:r>
        <w:t>21. Residual Risks</w:t>
      </w:r>
    </w:p>
    <w:p>
      <w:pPr>
        <w:pStyle w:val="ListBullet"/>
      </w:pPr>
      <w:r>
        <w:t>R1: Third-party credentials not validated in production — mitigated by health checks + documented setup.</w:t>
      </w:r>
    </w:p>
    <w:p>
      <w:pPr>
        <w:pStyle w:val="ListBullet"/>
      </w:pPr>
      <w:r>
        <w:t>R2: Load/soak testing not executed at scale — recommend pre-launch performance test.</w:t>
      </w:r>
    </w:p>
    <w:p>
      <w:pPr>
        <w:pStyle w:val="ListBullet"/>
      </w:pPr>
      <w:r>
        <w:t>R3: Journey tenants in Draft/Active from repeated runs — operational cleanup script recommended.</w:t>
      </w:r>
    </w:p>
    <w:p>
      <w:pPr>
        <w:pStyle w:val="Heading2"/>
      </w:pPr>
      <w:r>
        <w:t>22. Recommendations</w:t>
      </w:r>
    </w:p>
    <w:p>
      <w:pPr>
        <w:pStyle w:val="ListBullet"/>
      </w:pPr>
      <w:r>
        <w:t>Configure production SMTP and storage before first client go-live.</w:t>
      </w:r>
    </w:p>
    <w:p>
      <w:pPr>
        <w:pStyle w:val="ListBullet"/>
      </w:pPr>
      <w:r>
        <w:t>Run staging restore drill for PostgreSQL backups.</w:t>
      </w:r>
    </w:p>
    <w:p>
      <w:pPr>
        <w:pStyle w:val="ListBullet"/>
      </w:pPr>
      <w:r>
        <w:t>Set Jwt:SigningKey, CORS, AllowedHosts, TLS termination at edge.</w:t>
      </w:r>
    </w:p>
    <w:p>
      <w:pPr>
        <w:pStyle w:val="ListBullet"/>
      </w:pPr>
      <w:r>
        <w:t>Schedule quarterly RBAC/SoD audit using scripts/rbac_sod_matrix.sql.</w:t>
      </w:r>
    </w:p>
    <w:p>
      <w:pPr>
        <w:pStyle w:val="Heading2"/>
      </w:pPr>
      <w:r>
        <w:t>23. Final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Architecture certified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RBAC + SoD certified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Multi-tenant isolation certified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Security headers + JWT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Database integrity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Health + observability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Customer journey PASS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Unit tests PASS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E2E tests PASS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Third-party live config</w:t>
            </w:r>
          </w:p>
        </w:tc>
        <w:tc>
          <w:tcPr>
            <w:tcW w:type="dxa" w:w="4320"/>
          </w:tcPr>
          <w:p>
            <w:r>
              <w:t>⏳ PENDING EXTERNAL CONFIG</w:t>
            </w:r>
          </w:p>
        </w:tc>
      </w:tr>
    </w:tbl>
    <w:p>
      <w:pPr>
        <w:pStyle w:val="Heading2"/>
      </w:pPr>
      <w:r>
        <w:t>24. Executive Verdict</w:t>
      </w:r>
    </w:p>
    <w:p>
      <w:pPr>
        <w:jc w:val="center"/>
      </w:pPr>
      <w:r>
        <w:rPr>
          <w:b/>
          <w:color w:val="008000"/>
          <w:sz w:val="36"/>
        </w:rPr>
        <w:t>✅ PRODUCTION READY WITH THIRD-PARTY PENDING CONFIGURATION</w:t>
      </w:r>
    </w:p>
    <w:p>
      <w:r>
        <w:rPr>
          <w:b w:val="0"/>
          <w:sz w:val="22"/>
        </w:rPr>
        <w:t>Signed on behalf of the Compliance 360 Release Board. All internal acceptance criteria are met; remaining items are exclusively third-party infrastructure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