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egoe UI" w:hAnsi="Segoe UI" w:eastAsia="Segoe UI"/>
          <w:b w:val="0"/>
          <w:sz w:val="22"/>
        </w:rPr>
        <w:t>---</w:t>
      </w:r>
    </w:p>
    <w:p>
      <w:r>
        <w:rPr>
          <w:rFonts w:ascii="Segoe UI" w:hAnsi="Segoe UI" w:eastAsia="Segoe UI"/>
          <w:b w:val="0"/>
          <w:sz w:val="22"/>
        </w:rPr>
        <w:t>document-class: corporate-enterprise</w:t>
      </w:r>
    </w:p>
    <w:p>
      <w:r>
        <w:rPr>
          <w:rFonts w:ascii="Segoe UI" w:hAnsi="Segoe UI" w:eastAsia="Segoe UI"/>
          <w:b w:val="0"/>
          <w:sz w:val="22"/>
        </w:rPr>
        <w:t>font-family: Segoe UI</w:t>
      </w:r>
    </w:p>
    <w:p>
      <w:r>
        <w:rPr>
          <w:rFonts w:ascii="Segoe UI" w:hAnsi="Segoe UI" w:eastAsia="Segoe UI"/>
          <w:b w:val="0"/>
          <w:sz w:val="22"/>
        </w:rPr>
        <w:t>body-size: 11pt</w:t>
      </w:r>
    </w:p>
    <w:p>
      <w:r>
        <w:rPr>
          <w:rFonts w:ascii="Segoe UI" w:hAnsi="Segoe UI" w:eastAsia="Segoe UI"/>
          <w:b w:val="0"/>
          <w:sz w:val="22"/>
        </w:rPr>
        <w:t>heading-1: 20pt</w:t>
      </w:r>
    </w:p>
    <w:p>
      <w:r>
        <w:rPr>
          <w:rFonts w:ascii="Segoe UI" w:hAnsi="Segoe UI" w:eastAsia="Segoe UI"/>
          <w:b w:val="0"/>
          <w:sz w:val="22"/>
        </w:rPr>
        <w:t>heading-2: 16pt</w:t>
      </w:r>
    </w:p>
    <w:p>
      <w:r>
        <w:rPr>
          <w:rFonts w:ascii="Segoe UI" w:hAnsi="Segoe UI" w:eastAsia="Segoe UI"/>
          <w:b w:val="0"/>
          <w:sz w:val="22"/>
        </w:rPr>
        <w:t>heading-3: 14pt</w:t>
      </w:r>
    </w:p>
    <w:p>
      <w:r>
        <w:rPr>
          <w:rFonts w:ascii="Segoe UI" w:hAnsi="Segoe UI" w:eastAsia="Segoe UI"/>
          <w:b w:val="0"/>
          <w:sz w:val="22"/>
        </w:rPr>
        <w:t>classification: Confidencial — Uso interno y clientes autorizados</w:t>
      </w:r>
    </w:p>
    <w:p>
      <w:r>
        <w:rPr>
          <w:rFonts w:ascii="Segoe UI" w:hAnsi="Segoe UI" w:eastAsia="Segoe UI"/>
          <w:b w:val="0"/>
          <w:sz w:val="22"/>
        </w:rPr>
        <w:t>---</w:t>
      </w:r>
    </w:p>
    <w:p>
      <w:r>
        <w:rPr>
          <w:rFonts w:ascii="Segoe UI" w:hAnsi="Segoe UI" w:eastAsia="Segoe UI"/>
          <w:b w:val="0"/>
          <w:sz w:val="22"/>
        </w:rPr>
        <w:t>&lt;div align="center"&gt;</w:t>
      </w:r>
    </w:p>
    <w:p>
      <w:pPr>
        <w:pStyle w:val="Title"/>
      </w:pPr>
      <w:r>
        <w:rPr>
          <w:rFonts w:ascii="Segoe UI" w:hAnsi="Segoe UI" w:eastAsia="Segoe UI"/>
          <w:b/>
          <w:color w:val="0078D4"/>
          <w:sz w:val="40"/>
        </w:rPr>
        <w:t>AutonomusCRM</w:t>
      </w:r>
    </w:p>
    <w:p>
      <w:pPr>
        <w:pStyle w:val="Heading1"/>
      </w:pPr>
      <w:r>
        <w:rPr>
          <w:rFonts w:ascii="Segoe UI" w:hAnsi="Segoe UI" w:eastAsia="Segoe UI"/>
          <w:b/>
          <w:sz w:val="32"/>
        </w:rPr>
        <w:t>Guía de Operaciones — Administrador</w:t>
      </w:r>
    </w:p>
    <w:p>
      <w:r>
        <w:rPr>
          <w:rFonts w:ascii="Segoe UI" w:hAnsi="Segoe UI" w:eastAsia="Segoe UI"/>
          <w:b w:val="0"/>
          <w:sz w:val="22"/>
        </w:rPr>
        <w:t>Versión: 2.0.0</w:t>
      </w:r>
    </w:p>
    <w:p>
      <w:r>
        <w:rPr>
          <w:rFonts w:ascii="Segoe UI" w:hAnsi="Segoe UI" w:eastAsia="Segoe UI"/>
          <w:b w:val="0"/>
          <w:sz w:val="22"/>
        </w:rPr>
        <w:t>Fecha de publicación: 5 de junio de 2026</w:t>
      </w:r>
    </w:p>
    <w:p>
      <w:r>
        <w:rPr>
          <w:rFonts w:ascii="Segoe UI" w:hAnsi="Segoe UI" w:eastAsia="Segoe UI"/>
          <w:b w:val="0"/>
          <w:sz w:val="22"/>
        </w:rPr>
        <w:t>Autor: AutonomusCRM Enterprise Documentation Team</w:t>
      </w:r>
    </w:p>
    <w:p>
      <w:r>
        <w:rPr>
          <w:rFonts w:ascii="Segoe UI" w:hAnsi="Segoe UI" w:eastAsia="Segoe UI"/>
          <w:b w:val="0"/>
          <w:sz w:val="22"/>
        </w:rPr>
        <w:t>Rol objetivo: Admin</w:t>
      </w:r>
    </w:p>
    <w:p>
      <w:r>
        <w:rPr>
          <w:rFonts w:ascii="Segoe UI" w:hAnsi="Segoe UI" w:eastAsia="Segoe UI"/>
          <w:b w:val="0"/>
          <w:sz w:val="22"/>
        </w:rPr>
        <w:t>Clasificación: Confidencial — Uso interno y clientes autorizados</w:t>
      </w:r>
    </w:p>
    <w:p>
      <w:r>
        <w:rPr>
          <w:rFonts w:ascii="Segoe UI" w:hAnsi="Segoe UI" w:eastAsia="Segoe UI"/>
          <w:b w:val="0"/>
          <w:sz w:val="22"/>
        </w:rPr>
        <w:t>---</w:t>
      </w:r>
    </w:p>
    <w:p>
      <w:r>
        <w:rPr>
          <w:rFonts w:ascii="Segoe UI" w:hAnsi="Segoe UI" w:eastAsia="Segoe UI"/>
          <w:b w:val="0"/>
          <w:sz w:val="22"/>
        </w:rPr>
        <w:t>*Documentación corporativa — Estándar Salesforce / Microsoft Dynamics 365*</w:t>
      </w:r>
    </w:p>
    <w:p>
      <w:r>
        <w:rPr>
          <w:rFonts w:ascii="Segoe UI" w:hAnsi="Segoe UI" w:eastAsia="Segoe UI"/>
          <w:b w:val="0"/>
          <w:sz w:val="22"/>
        </w:rPr>
        <w:t>&lt;/div&gt;</w:t>
      </w:r>
    </w:p>
    <w:p>
      <w:r>
        <w:rPr>
          <w:rFonts w:ascii="Segoe UI" w:hAnsi="Segoe UI" w:eastAsia="Segoe UI"/>
          <w:b w:val="0"/>
          <w:sz w:val="22"/>
        </w:rPr>
        <w:t>---</w:t>
      </w:r>
    </w:p>
    <w:p>
      <w:pPr>
        <w:pStyle w:val="Heading1"/>
      </w:pPr>
      <w:r>
        <w:rPr>
          <w:rFonts w:ascii="Segoe UI" w:hAnsi="Segoe UI" w:eastAsia="Segoe UI"/>
          <w:b/>
          <w:sz w:val="32"/>
        </w:rPr>
        <w:t>Control de versiones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Versión</w:t>
            </w:r>
          </w:p>
        </w:tc>
        <w:tc>
          <w:tcPr>
            <w:tcW w:type="dxa" w:w="2340"/>
          </w:tcPr>
          <w:p>
            <w:r>
              <w:t>Fecha</w:t>
            </w:r>
          </w:p>
        </w:tc>
        <w:tc>
          <w:tcPr>
            <w:tcW w:type="dxa" w:w="2340"/>
          </w:tcPr>
          <w:p>
            <w:r>
              <w:t>Autor</w:t>
            </w:r>
          </w:p>
        </w:tc>
        <w:tc>
          <w:tcPr>
            <w:tcW w:type="dxa" w:w="2340"/>
          </w:tcPr>
          <w:p>
            <w:r>
              <w:t>Descripción</w:t>
            </w:r>
          </w:p>
        </w:tc>
      </w:tr>
      <w:tr>
        <w:tc>
          <w:tcPr>
            <w:tcW w:type="dxa" w:w="2340"/>
          </w:tcPr>
          <w:p>
            <w:r>
              <w:t>1.0.0</w:t>
            </w:r>
          </w:p>
        </w:tc>
        <w:tc>
          <w:tcPr>
            <w:tcW w:type="dxa" w:w="2340"/>
          </w:tcPr>
          <w:p>
            <w:r>
              <w:t>2026-06-05</w:t>
            </w:r>
          </w:p>
        </w:tc>
        <w:tc>
          <w:tcPr>
            <w:tcW w:type="dxa" w:w="2340"/>
          </w:tcPr>
          <w:p>
            <w:r>
              <w:t>Enterprise Documentation Team</w:t>
            </w:r>
          </w:p>
        </w:tc>
        <w:tc>
          <w:tcPr>
            <w:tcW w:type="dxa" w:w="2340"/>
          </w:tcPr>
          <w:p>
            <w:r>
              <w:t>Publicación inicial basada en código</w:t>
            </w:r>
          </w:p>
        </w:tc>
      </w:tr>
      <w:tr>
        <w:tc>
          <w:tcPr>
            <w:tcW w:type="dxa" w:w="2340"/>
          </w:tcPr>
          <w:p>
            <w:r>
              <w:t>2.0.0</w:t>
            </w:r>
          </w:p>
        </w:tc>
        <w:tc>
          <w:tcPr>
            <w:tcW w:type="dxa" w:w="2340"/>
          </w:tcPr>
          <w:p>
            <w:r>
              <w:t>5 de junio de 2026</w:t>
            </w:r>
          </w:p>
        </w:tc>
        <w:tc>
          <w:tcPr>
            <w:tcW w:type="dxa" w:w="2340"/>
          </w:tcPr>
          <w:p>
            <w:r>
              <w:t>Enterprise Documentation Team</w:t>
            </w:r>
          </w:p>
        </w:tc>
        <w:tc>
          <w:tcPr>
            <w:tcW w:type="dxa" w:w="2340"/>
          </w:tcPr>
          <w:p>
            <w:r>
              <w:t>Transformación corporativa: estructura, diagramas, callouts, glosario</w:t>
            </w:r>
          </w:p>
        </w:tc>
      </w:tr>
    </w:tbl>
    <w:p>
      <w:r>
        <w:rPr>
          <w:rFonts w:ascii="Segoe UI" w:hAnsi="Segoe UI" w:eastAsia="Segoe UI"/>
          <w:b w:val="0"/>
          <w:sz w:val="22"/>
        </w:rPr>
        <w:t>---</w:t>
      </w:r>
    </w:p>
    <w:p>
      <w:pPr>
        <w:pStyle w:val="Heading1"/>
      </w:pPr>
      <w:r>
        <w:rPr>
          <w:rFonts w:ascii="Segoe UI" w:hAnsi="Segoe UI" w:eastAsia="Segoe UI"/>
          <w:b/>
          <w:sz w:val="32"/>
        </w:rPr>
        <w:t>Tabla de contenido</w:t>
      </w:r>
    </w:p>
    <w:p>
      <w:r>
        <w:rPr>
          <w:rFonts w:ascii="Segoe UI" w:hAnsi="Segoe UI" w:eastAsia="Segoe UI"/>
          <w:b w:val="0"/>
          <w:sz w:val="22"/>
        </w:rPr>
        <w:t>*Índice generado automáticamente — ver encabezados numerados del documento.*</w:t>
      </w:r>
    </w:p>
    <w:p>
      <w:r>
        <w:rPr>
          <w:rFonts w:ascii="Segoe UI" w:hAnsi="Segoe UI" w:eastAsia="Segoe UI"/>
          <w:b w:val="0"/>
          <w:sz w:val="22"/>
        </w:rPr>
        <w:t>1. Introducción</w:t>
      </w:r>
    </w:p>
    <w:p>
      <w:r>
        <w:rPr>
          <w:rFonts w:ascii="Segoe UI" w:hAnsi="Segoe UI" w:eastAsia="Segoe UI"/>
          <w:b w:val="0"/>
          <w:sz w:val="22"/>
        </w:rPr>
        <w:t>2. Cuerpo del documento (capítulos originales transformados)</w:t>
      </w:r>
    </w:p>
    <w:p>
      <w:r>
        <w:rPr>
          <w:rFonts w:ascii="Segoe UI" w:hAnsi="Segoe UI" w:eastAsia="Segoe UI"/>
          <w:b w:val="0"/>
          <w:sz w:val="22"/>
        </w:rPr>
        <w:t>3. Diagramas de referencia</w:t>
      </w:r>
    </w:p>
    <w:p>
      <w:r>
        <w:rPr>
          <w:rFonts w:ascii="Segoe UI" w:hAnsi="Segoe UI" w:eastAsia="Segoe UI"/>
          <w:b w:val="0"/>
          <w:sz w:val="22"/>
        </w:rPr>
        <w:t>4. Glosario corporativo</w:t>
      </w:r>
    </w:p>
    <w:p>
      <w:r>
        <w:rPr>
          <w:rFonts w:ascii="Segoe UI" w:hAnsi="Segoe UI" w:eastAsia="Segoe UI"/>
          <w:b w:val="0"/>
          <w:sz w:val="22"/>
        </w:rPr>
        <w:t>5. Apéndices</w:t>
      </w:r>
    </w:p>
    <w:p>
      <w:r>
        <w:rPr>
          <w:rFonts w:ascii="Segoe UI" w:hAnsi="Segoe UI" w:eastAsia="Segoe UI"/>
          <w:b w:val="0"/>
          <w:sz w:val="22"/>
        </w:rPr>
        <w:t>---</w:t>
      </w:r>
    </w:p>
    <w:p>
      <w:pPr>
        <w:pStyle w:val="Heading1"/>
      </w:pPr>
      <w:r>
        <w:rPr>
          <w:rFonts w:ascii="Segoe UI" w:hAnsi="Segoe UI" w:eastAsia="Segoe UI"/>
          <w:b/>
          <w:sz w:val="32"/>
        </w:rPr>
        <w:t>1. Introducción</w:t>
      </w:r>
    </w:p>
    <w:p>
      <w:pPr>
        <w:pStyle w:val="Heading2"/>
      </w:pPr>
      <w:r>
        <w:rPr>
          <w:rFonts w:ascii="Segoe UI" w:hAnsi="Segoe UI" w:eastAsia="Segoe UI"/>
          <w:b/>
          <w:sz w:val="28"/>
        </w:rPr>
        <w:t>1.1 Objetivo del documento</w:t>
      </w:r>
    </w:p>
    <w:p>
      <w:r>
        <w:rPr>
          <w:rFonts w:ascii="Segoe UI" w:hAnsi="Segoe UI" w:eastAsia="Segoe UI"/>
          <w:b w:val="0"/>
          <w:sz w:val="22"/>
        </w:rPr>
        <w:t>Usuarios, settings, audit, integraciones, incidentes</w:t>
      </w:r>
    </w:p>
    <w:p>
      <w:pPr>
        <w:pStyle w:val="Heading2"/>
      </w:pPr>
      <w:r>
        <w:rPr>
          <w:rFonts w:ascii="Segoe UI" w:hAnsi="Segoe UI" w:eastAsia="Segoe UI"/>
          <w:b/>
          <w:sz w:val="28"/>
        </w:rPr>
        <w:t>1.2 Audiencia</w:t>
      </w:r>
    </w:p>
    <w:p>
      <w:r>
        <w:rPr>
          <w:rFonts w:ascii="Segoe UI" w:hAnsi="Segoe UI" w:eastAsia="Segoe UI"/>
          <w:b w:val="0"/>
          <w:sz w:val="22"/>
        </w:rPr>
        <w:t>Administradores operativos</w:t>
      </w:r>
    </w:p>
    <w:p>
      <w:pPr>
        <w:pStyle w:val="Heading2"/>
      </w:pPr>
      <w:r>
        <w:rPr>
          <w:rFonts w:ascii="Segoe UI" w:hAnsi="Segoe UI" w:eastAsia="Segoe UI"/>
          <w:b/>
          <w:sz w:val="28"/>
        </w:rPr>
        <w:t>1.3 Alcance</w:t>
      </w:r>
    </w:p>
    <w:p>
      <w:r>
        <w:rPr>
          <w:rFonts w:ascii="Segoe UI" w:hAnsi="Segoe UI" w:eastAsia="Segoe UI"/>
          <w:b w:val="0"/>
          <w:sz w:val="22"/>
        </w:rPr>
        <w:t>Este documento cubre únicamente funcionalidades verificadas en el código fuente de AutonomusCRM. No describe módulos inexistentes ni roles no implementados.</w:t>
      </w:r>
    </w:p>
    <w:p>
      <w:pPr>
        <w:pStyle w:val="Heading2"/>
      </w:pPr>
      <w:r>
        <w:rPr>
          <w:rFonts w:ascii="Segoe UI" w:hAnsi="Segoe UI" w:eastAsia="Segoe UI"/>
          <w:b/>
          <w:sz w:val="28"/>
        </w:rPr>
        <w:t>1.4 Prerrequisitos</w:t>
      </w:r>
    </w:p>
    <w:tbl>
      <w:tblPr>
        <w:tblStyle w:val="TableGrid"/>
        <w:tblW w:type="auto" w:w="0"/>
        <w:tblLook w:firstColumn="1" w:firstRow="1" w:lastColumn="0" w:lastRow="0" w:noHBand="0" w:noVBand="1" w:val="04A0"/>
      </w:tblPr>
      <w:tblGrid>
        <w:gridCol w:w="4680"/>
        <w:gridCol w:w="4680"/>
      </w:tblGrid>
      <w:tr>
        <w:tc>
          <w:tcPr>
            <w:tcW w:type="dxa" w:w="4680"/>
          </w:tcPr>
          <w:p>
            <w:r>
              <w:t>Requisito</w:t>
            </w:r>
          </w:p>
        </w:tc>
        <w:tc>
          <w:tcPr>
            <w:tcW w:type="dxa" w:w="4680"/>
          </w:tcPr>
          <w:p>
            <w:r>
              <w:t>Detalle</w:t>
            </w:r>
          </w:p>
        </w:tc>
      </w:tr>
      <w:tr>
        <w:tc>
          <w:tcPr>
            <w:tcW w:type="dxa" w:w="4680"/>
          </w:tcPr>
          <w:p>
            <w:r>
              <w:t>Acceso</w:t>
            </w:r>
          </w:p>
        </w:tc>
        <w:tc>
          <w:tcPr>
            <w:tcW w:type="dxa" w:w="4680"/>
          </w:tcPr>
          <w:p>
            <w:r>
              <w:t>Cuenta activa en el tenant AutonomusCRM</w:t>
            </w:r>
          </w:p>
        </w:tc>
      </w:tr>
      <w:tr>
        <w:tc>
          <w:tcPr>
            <w:tcW w:type="dxa" w:w="4680"/>
          </w:tcPr>
          <w:p>
            <w:r>
              <w:t>Navegador</w:t>
            </w:r>
          </w:p>
        </w:tc>
        <w:tc>
          <w:tcPr>
            <w:tcW w:type="dxa" w:w="4680"/>
          </w:tcPr>
          <w:p>
            <w:r>
              <w:t>Chrome, Edge o Firefox actualizado</w:t>
            </w:r>
          </w:p>
        </w:tc>
      </w:tr>
      <w:tr>
        <w:tc>
          <w:tcPr>
            <w:tcW w:type="dxa" w:w="4680"/>
          </w:tcPr>
          <w:p>
            <w:r>
              <w:t>Rol</w:t>
            </w:r>
          </w:p>
        </w:tc>
        <w:tc>
          <w:tcPr>
            <w:tcW w:type="dxa" w:w="4680"/>
          </w:tcPr>
          <w:p>
            <w:r>
              <w:t>Según matriz en `ROLE_PERMISSION_MATRIX.md`</w:t>
            </w:r>
          </w:p>
        </w:tc>
      </w:tr>
      <w:tr>
        <w:tc>
          <w:tcPr>
            <w:tcW w:type="dxa" w:w="4680"/>
          </w:tcPr>
          <w:p>
            <w:r>
              <w:t>Conocimientos</w:t>
            </w:r>
          </w:p>
        </w:tc>
        <w:tc>
          <w:tcPr>
            <w:tcW w:type="dxa" w:w="4680"/>
          </w:tcPr>
          <w:p>
            <w:r>
              <w:t>Ninguno técnico requerido para roles operativos</w:t>
            </w:r>
          </w:p>
        </w:tc>
      </w:tr>
    </w:tbl>
    <w:p>
      <w:pPr>
        <w:pStyle w:val="Heading2"/>
      </w:pPr>
      <w:r>
        <w:rPr>
          <w:rFonts w:ascii="Segoe UI" w:hAnsi="Segoe UI" w:eastAsia="Segoe UI"/>
          <w:b/>
          <w:sz w:val="28"/>
        </w:rPr>
        <w:t>1.5 Definiciones clave</w:t>
      </w:r>
    </w:p>
    <w:p>
      <w:r>
        <w:rPr>
          <w:rFonts w:ascii="Segoe UI" w:hAnsi="Segoe UI" w:eastAsia="Segoe UI"/>
          <w:b w:val="0"/>
          <w:sz w:val="22"/>
        </w:rPr>
        <w:t>Consulte el Glosario corporativo al final del documento. Términos críticos: Lead, Customer, Deal, Pipeline, Tenant, Revenue OS.</w:t>
      </w:r>
    </w:p>
    <w:p>
      <w:pPr>
        <w:ind w:left="360"/>
      </w:pPr>
      <w:r>
        <w:rPr>
          <w:rFonts w:ascii="Segoe UI" w:hAnsi="Segoe UI" w:eastAsia="Segoe UI"/>
          <w:b w:val="0"/>
          <w:sz w:val="22"/>
        </w:rPr>
        <w:t>**NOTA:** La interfaz admite español (ES) e inglés (EN). Las rutas técnicas (`/Leads`, `/Deals`) se conservan por trazabilidad al producto.</w:t>
      </w:r>
    </w:p>
    <w:p>
      <w:pPr>
        <w:jc w:val="center"/>
      </w:pPr>
      <w:r>
        <w:rPr>
          <w:rFonts w:ascii="Segoe UI" w:hAnsi="Segoe UI" w:eastAsia="Segoe UI"/>
          <w:b/>
          <w:color w:val="808080"/>
          <w:sz w:val="20"/>
        </w:rPr>
        <w:t>[CAPTURA: Pantalla de inicio de sesión — /Account/Login]</w:t>
      </w:r>
    </w:p>
    <w:p>
      <w:pPr>
        <w:jc w:val="center"/>
      </w:pPr>
      <w:r>
        <w:rPr>
          <w:rFonts w:ascii="Segoe UI" w:hAnsi="Segoe UI" w:eastAsia="Segoe UI"/>
          <w:b w:val="0"/>
          <w:color w:val="B4B4B4"/>
          <w:sz w:val="18"/>
        </w:rPr>
        <w:t>┌─────────────────────────────────────────┐</w:t>
        <w:br/>
        <w:t>│  Espacio reservado para captura        │</w:t>
        <w:br/>
        <w:t>└─────────────────────────────────────────┘</w:t>
      </w:r>
    </w:p>
    <w:p>
      <w:r>
        <w:rPr>
          <w:rFonts w:ascii="Segoe UI" w:hAnsi="Segoe UI" w:eastAsia="Segoe UI"/>
          <w:b w:val="0"/>
          <w:sz w:val="22"/>
        </w:rPr>
        <w:t>---</w:t>
      </w:r>
    </w:p>
    <w:p>
      <w:pPr>
        <w:pStyle w:val="Heading1"/>
      </w:pPr>
      <w:r>
        <w:rPr>
          <w:rFonts w:ascii="Segoe UI" w:hAnsi="Segoe UI" w:eastAsia="Segoe UI"/>
          <w:b/>
          <w:sz w:val="32"/>
        </w:rPr>
        <w:t>2. Cuerpo del documento</w:t>
      </w:r>
    </w:p>
    <w:p>
      <w:pPr>
        <w:pStyle w:val="Title"/>
      </w:pPr>
      <w:r>
        <w:rPr>
          <w:rFonts w:ascii="Segoe UI" w:hAnsi="Segoe UI" w:eastAsia="Segoe UI"/>
          <w:b/>
          <w:color w:val="0078D4"/>
          <w:sz w:val="40"/>
        </w:rPr>
        <w:t>Guía de Operaciones Administrativas — AutonomusCRM</w:t>
      </w:r>
    </w:p>
    <w:p>
      <w:r>
        <w:rPr>
          <w:rFonts w:ascii="Segoe UI" w:hAnsi="Segoe UI" w:eastAsia="Segoe UI"/>
          <w:b w:val="0"/>
          <w:sz w:val="22"/>
        </w:rPr>
        <w:t>Audiencia: Administradores (Admin) y gerentes operativos (Manager)</w:t>
      </w:r>
    </w:p>
    <w:p>
      <w:r>
        <w:rPr>
          <w:rFonts w:ascii="Segoe UI" w:hAnsi="Segoe UI" w:eastAsia="Segoe UI"/>
          <w:b w:val="0"/>
          <w:sz w:val="22"/>
        </w:rPr>
        <w:t>Versión: Enterprise · Basada en código fuente verificado</w:t>
      </w:r>
    </w:p>
    <w:p>
      <w:r>
        <w:rPr>
          <w:rFonts w:ascii="Segoe UI" w:hAnsi="Segoe UI" w:eastAsia="Segoe UI"/>
          <w:b w:val="0"/>
          <w:sz w:val="22"/>
        </w:rPr>
        <w:t>Roles con acceso administrativo UI: Admin, Manager (alcance diferenciado según sección)</w:t>
      </w:r>
    </w:p>
    <w:p>
      <w:r>
        <w:rPr>
          <w:rFonts w:ascii="Segoe UI" w:hAnsi="Segoe UI" w:eastAsia="Segoe UI"/>
          <w:b w:val="0"/>
          <w:sz w:val="22"/>
        </w:rPr>
        <w:t>---</w:t>
      </w:r>
    </w:p>
    <w:p>
      <w:pPr>
        <w:pStyle w:val="Heading1"/>
      </w:pPr>
      <w:r>
        <w:rPr>
          <w:rFonts w:ascii="Segoe UI" w:hAnsi="Segoe UI" w:eastAsia="Segoe UI"/>
          <w:b/>
          <w:sz w:val="32"/>
        </w:rPr>
        <w:t>1. Alcance del administrador</w:t>
      </w:r>
    </w:p>
    <w:p>
      <w:r>
        <w:rPr>
          <w:rFonts w:ascii="Segoe UI" w:hAnsi="Segoe UI" w:eastAsia="Segoe UI"/>
          <w:b w:val="0"/>
          <w:sz w:val="22"/>
        </w:rPr>
        <w:t>El rol Admin concentra la gobernanza del tenant: usuarios, configuración, auditoría, integraciones, eventos fallidos, MFA, facturación y aprovisionamiento de tenants vía API. El rol Manager comparte la mayoría de pantallas operativas (usuarios, settings, políticas, auditoría, integraciones) pero no puede crear tenants ni usuarios vía Crear un nuevo usuario (API administrativa) / Provisionar un nuevo tenant (API administrativa) (política RequireAdmin).</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Área</w:t>
            </w:r>
          </w:p>
        </w:tc>
        <w:tc>
          <w:tcPr>
            <w:tcW w:type="dxa" w:w="2340"/>
          </w:tcPr>
          <w:p>
            <w:r>
              <w:t>Ruta / API</w:t>
            </w:r>
          </w:p>
        </w:tc>
        <w:tc>
          <w:tcPr>
            <w:tcW w:type="dxa" w:w="2340"/>
          </w:tcPr>
          <w:p>
            <w:r>
              <w:t>Admin</w:t>
            </w:r>
          </w:p>
        </w:tc>
        <w:tc>
          <w:tcPr>
            <w:tcW w:type="dxa" w:w="2340"/>
          </w:tcPr>
          <w:p>
            <w:r>
              <w:t>Manager</w:t>
            </w:r>
          </w:p>
        </w:tc>
      </w:tr>
      <w:tr>
        <w:tc>
          <w:tcPr>
            <w:tcW w:type="dxa" w:w="2340"/>
          </w:tcPr>
          <w:p>
            <w:r>
              <w:t>Usuarios UI</w:t>
            </w:r>
          </w:p>
        </w:tc>
        <w:tc>
          <w:tcPr>
            <w:tcW w:type="dxa" w:w="2340"/>
          </w:tcPr>
          <w:p>
            <w:r>
              <w:t>`/Users`, `/Users/*`</w:t>
            </w:r>
          </w:p>
        </w:tc>
        <w:tc>
          <w:tcPr>
            <w:tcW w:type="dxa" w:w="2340"/>
          </w:tcPr>
          <w:p>
            <w:r>
              <w:t>✅</w:t>
            </w:r>
          </w:p>
        </w:tc>
        <w:tc>
          <w:tcPr>
            <w:tcW w:type="dxa" w:w="2340"/>
          </w:tcPr>
          <w:p>
            <w:r>
              <w:t>✅</w:t>
            </w:r>
          </w:p>
        </w:tc>
      </w:tr>
    </w:tbl>
    <w:p>
      <w:pPr>
        <w:jc w:val="center"/>
      </w:pPr>
      <w:r>
        <w:rPr>
          <w:rFonts w:ascii="Segoe UI" w:hAnsi="Segoe UI" w:eastAsia="Segoe UI"/>
          <w:b/>
          <w:color w:val="808080"/>
          <w:sz w:val="20"/>
        </w:rPr>
        <w:t>[CAPTURA: Gestión de usuarios — /Users]</w:t>
      </w:r>
    </w:p>
    <w:p>
      <w:pPr>
        <w:jc w:val="center"/>
      </w:pPr>
      <w:r>
        <w:rPr>
          <w:rFonts w:ascii="Segoe UI" w:hAnsi="Segoe UI" w:eastAsia="Segoe UI"/>
          <w:b w:val="0"/>
          <w:color w:val="B4B4B4"/>
          <w:sz w:val="18"/>
        </w:rPr>
        <w:t>┌─────────────────────────────────────────┐</w:t>
        <w:br/>
        <w:t>│  Espacio reservado para captura        │</w:t>
        <w:br/>
        <w: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Crear usuario API</w:t>
            </w:r>
          </w:p>
        </w:tc>
        <w:tc>
          <w:tcPr>
            <w:tcW w:type="dxa" w:w="2340"/>
          </w:tcPr>
          <w:p>
            <w:r>
              <w:t>**Crear un nuevo usuario** (API administrativa)</w:t>
            </w:r>
          </w:p>
        </w:tc>
        <w:tc>
          <w:tcPr>
            <w:tcW w:type="dxa" w:w="2340"/>
          </w:tcPr>
          <w:p>
            <w:r>
              <w:t>✅</w:t>
            </w:r>
          </w:p>
        </w:tc>
        <w:tc>
          <w:tcPr>
            <w:tcW w:type="dxa" w:w="2340"/>
          </w:tcPr>
          <w:p>
            <w:r>
              <w:t>❌</w:t>
            </w:r>
          </w:p>
        </w:tc>
      </w:tr>
      <w:tr>
        <w:tc>
          <w:tcPr>
            <w:tcW w:type="dxa" w:w="2340"/>
          </w:tcPr>
          <w:p>
            <w:r>
              <w:t>Settings</w:t>
            </w:r>
          </w:p>
        </w:tc>
        <w:tc>
          <w:tcPr>
            <w:tcW w:type="dxa" w:w="2340"/>
          </w:tcPr>
          <w:p>
            <w:r>
              <w:t>`/Settings`</w:t>
            </w:r>
          </w:p>
        </w:tc>
        <w:tc>
          <w:tcPr>
            <w:tcW w:type="dxa" w:w="2340"/>
          </w:tcPr>
          <w:p>
            <w:r>
              <w:t>✅</w:t>
            </w:r>
          </w:p>
        </w:tc>
        <w:tc>
          <w:tcPr>
            <w:tcW w:type="dxa" w:w="2340"/>
          </w:tcPr>
          <w:p>
            <w:r>
              <w:t>✅</w:t>
            </w:r>
          </w:p>
        </w:tc>
      </w:tr>
      <w:tr>
        <w:tc>
          <w:tcPr>
            <w:tcW w:type="dxa" w:w="2340"/>
          </w:tcPr>
          <w:p>
            <w:r>
              <w:t>Políticas ABAC</w:t>
            </w:r>
          </w:p>
        </w:tc>
        <w:tc>
          <w:tcPr>
            <w:tcW w:type="dxa" w:w="2340"/>
          </w:tcPr>
          <w:p>
            <w:r>
              <w:t>`/Policies`</w:t>
            </w:r>
          </w:p>
        </w:tc>
        <w:tc>
          <w:tcPr>
            <w:tcW w:type="dxa" w:w="2340"/>
          </w:tcPr>
          <w:p>
            <w:r>
              <w:t>✅</w:t>
            </w:r>
          </w:p>
        </w:tc>
        <w:tc>
          <w:tcPr>
            <w:tcW w:type="dxa" w:w="2340"/>
          </w:tcPr>
          <w:p>
            <w:r>
              <w:t>✅</w:t>
            </w:r>
          </w:p>
        </w:tc>
      </w:tr>
      <w:tr>
        <w:tc>
          <w:tcPr>
            <w:tcW w:type="dxa" w:w="2340"/>
          </w:tcPr>
          <w:p>
            <w:r>
              <w:t>Auditoría</w:t>
            </w:r>
          </w:p>
        </w:tc>
        <w:tc>
          <w:tcPr>
            <w:tcW w:type="dxa" w:w="2340"/>
          </w:tcPr>
          <w:p>
            <w:r>
              <w:t>`/Audit`</w:t>
            </w:r>
          </w:p>
        </w:tc>
        <w:tc>
          <w:tcPr>
            <w:tcW w:type="dxa" w:w="2340"/>
          </w:tcPr>
          <w:p>
            <w:r>
              <w:t>✅</w:t>
            </w:r>
          </w:p>
        </w:tc>
        <w:tc>
          <w:tcPr>
            <w:tcW w:type="dxa" w:w="2340"/>
          </w:tcPr>
          <w:p>
            <w:r>
              <w:t>✅</w:t>
            </w:r>
          </w:p>
        </w:tc>
      </w:tr>
      <w:tr>
        <w:tc>
          <w:tcPr>
            <w:tcW w:type="dxa" w:w="2340"/>
          </w:tcPr>
          <w:p>
            <w:r>
              <w:t>Integraciones</w:t>
            </w:r>
          </w:p>
        </w:tc>
        <w:tc>
          <w:tcPr>
            <w:tcW w:type="dxa" w:w="2340"/>
          </w:tcPr>
          <w:p>
            <w:r>
              <w:t>`/Integrations`</w:t>
            </w:r>
          </w:p>
        </w:tc>
        <w:tc>
          <w:tcPr>
            <w:tcW w:type="dxa" w:w="2340"/>
          </w:tcPr>
          <w:p>
            <w:r>
              <w:t>✅</w:t>
            </w:r>
          </w:p>
        </w:tc>
        <w:tc>
          <w:tcPr>
            <w:tcW w:type="dxa" w:w="2340"/>
          </w:tcPr>
          <w:p>
            <w:r>
              <w:t>✅</w:t>
            </w:r>
          </w:p>
        </w:tc>
      </w:tr>
      <w:tr>
        <w:tc>
          <w:tcPr>
            <w:tcW w:type="dxa" w:w="2340"/>
          </w:tcPr>
          <w:p>
            <w:r>
              <w:t>Eventos fallidos</w:t>
            </w:r>
          </w:p>
        </w:tc>
        <w:tc>
          <w:tcPr>
            <w:tcW w:type="dxa" w:w="2340"/>
          </w:tcPr>
          <w:p>
            <w:r>
              <w:t>`/FailedEvents`</w:t>
            </w:r>
          </w:p>
        </w:tc>
        <w:tc>
          <w:tcPr>
            <w:tcW w:type="dxa" w:w="2340"/>
          </w:tcPr>
          <w:p>
            <w:r>
              <w:t>✅</w:t>
            </w:r>
          </w:p>
        </w:tc>
        <w:tc>
          <w:tcPr>
            <w:tcW w:type="dxa" w:w="2340"/>
          </w:tcPr>
          <w:p>
            <w:r>
              <w:t>✅</w:t>
            </w:r>
          </w:p>
        </w:tc>
      </w:tr>
      <w:tr>
        <w:tc>
          <w:tcPr>
            <w:tcW w:type="dxa" w:w="2340"/>
          </w:tcPr>
          <w:p>
            <w:r>
              <w:t>Facturación</w:t>
            </w:r>
          </w:p>
        </w:tc>
        <w:tc>
          <w:tcPr>
            <w:tcW w:type="dxa" w:w="2340"/>
          </w:tcPr>
          <w:p>
            <w:r>
              <w:t>`/billing`</w:t>
            </w:r>
          </w:p>
        </w:tc>
        <w:tc>
          <w:tcPr>
            <w:tcW w:type="dxa" w:w="2340"/>
          </w:tcPr>
          <w:p>
            <w:r>
              <w:t>✅</w:t>
            </w:r>
          </w:p>
        </w:tc>
        <w:tc>
          <w:tcPr>
            <w:tcW w:type="dxa" w:w="2340"/>
          </w:tcPr>
          <w:p>
            <w:r>
              <w:t>✅*</w:t>
            </w:r>
          </w:p>
        </w:tc>
      </w:tr>
      <w:tr>
        <w:tc>
          <w:tcPr>
            <w:tcW w:type="dxa" w:w="2340"/>
          </w:tcPr>
          <w:p>
            <w:r>
              <w:t>Provisioning tenant</w:t>
            </w:r>
          </w:p>
        </w:tc>
        <w:tc>
          <w:tcPr>
            <w:tcW w:type="dxa" w:w="2340"/>
          </w:tcPr>
          <w:p>
            <w:r>
              <w:t>**Provisionar un nuevo tenant** (API administrativa)</w:t>
            </w:r>
          </w:p>
        </w:tc>
        <w:tc>
          <w:tcPr>
            <w:tcW w:type="dxa" w:w="2340"/>
          </w:tcPr>
          <w:p>
            <w:r>
              <w:t>✅</w:t>
            </w:r>
          </w:p>
        </w:tc>
        <w:tc>
          <w:tcPr>
            <w:tcW w:type="dxa" w:w="2340"/>
          </w:tcPr>
          <w:p>
            <w:r>
              <w:t>❌</w:t>
            </w:r>
          </w:p>
        </w:tc>
      </w:tr>
      <w:tr>
        <w:tc>
          <w:tcPr>
            <w:tcW w:type="dxa" w:w="2340"/>
          </w:tcPr>
          <w:p>
            <w:r>
              <w:t>MFA por usuario</w:t>
            </w:r>
          </w:p>
        </w:tc>
        <w:tc>
          <w:tcPr>
            <w:tcW w:type="dxa" w:w="2340"/>
          </w:tcPr>
          <w:p>
            <w:r>
              <w:t>`POST /api/users/{id}/enable-mfa`</w:t>
            </w:r>
          </w:p>
        </w:tc>
        <w:tc>
          <w:tcPr>
            <w:tcW w:type="dxa" w:w="2340"/>
          </w:tcPr>
          <w:p>
            <w:r>
              <w:t>✅</w:t>
            </w:r>
          </w:p>
        </w:tc>
        <w:tc>
          <w:tcPr>
            <w:tcW w:type="dxa" w:w="2340"/>
          </w:tcPr>
          <w:p>
            <w:r>
              <w:t>✅*</w:t>
            </w:r>
          </w:p>
        </w:tc>
      </w:tr>
    </w:tbl>
    <w:p>
      <w:r>
        <w:rPr>
          <w:rFonts w:ascii="Segoe UI" w:hAnsi="Segoe UI" w:eastAsia="Segoe UI"/>
          <w:b w:val="0"/>
          <w:sz w:val="22"/>
        </w:rPr>
        <w:t>\*Acceso autenticado; restricciones de negocio pueden aplicar según política interna del tenant.</w:t>
      </w:r>
    </w:p>
    <w:p>
      <w:r>
        <w:rPr>
          <w:rFonts w:ascii="Segoe UI" w:hAnsi="Segoe UI" w:eastAsia="Segoe UI"/>
          <w:b w:val="0"/>
          <w:sz w:val="22"/>
        </w:rPr>
        <w:t>---</w:t>
      </w:r>
    </w:p>
    <w:p>
      <w:pPr>
        <w:pStyle w:val="Heading1"/>
      </w:pPr>
      <w:r>
        <w:rPr>
          <w:rFonts w:ascii="Segoe UI" w:hAnsi="Segoe UI" w:eastAsia="Segoe UI"/>
          <w:b/>
          <w:sz w:val="32"/>
        </w:rPr>
        <w:t>2. Gestión de usuarios</w:t>
      </w:r>
    </w:p>
    <w:p>
      <w:pPr>
        <w:pStyle w:val="Heading2"/>
      </w:pPr>
      <w:r>
        <w:rPr>
          <w:rFonts w:ascii="Segoe UI" w:hAnsi="Segoe UI" w:eastAsia="Segoe UI"/>
          <w:b/>
          <w:sz w:val="28"/>
        </w:rPr>
        <w:t>2.1 Pantalla principal (`/Users`)</w:t>
      </w:r>
    </w:p>
    <w:p>
      <w:r>
        <w:rPr>
          <w:rFonts w:ascii="Segoe UI" w:hAnsi="Segoe UI" w:eastAsia="Segoe UI"/>
          <w:b w:val="0"/>
          <w:sz w:val="22"/>
        </w:rPr>
        <w:t>Muestra resumen operativo del tenant:</w:t>
      </w:r>
    </w:p>
    <w:p>
      <w:r>
        <w:rPr>
          <w:rFonts w:ascii="Segoe UI" w:hAnsi="Segoe UI" w:eastAsia="Segoe UI"/>
          <w:b w:val="0"/>
          <w:sz w:val="22"/>
        </w:rPr>
        <w:t>- Total de usuarios, activos, con MFA habilitado y con roles asignados.</w:t>
      </w:r>
    </w:p>
    <w:p>
      <w:r>
        <w:rPr>
          <w:rFonts w:ascii="Segoe UI" w:hAnsi="Segoe UI" w:eastAsia="Segoe UI"/>
          <w:b w:val="0"/>
          <w:sz w:val="22"/>
        </w:rPr>
        <w:t>- Listado filtrable por email, nombre y rol.</w:t>
      </w:r>
    </w:p>
    <w:p>
      <w:r>
        <w:rPr>
          <w:rFonts w:ascii="Segoe UI" w:hAnsi="Segoe UI" w:eastAsia="Segoe UI"/>
          <w:b w:val="0"/>
          <w:sz w:val="22"/>
        </w:rPr>
        <w:t>- Acceso a creación, edición, importación masiva y asignación de roles.</w:t>
      </w:r>
    </w:p>
    <w:p>
      <w:pPr>
        <w:pStyle w:val="Heading2"/>
      </w:pPr>
      <w:r>
        <w:rPr>
          <w:rFonts w:ascii="Segoe UI" w:hAnsi="Segoe UI" w:eastAsia="Segoe UI"/>
          <w:b/>
          <w:sz w:val="28"/>
        </w:rPr>
        <w:t>2.2 Crear usuario (UI)</w:t>
      </w:r>
    </w:p>
    <w:p>
      <w:r>
        <w:rPr>
          <w:rFonts w:ascii="Segoe UI" w:hAnsi="Segoe UI" w:eastAsia="Segoe UI"/>
          <w:b w:val="0"/>
          <w:sz w:val="22"/>
        </w:rPr>
        <w:t>1. Ir a /Users/Create.</w:t>
      </w:r>
    </w:p>
    <w:p>
      <w:r>
        <w:rPr>
          <w:rFonts w:ascii="Segoe UI" w:hAnsi="Segoe UI" w:eastAsia="Segoe UI"/>
          <w:b w:val="0"/>
          <w:sz w:val="22"/>
        </w:rPr>
        <w:t>2. Completar: email, contraseña, nombre y apellido (opcionales).</w:t>
      </w:r>
    </w:p>
    <w:p>
      <w:r>
        <w:rPr>
          <w:rFonts w:ascii="Segoe UI" w:hAnsi="Segoe UI" w:eastAsia="Segoe UI"/>
          <w:b w:val="0"/>
          <w:sz w:val="22"/>
        </w:rPr>
        <w:t>3. El comando CreateUserCommand crea el usuario en el tenant actual.</w:t>
      </w:r>
    </w:p>
    <w:p>
      <w:r>
        <w:rPr>
          <w:rFonts w:ascii="Segoe UI" w:hAnsi="Segoe UI" w:eastAsia="Segoe UI"/>
          <w:b w:val="0"/>
          <w:sz w:val="22"/>
        </w:rPr>
        <w:t>4. Asignar rol en /Users/Roles o /Users/Edit/{id}.</w:t>
      </w:r>
    </w:p>
    <w:p>
      <w:r>
        <w:rPr>
          <w:rFonts w:ascii="Segoe UI" w:hAnsi="Segoe UI" w:eastAsia="Segoe UI"/>
          <w:b w:val="0"/>
          <w:sz w:val="22"/>
        </w:rPr>
        <w:t>Roles disponibles en el sistema (definidos en Users/Roles.cshtml.cs):</w:t>
      </w:r>
    </w:p>
    <w:p>
      <w:r>
        <w:rPr>
          <w:rFonts w:ascii="Segoe UI" w:hAnsi="Segoe UI" w:eastAsia="Segoe UI"/>
          <w:b w:val="0"/>
          <w:sz w:val="22"/>
        </w:rPr>
        <w:t>Admin · Manager · Sales · Support · Viewer</w:t>
      </w:r>
    </w:p>
    <w:p>
      <w:pPr>
        <w:pStyle w:val="Heading2"/>
      </w:pPr>
      <w:r>
        <w:rPr>
          <w:rFonts w:ascii="Segoe UI" w:hAnsi="Segoe UI" w:eastAsia="Segoe UI"/>
          <w:b/>
          <w:sz w:val="28"/>
        </w:rPr>
        <w:t>2.3 Crear usuario (API)</w:t>
      </w:r>
    </w:p>
    <w:p>
      <w:r>
        <w:rPr>
          <w:rFonts w:ascii="Segoe UI" w:hAnsi="Segoe UI" w:eastAsia="Segoe UI"/>
          <w:b w:val="0"/>
          <w:color w:val="646464"/>
          <w:sz w:val="20"/>
        </w:rPr>
        <w:t>[Diagrama / bloque técnico — ver versión Markdown]</w:t>
      </w:r>
    </w:p>
    <w:p>
      <w:pPr>
        <w:ind w:left="432"/>
      </w:pPr>
      <w:r>
        <w:rPr>
          <w:rFonts w:ascii="Segoe UI" w:hAnsi="Segoe UI" w:eastAsia="Segoe UI"/>
          <w:b w:val="0"/>
          <w:sz w:val="18"/>
        </w:rPr>
        <w:t>POST /api/users</w:t>
      </w:r>
    </w:p>
    <w:p>
      <w:pPr>
        <w:ind w:left="432"/>
      </w:pPr>
      <w:r>
        <w:rPr>
          <w:rFonts w:ascii="Segoe UI" w:hAnsi="Segoe UI" w:eastAsia="Segoe UI"/>
          <w:b w:val="0"/>
          <w:sz w:val="18"/>
        </w:rPr>
        <w:t>Authorization: Bearer {token_admin}</w:t>
      </w:r>
    </w:p>
    <w:p>
      <w:pPr>
        <w:ind w:left="432"/>
      </w:pPr>
      <w:r>
        <w:rPr>
          <w:rFonts w:ascii="Segoe UI" w:hAnsi="Segoe UI" w:eastAsia="Segoe UI"/>
          <w:b w:val="0"/>
          <w:sz w:val="18"/>
        </w:rPr>
        <w:t>Content-Type: application/json</w:t>
      </w:r>
    </w:p>
    <w:p>
      <w:pPr>
        <w:ind w:left="432"/>
      </w:pPr>
      <w:r>
        <w:rPr>
          <w:rFonts w:ascii="Segoe UI" w:hAnsi="Segoe UI" w:eastAsia="Segoe UI"/>
          <w:b w:val="0"/>
          <w:sz w:val="18"/>
        </w:rPr>
      </w:r>
    </w:p>
    <w:p>
      <w:pPr>
        <w:ind w:left="432"/>
      </w:pPr>
      <w:r>
        <w:rPr>
          <w:rFonts w:ascii="Segoe UI" w:hAnsi="Segoe UI" w:eastAsia="Segoe UI"/>
          <w:b w:val="0"/>
          <w:sz w:val="18"/>
        </w:rPr>
        <w:t>{</w:t>
      </w:r>
    </w:p>
    <w:p>
      <w:pPr>
        <w:ind w:left="432"/>
      </w:pPr>
      <w:r>
        <w:rPr>
          <w:rFonts w:ascii="Segoe UI" w:hAnsi="Segoe UI" w:eastAsia="Segoe UI"/>
          <w:b w:val="0"/>
          <w:sz w:val="18"/>
        </w:rPr>
        <w:t xml:space="preserve">  "tenantId": "{guid}",</w:t>
      </w:r>
    </w:p>
    <w:p>
      <w:pPr>
        <w:ind w:left="432"/>
      </w:pPr>
      <w:r>
        <w:rPr>
          <w:rFonts w:ascii="Segoe UI" w:hAnsi="Segoe UI" w:eastAsia="Segoe UI"/>
          <w:b w:val="0"/>
          <w:sz w:val="18"/>
        </w:rPr>
        <w:t xml:space="preserve">  "email": "nuevo@empresa.com",</w:t>
      </w:r>
    </w:p>
    <w:p>
      <w:pPr>
        <w:ind w:left="432"/>
      </w:pPr>
      <w:r>
        <w:rPr>
          <w:rFonts w:ascii="Segoe UI" w:hAnsi="Segoe UI" w:eastAsia="Segoe UI"/>
          <w:b w:val="0"/>
          <w:sz w:val="18"/>
        </w:rPr>
        <w:t xml:space="preserve">  "password": "ContraseñaSegura123!",</w:t>
      </w:r>
    </w:p>
    <w:p>
      <w:pPr>
        <w:ind w:left="432"/>
      </w:pPr>
      <w:r>
        <w:rPr>
          <w:rFonts w:ascii="Segoe UI" w:hAnsi="Segoe UI" w:eastAsia="Segoe UI"/>
          <w:b w:val="0"/>
          <w:sz w:val="18"/>
        </w:rPr>
        <w:t xml:space="preserve">  "firstName": "Nombre",</w:t>
      </w:r>
    </w:p>
    <w:p>
      <w:pPr>
        <w:ind w:left="432"/>
      </w:pPr>
      <w:r>
        <w:rPr>
          <w:rFonts w:ascii="Segoe UI" w:hAnsi="Segoe UI" w:eastAsia="Segoe UI"/>
          <w:b w:val="0"/>
          <w:sz w:val="18"/>
        </w:rPr>
        <w:t xml:space="preserve">  "lastName": "Apellido"</w:t>
      </w:r>
    </w:p>
    <w:p>
      <w:pPr>
        <w:ind w:left="432"/>
      </w:pPr>
      <w:r>
        <w:rPr>
          <w:rFonts w:ascii="Segoe UI" w:hAnsi="Segoe UI" w:eastAsia="Segoe UI"/>
          <w:b w:val="0"/>
          <w:sz w:val="18"/>
        </w:rPr>
        <w:t>}</w:t>
      </w:r>
    </w:p>
    <w:p>
      <w:r>
        <w:rPr>
          <w:rFonts w:ascii="Segoe UI" w:hAnsi="Segoe UI" w:eastAsia="Segoe UI"/>
          <w:b w:val="0"/>
          <w:sz w:val="22"/>
        </w:rPr>
        <w:t>Requiere política RequireAdmin. Devuelve 201 Created con el userId.</w:t>
      </w:r>
    </w:p>
    <w:p>
      <w:pPr>
        <w:pStyle w:val="Heading2"/>
      </w:pPr>
      <w:r>
        <w:rPr>
          <w:rFonts w:ascii="Segoe UI" w:hAnsi="Segoe UI" w:eastAsia="Segoe UI"/>
          <w:b/>
          <w:sz w:val="28"/>
        </w:rPr>
        <w:t>2.4 Asignación y retiro de roles</w:t>
      </w:r>
    </w:p>
    <w:p>
      <w:r>
        <w:rPr>
          <w:rFonts w:ascii="Segoe UI" w:hAnsi="Segoe UI" w:eastAsia="Segoe UI"/>
          <w:b w:val="0"/>
          <w:sz w:val="22"/>
        </w:rPr>
        <w:t>- UI: /Users/Roles — vista consolidada de usuarios por rol.</w:t>
      </w:r>
    </w:p>
    <w:p>
      <w:r>
        <w:rPr>
          <w:rFonts w:ascii="Segoe UI" w:hAnsi="Segoe UI" w:eastAsia="Segoe UI"/>
          <w:b w:val="0"/>
          <w:sz w:val="22"/>
        </w:rPr>
        <w:t>- Comandos de dominio: AddUserRoleCommand, RemoveUserRoleCommand, AssignRoleCommand.</w:t>
      </w:r>
    </w:p>
    <w:p>
      <w:r>
        <w:rPr>
          <w:rFonts w:ascii="Segoe UI" w:hAnsi="Segoe UI" w:eastAsia="Segoe UI"/>
          <w:b w:val="0"/>
          <w:sz w:val="22"/>
        </w:rPr>
        <w:t>- &gt; BUENA PRÁCTICA asignar el rol mínimo necesario (Sales para vendedores, Viewer para consulta, Support para post-venta).</w:t>
      </w:r>
    </w:p>
    <w:p>
      <w:pPr>
        <w:pStyle w:val="Heading2"/>
      </w:pPr>
      <w:r>
        <w:rPr>
          <w:rFonts w:ascii="Segoe UI" w:hAnsi="Segoe UI" w:eastAsia="Segoe UI"/>
          <w:b/>
          <w:sz w:val="28"/>
        </w:rPr>
        <w:t>2.5 Activar / desactivar usuarios</w:t>
      </w:r>
    </w:p>
    <w:p>
      <w:r>
        <w:rPr>
          <w:rFonts w:ascii="Segoe UI" w:hAnsi="Segoe UI" w:eastAsia="Segoe UI"/>
          <w:b w:val="0"/>
          <w:sz w:val="22"/>
        </w:rPr>
        <w:t>ToggleUserStatusCommand permite habilitar o deshabilitar cuentas sin eliminar historial. Usuarios inactivos no pueden autenticarse.</w:t>
      </w:r>
    </w:p>
    <w:p>
      <w:pPr>
        <w:pStyle w:val="Heading2"/>
      </w:pPr>
      <w:r>
        <w:rPr>
          <w:rFonts w:ascii="Segoe UI" w:hAnsi="Segoe UI" w:eastAsia="Segoe UI"/>
          <w:b/>
          <w:sz w:val="28"/>
        </w:rPr>
        <w:t>2.6 Importación masiva</w:t>
      </w:r>
    </w:p>
    <w:p>
      <w:r>
        <w:rPr>
          <w:rFonts w:ascii="Segoe UI" w:hAnsi="Segoe UI" w:eastAsia="Segoe UI"/>
          <w:b w:val="0"/>
          <w:sz w:val="22"/>
        </w:rPr>
        <w:t>/Users/Import acepta archivos para cargar usuarios en lote. Validar formato y revisar /Audit tras importaciones masivas.</w:t>
      </w:r>
    </w:p>
    <w:p>
      <w:r>
        <w:rPr>
          <w:rFonts w:ascii="Segoe UI" w:hAnsi="Segoe UI" w:eastAsia="Segoe UI"/>
          <w:b w:val="0"/>
          <w:sz w:val="22"/>
        </w:rPr>
        <w:t>---</w:t>
      </w:r>
    </w:p>
    <w:p>
      <w:pPr>
        <w:pStyle w:val="Heading1"/>
      </w:pPr>
      <w:r>
        <w:rPr>
          <w:rFonts w:ascii="Segoe UI" w:hAnsi="Segoe UI" w:eastAsia="Segoe UI"/>
          <w:b/>
          <w:sz w:val="32"/>
        </w:rPr>
        <w:t>3. Configuración del tenant (`/Settings`)</w:t>
      </w:r>
    </w:p>
    <w:p>
      <w:r>
        <w:rPr>
          <w:rFonts w:ascii="Segoe UI" w:hAnsi="Segoe UI" w:eastAsia="Segoe UI"/>
          <w:b w:val="0"/>
          <w:sz w:val="22"/>
        </w:rPr>
        <w:t>Autorización: [Authorize(Roles = "Admin,Manager")]</w:t>
      </w:r>
    </w:p>
    <w:p>
      <w:pPr>
        <w:pStyle w:val="Heading2"/>
      </w:pPr>
      <w:r>
        <w:rPr>
          <w:rFonts w:ascii="Segoe UI" w:hAnsi="Segoe UI" w:eastAsia="Segoe UI"/>
          <w:b/>
          <w:sz w:val="28"/>
        </w:rPr>
        <w:t>3.1 Datos del tenant</w:t>
      </w:r>
    </w:p>
    <w:p>
      <w:r>
        <w:rPr>
          <w:rFonts w:ascii="Segoe UI" w:hAnsi="Segoe UI" w:eastAsia="Segoe UI"/>
          <w:b w:val="0"/>
          <w:sz w:val="22"/>
        </w:rPr>
        <w:t>Actualización vía UpdateTenantCommand:</w:t>
      </w:r>
    </w:p>
    <w:p>
      <w:r>
        <w:rPr>
          <w:rFonts w:ascii="Segoe UI" w:hAnsi="Segoe UI" w:eastAsia="Segoe UI"/>
          <w:b w:val="0"/>
          <w:sz w:val="22"/>
        </w:rPr>
        <w:t>- Nombre del tenant</w:t>
      </w:r>
    </w:p>
    <w:p>
      <w:r>
        <w:rPr>
          <w:rFonts w:ascii="Segoe UI" w:hAnsi="Segoe UI" w:eastAsia="Segoe UI"/>
          <w:b w:val="0"/>
          <w:sz w:val="22"/>
        </w:rPr>
        <w:t>- Email de contacto</w:t>
      </w:r>
    </w:p>
    <w:p>
      <w:r>
        <w:rPr>
          <w:rFonts w:ascii="Segoe UI" w:hAnsi="Segoe UI" w:eastAsia="Segoe UI"/>
          <w:b w:val="0"/>
          <w:sz w:val="22"/>
        </w:rPr>
        <w:t>- Región (us-east-1 por defecto)</w:t>
      </w:r>
    </w:p>
    <w:p>
      <w:r>
        <w:rPr>
          <w:rFonts w:ascii="Segoe UI" w:hAnsi="Segoe UI" w:eastAsia="Segoe UI"/>
          <w:b w:val="0"/>
          <w:sz w:val="22"/>
        </w:rPr>
        <w:t>- Zona horaria (America/Panama por defecto)</w:t>
      </w:r>
    </w:p>
    <w:p>
      <w:pPr>
        <w:pStyle w:val="Heading2"/>
      </w:pPr>
      <w:r>
        <w:rPr>
          <w:rFonts w:ascii="Segoe UI" w:hAnsi="Segoe UI" w:eastAsia="Segoe UI"/>
          <w:b/>
          <w:sz w:val="28"/>
        </w:rPr>
        <w:t>3.2 Configuración del sistema</w:t>
      </w:r>
    </w:p>
    <w:p>
      <w:r>
        <w:rPr>
          <w:rFonts w:ascii="Segoe UI" w:hAnsi="Segoe UI" w:eastAsia="Segoe UI"/>
          <w:b w:val="0"/>
          <w:sz w:val="22"/>
        </w:rPr>
        <w:t>Parámetros persistidos con UpdateSystemSettingsCommand:</w:t>
      </w:r>
    </w:p>
    <w:tbl>
      <w:tblPr>
        <w:tblStyle w:val="TableGrid"/>
        <w:tblW w:type="auto" w:w="0"/>
        <w:tblLook w:firstColumn="1" w:firstRow="1" w:lastColumn="0" w:lastRow="0" w:noHBand="0" w:noVBand="1" w:val="04A0"/>
      </w:tblPr>
      <w:tblGrid>
        <w:gridCol w:w="3120"/>
        <w:gridCol w:w="3120"/>
        <w:gridCol w:w="3120"/>
      </w:tblGrid>
      <w:tr>
        <w:tc>
          <w:tcPr>
            <w:tcW w:type="dxa" w:w="3120"/>
          </w:tcPr>
          <w:p>
            <w:r>
              <w:t>Clave</w:t>
            </w:r>
          </w:p>
        </w:tc>
        <w:tc>
          <w:tcPr>
            <w:tcW w:type="dxa" w:w="3120"/>
          </w:tcPr>
          <w:p>
            <w:r>
              <w:t>Descripción</w:t>
            </w:r>
          </w:p>
        </w:tc>
        <w:tc>
          <w:tcPr>
            <w:tcW w:type="dxa" w:w="3120"/>
          </w:tcPr>
          <w:p>
            <w:r>
              <w:t>Valor por defecto</w:t>
            </w:r>
          </w:p>
        </w:tc>
      </w:tr>
      <w:tr>
        <w:tc>
          <w:tcPr>
            <w:tcW w:type="dxa" w:w="3120"/>
          </w:tcPr>
          <w:p>
            <w:r>
              <w:t>`MfaRequired`</w:t>
            </w:r>
          </w:p>
        </w:tc>
        <w:tc>
          <w:tcPr>
            <w:tcW w:type="dxa" w:w="3120"/>
          </w:tcPr>
          <w:p>
            <w:r>
              <w:t>MFA obligatorio para el tenant</w:t>
            </w:r>
          </w:p>
        </w:tc>
        <w:tc>
          <w:tcPr>
            <w:tcW w:type="dxa" w:w="3120"/>
          </w:tcPr>
          <w:p>
            <w:r>
              <w:t>`true`</w:t>
            </w:r>
          </w:p>
        </w:tc>
      </w:tr>
      <w:tr>
        <w:tc>
          <w:tcPr>
            <w:tcW w:type="dxa" w:w="3120"/>
          </w:tcPr>
          <w:p>
            <w:r>
              <w:t>`KillSwitch`</w:t>
            </w:r>
          </w:p>
        </w:tc>
        <w:tc>
          <w:tcPr>
            <w:tcW w:type="dxa" w:w="3120"/>
          </w:tcPr>
          <w:p>
            <w:r>
              <w:t>Desactiva operaciones autónomas</w:t>
            </w:r>
          </w:p>
        </w:tc>
        <w:tc>
          <w:tcPr>
            <w:tcW w:type="dxa" w:w="3120"/>
          </w:tcPr>
          <w:p>
            <w:r>
              <w:t>`false`</w:t>
            </w:r>
          </w:p>
        </w:tc>
      </w:tr>
      <w:tr>
        <w:tc>
          <w:tcPr>
            <w:tcW w:type="dxa" w:w="3120"/>
          </w:tcPr>
          <w:p>
            <w:r>
              <w:t>`MinConfidence`</w:t>
            </w:r>
          </w:p>
        </w:tc>
        <w:tc>
          <w:tcPr>
            <w:tcW w:type="dxa" w:w="3120"/>
          </w:tcPr>
          <w:p>
            <w:r>
              <w:t>Umbral mínimo de confianza IA</w:t>
            </w:r>
          </w:p>
        </w:tc>
        <w:tc>
          <w:tcPr>
            <w:tcW w:type="dxa" w:w="3120"/>
          </w:tcPr>
          <w:p>
            <w:r>
              <w:t>`0.75`</w:t>
            </w:r>
          </w:p>
        </w:tc>
      </w:tr>
      <w:tr>
        <w:tc>
          <w:tcPr>
            <w:tcW w:type="dxa" w:w="3120"/>
          </w:tcPr>
          <w:p>
            <w:r>
              <w:t>`OperationMode`</w:t>
            </w:r>
          </w:p>
        </w:tc>
        <w:tc>
          <w:tcPr>
            <w:tcW w:type="dxa" w:w="3120"/>
          </w:tcPr>
          <w:p>
            <w:r>
              <w:t>Modo de operación autónoma</w:t>
            </w:r>
          </w:p>
        </w:tc>
        <w:tc>
          <w:tcPr>
            <w:tcW w:type="dxa" w:w="3120"/>
          </w:tcPr>
          <w:p>
            <w:r>
              <w:t>`Supervised`</w:t>
            </w:r>
          </w:p>
        </w:tc>
      </w:tr>
      <w:tr>
        <w:tc>
          <w:tcPr>
            <w:tcW w:type="dxa" w:w="3120"/>
          </w:tcPr>
          <w:p>
            <w:r>
              <w:t>`Region`</w:t>
            </w:r>
          </w:p>
        </w:tc>
        <w:tc>
          <w:tcPr>
            <w:tcW w:type="dxa" w:w="3120"/>
          </w:tcPr>
          <w:p>
            <w:r>
              <w:t>Región del tenant</w:t>
            </w:r>
          </w:p>
        </w:tc>
        <w:tc>
          <w:tcPr>
            <w:tcW w:type="dxa" w:w="3120"/>
          </w:tcPr>
          <w:p>
            <w:r>
              <w:t>`us-east-1`</w:t>
            </w:r>
          </w:p>
        </w:tc>
      </w:tr>
      <w:tr>
        <w:tc>
          <w:tcPr>
            <w:tcW w:type="dxa" w:w="3120"/>
          </w:tcPr>
          <w:p>
            <w:r>
              <w:t>`TimeZone`</w:t>
            </w:r>
          </w:p>
        </w:tc>
        <w:tc>
          <w:tcPr>
            <w:tcW w:type="dxa" w:w="3120"/>
          </w:tcPr>
          <w:p>
            <w:r>
              <w:t>Zona horaria</w:t>
            </w:r>
          </w:p>
        </w:tc>
        <w:tc>
          <w:tcPr>
            <w:tcW w:type="dxa" w:w="3120"/>
          </w:tcPr>
          <w:p>
            <w:r>
              <w:t>`America/Panama`</w:t>
            </w:r>
          </w:p>
        </w:tc>
      </w:tr>
    </w:tbl>
    <w:p>
      <w:pPr>
        <w:pStyle w:val="Heading2"/>
      </w:pPr>
      <w:r>
        <w:rPr>
          <w:rFonts w:ascii="Segoe UI" w:hAnsi="Segoe UI" w:eastAsia="Segoe UI"/>
          <w:b/>
          <w:sz w:val="28"/>
        </w:rPr>
        <w:t>3.3 Exportar / importar configuración</w:t>
      </w:r>
    </w:p>
    <w:p>
      <w:r>
        <w:rPr>
          <w:rFonts w:ascii="Segoe UI" w:hAnsi="Segoe UI" w:eastAsia="Segoe UI"/>
          <w:b w:val="0"/>
          <w:sz w:val="22"/>
        </w:rPr>
        <w:t>- Exportar: genera JSON con tenant + settings + timestamp.</w:t>
      </w:r>
    </w:p>
    <w:p>
      <w:r>
        <w:rPr>
          <w:rFonts w:ascii="Segoe UI" w:hAnsi="Segoe UI" w:eastAsia="Segoe UI"/>
          <w:b w:val="0"/>
          <w:sz w:val="22"/>
        </w:rPr>
        <w:t>- Importar: restaura settings desde JSON exportado previamente.</w:t>
      </w:r>
    </w:p>
    <w:p>
      <w:r>
        <w:rPr>
          <w:rFonts w:ascii="Segoe UI" w:hAnsi="Segoe UI" w:eastAsia="Segoe UI"/>
          <w:b w:val="0"/>
          <w:sz w:val="22"/>
        </w:rPr>
        <w:t>- Restaurar defaults: revierte a valores de fábrica documentados arriba.</w:t>
      </w:r>
    </w:p>
    <w:p>
      <w:r>
        <w:rPr>
          <w:rFonts w:ascii="Segoe UI" w:hAnsi="Segoe UI" w:eastAsia="Segoe UI"/>
          <w:b w:val="0"/>
          <w:sz w:val="22"/>
        </w:rPr>
        <w:t>---</w:t>
      </w:r>
    </w:p>
    <w:p>
      <w:pPr>
        <w:pStyle w:val="Heading1"/>
      </w:pPr>
      <w:r>
        <w:rPr>
          <w:rFonts w:ascii="Segoe UI" w:hAnsi="Segoe UI" w:eastAsia="Segoe UI"/>
          <w:b/>
          <w:sz w:val="32"/>
        </w:rPr>
        <w:t>4. Autenticación multifactor (MFA)</w:t>
      </w:r>
    </w:p>
    <w:p>
      <w:pPr>
        <w:pStyle w:val="Heading2"/>
      </w:pPr>
      <w:r>
        <w:rPr>
          <w:rFonts w:ascii="Segoe UI" w:hAnsi="Segoe UI" w:eastAsia="Segoe UI"/>
          <w:b/>
          <w:sz w:val="28"/>
        </w:rPr>
        <w:t>4.1 MFA a nivel tenant</w:t>
      </w:r>
    </w:p>
    <w:p>
      <w:r>
        <w:rPr>
          <w:rFonts w:ascii="Segoe UI" w:hAnsi="Segoe UI" w:eastAsia="Segoe UI"/>
          <w:b w:val="0"/>
          <w:sz w:val="22"/>
        </w:rPr>
        <w:t>En /Settings, la clave MfaRequired define si el MFA es obligatorio u opcional para todos los usuarios del tenant.</w:t>
      </w:r>
    </w:p>
    <w:p>
      <w:pPr>
        <w:pStyle w:val="Heading2"/>
      </w:pPr>
      <w:r>
        <w:rPr>
          <w:rFonts w:ascii="Segoe UI" w:hAnsi="Segoe UI" w:eastAsia="Segoe UI"/>
          <w:b/>
          <w:sz w:val="28"/>
        </w:rPr>
        <w:t>4.2 MFA por usuario</w:t>
      </w:r>
    </w:p>
    <w:p>
      <w:r>
        <w:rPr>
          <w:rFonts w:ascii="Segoe UI" w:hAnsi="Segoe UI" w:eastAsia="Segoe UI"/>
          <w:b w:val="0"/>
          <w:sz w:val="22"/>
        </w:rPr>
        <w:t>- Campo MfaEnabled y MfaSecret en entidad User.</w:t>
      </w:r>
    </w:p>
    <w:p>
      <w:r>
        <w:rPr>
          <w:rFonts w:ascii="Segoe UI" w:hAnsi="Segoe UI" w:eastAsia="Segoe UI"/>
          <w:b w:val="0"/>
          <w:sz w:val="22"/>
        </w:rPr>
        <w:t>- Resumen visible en /Users (contador de usuarios con MFA).</w:t>
      </w:r>
    </w:p>
    <w:p>
      <w:r>
        <w:rPr>
          <w:rFonts w:ascii="Segoe UI" w:hAnsi="Segoe UI" w:eastAsia="Segoe UI"/>
          <w:b w:val="0"/>
          <w:sz w:val="22"/>
        </w:rPr>
        <w:t>- Habilitar vía API:</w:t>
      </w:r>
    </w:p>
    <w:p>
      <w:r>
        <w:rPr>
          <w:rFonts w:ascii="Segoe UI" w:hAnsi="Segoe UI" w:eastAsia="Segoe UI"/>
          <w:b w:val="0"/>
          <w:color w:val="646464"/>
          <w:sz w:val="20"/>
        </w:rPr>
        <w:t>[Diagrama / bloque técnico — ver versión Markdown]</w:t>
      </w:r>
    </w:p>
    <w:p>
      <w:pPr>
        <w:ind w:left="432"/>
      </w:pPr>
      <w:r>
        <w:rPr>
          <w:rFonts w:ascii="Segoe UI" w:hAnsi="Segoe UI" w:eastAsia="Segoe UI"/>
          <w:b w:val="0"/>
          <w:sz w:val="18"/>
        </w:rPr>
        <w:t>POST /api/users/{userId}/enable-mfa?tenantId={tenantGuid}</w:t>
      </w:r>
    </w:p>
    <w:p>
      <w:r>
        <w:rPr>
          <w:rFonts w:ascii="Segoe UI" w:hAnsi="Segoe UI" w:eastAsia="Segoe UI"/>
          <w:b w:val="0"/>
          <w:sz w:val="22"/>
        </w:rPr>
        <w:t>Devuelve EnableMfaResult con datos para configurar el autenticador TOTP.</w:t>
      </w:r>
    </w:p>
    <w:p>
      <w:pPr>
        <w:pStyle w:val="Heading2"/>
      </w:pPr>
      <w:r>
        <w:rPr>
          <w:rFonts w:ascii="Segoe UI" w:hAnsi="Segoe UI" w:eastAsia="Segoe UI"/>
          <w:b/>
          <w:sz w:val="28"/>
        </w:rPr>
        <w:t>4.3 Flujo de login con MFA</w:t>
      </w:r>
    </w:p>
    <w:p>
      <w:r>
        <w:rPr>
          <w:rFonts w:ascii="Segoe UI" w:hAnsi="Segoe UI" w:eastAsia="Segoe UI"/>
          <w:b w:val="0"/>
          <w:sz w:val="22"/>
        </w:rPr>
        <w:t>1. Usuario ingresa credenciales en /Account/Login.</w:t>
      </w:r>
    </w:p>
    <w:p>
      <w:r>
        <w:rPr>
          <w:rFonts w:ascii="Segoe UI" w:hAnsi="Segoe UI" w:eastAsia="Segoe UI"/>
          <w:b w:val="0"/>
          <w:sz w:val="22"/>
        </w:rPr>
        <w:t>2. Si RequiresMfa, se muestra paso adicional con código TOTP.</w:t>
      </w:r>
    </w:p>
    <w:p>
      <w:r>
        <w:rPr>
          <w:rFonts w:ascii="Segoe UI" w:hAnsi="Segoe UI" w:eastAsia="Segoe UI"/>
          <w:b w:val="0"/>
          <w:sz w:val="22"/>
        </w:rPr>
        <w:t>3. Verificación vía VerifyMfaCommand y MfaTempToken.</w:t>
      </w:r>
    </w:p>
    <w:p>
      <w:pPr>
        <w:pStyle w:val="Heading2"/>
      </w:pPr>
      <w:r>
        <w:rPr>
          <w:rFonts w:ascii="Segoe UI" w:hAnsi="Segoe UI" w:eastAsia="Segoe UI"/>
          <w:b/>
          <w:sz w:val="28"/>
        </w:rPr>
        <w:t>4.4 Operaciones recomendadas</w:t>
      </w:r>
    </w:p>
    <w:p>
      <w:r>
        <w:rPr>
          <w:rFonts w:ascii="Segoe UI" w:hAnsi="Segoe UI" w:eastAsia="Segoe UI"/>
          <w:b w:val="0"/>
          <w:sz w:val="22"/>
        </w:rPr>
        <w:t>- Habilitar MfaRequired = true en producción.</w:t>
      </w:r>
    </w:p>
    <w:p>
      <w:r>
        <w:rPr>
          <w:rFonts w:ascii="Segoe UI" w:hAnsi="Segoe UI" w:eastAsia="Segoe UI"/>
          <w:b w:val="0"/>
          <w:sz w:val="22"/>
        </w:rPr>
        <w:t>- Auditar usuarios sin MFA en /Users semanalmente.</w:t>
      </w:r>
    </w:p>
    <w:p>
      <w:r>
        <w:rPr>
          <w:rFonts w:ascii="Segoe UI" w:hAnsi="Segoe UI" w:eastAsia="Segoe UI"/>
          <w:b w:val="0"/>
          <w:sz w:val="22"/>
        </w:rPr>
        <w:t>- Rotar credenciales demo ({Rol}123!) antes de exponer el entorno.</w:t>
      </w:r>
    </w:p>
    <w:p>
      <w:r>
        <w:rPr>
          <w:rFonts w:ascii="Segoe UI" w:hAnsi="Segoe UI" w:eastAsia="Segoe UI"/>
          <w:b w:val="0"/>
          <w:sz w:val="22"/>
        </w:rPr>
        <w:t>---</w:t>
      </w:r>
    </w:p>
    <w:p>
      <w:pPr>
        <w:pStyle w:val="Heading1"/>
      </w:pPr>
      <w:r>
        <w:rPr>
          <w:rFonts w:ascii="Segoe UI" w:hAnsi="Segoe UI" w:eastAsia="Segoe UI"/>
          <w:b/>
          <w:sz w:val="32"/>
        </w:rPr>
        <w:t>5. Auditoría (`/Audit`)</w:t>
      </w:r>
    </w:p>
    <w:p>
      <w:r>
        <w:rPr>
          <w:rFonts w:ascii="Segoe UI" w:hAnsi="Segoe UI" w:eastAsia="Segoe UI"/>
          <w:b w:val="0"/>
          <w:sz w:val="22"/>
        </w:rPr>
        <w:t>Sistema de event sourcing basado en IEventStore y GetAuditEventsQuery.</w:t>
      </w:r>
    </w:p>
    <w:p>
      <w:pPr>
        <w:pStyle w:val="Heading2"/>
      </w:pPr>
      <w:r>
        <w:rPr>
          <w:rFonts w:ascii="Segoe UI" w:hAnsi="Segoe UI" w:eastAsia="Segoe UI"/>
          <w:b/>
          <w:sz w:val="28"/>
        </w:rPr>
        <w:t>5.1 Capacidades</w:t>
      </w:r>
    </w:p>
    <w:p>
      <w:r>
        <w:rPr>
          <w:rFonts w:ascii="Segoe UI" w:hAnsi="Segoe UI" w:eastAsia="Segoe UI"/>
          <w:b w:val="0"/>
          <w:sz w:val="22"/>
        </w:rPr>
        <w:t>- Listado de eventos de dominio por tenant (hasta 1 000 por consulta).</w:t>
      </w:r>
    </w:p>
    <w:p>
      <w:r>
        <w:rPr>
          <w:rFonts w:ascii="Segoe UI" w:hAnsi="Segoe UI" w:eastAsia="Segoe UI"/>
          <w:b w:val="0"/>
          <w:sz w:val="22"/>
        </w:rPr>
        <w:t>- Filtros por tipo de evento, rango de fechas.</w:t>
      </w:r>
    </w:p>
    <w:p>
      <w:r>
        <w:rPr>
          <w:rFonts w:ascii="Segoe UI" w:hAnsi="Segoe UI" w:eastAsia="Segoe UI"/>
          <w:b w:val="0"/>
          <w:sz w:val="22"/>
        </w:rPr>
        <w:t>- Métricas: total de eventos, eventos del día, distribución por tipo.</w:t>
      </w:r>
    </w:p>
    <w:p>
      <w:pPr>
        <w:pStyle w:val="Heading2"/>
      </w:pPr>
      <w:r>
        <w:rPr>
          <w:rFonts w:ascii="Segoe UI" w:hAnsi="Segoe UI" w:eastAsia="Segoe UI"/>
          <w:b/>
          <w:sz w:val="28"/>
        </w:rPr>
        <w:t>5.2 Cuándo consultar auditoría</w:t>
      </w:r>
    </w:p>
    <w:tbl>
      <w:tblPr>
        <w:tblStyle w:val="TableGrid"/>
        <w:tblW w:type="auto" w:w="0"/>
        <w:tblLook w:firstColumn="1" w:firstRow="1" w:lastColumn="0" w:lastRow="0" w:noHBand="0" w:noVBand="1" w:val="04A0"/>
      </w:tblPr>
      <w:tblGrid>
        <w:gridCol w:w="4680"/>
        <w:gridCol w:w="4680"/>
      </w:tblGrid>
      <w:tr>
        <w:tc>
          <w:tcPr>
            <w:tcW w:type="dxa" w:w="4680"/>
          </w:tcPr>
          <w:p>
            <w:r>
              <w:t>Escenario</w:t>
            </w:r>
          </w:p>
        </w:tc>
        <w:tc>
          <w:tcPr>
            <w:tcW w:type="dxa" w:w="4680"/>
          </w:tcPr>
          <w:p>
            <w:r>
              <w:t>Acción</w:t>
            </w:r>
          </w:p>
        </w:tc>
      </w:tr>
      <w:tr>
        <w:tc>
          <w:tcPr>
            <w:tcW w:type="dxa" w:w="4680"/>
          </w:tcPr>
          <w:p>
            <w:r>
              <w:t>Cambio de rol o usuario nuevo</w:t>
            </w:r>
          </w:p>
        </w:tc>
        <w:tc>
          <w:tcPr>
            <w:tcW w:type="dxa" w:w="4680"/>
          </w:tcPr>
          <w:p>
            <w:r>
              <w:t>Filtrar eventos de usuario</w:t>
            </w:r>
          </w:p>
        </w:tc>
      </w:tr>
      <w:tr>
        <w:tc>
          <w:tcPr>
            <w:tcW w:type="dxa" w:w="4680"/>
          </w:tcPr>
          <w:p>
            <w:r>
              <w:t>Cierre de deal inesperado</w:t>
            </w:r>
          </w:p>
        </w:tc>
        <w:tc>
          <w:tcPr>
            <w:tcW w:type="dxa" w:w="4680"/>
          </w:tcPr>
          <w:p>
            <w:r>
              <w:t>Buscar `DealClosedEvent`</w:t>
            </w:r>
          </w:p>
        </w:tc>
      </w:tr>
      <w:tr>
        <w:tc>
          <w:tcPr>
            <w:tcW w:type="dxa" w:w="4680"/>
          </w:tcPr>
          <w:p>
            <w:r>
              <w:t>Decisión IA ejecutada</w:t>
            </w:r>
          </w:p>
        </w:tc>
        <w:tc>
          <w:tcPr>
            <w:tcW w:type="dxa" w:w="4680"/>
          </w:tcPr>
          <w:p>
            <w:r>
              <w:t>Revisar eventos autónomos + `/TrustInbox`</w:t>
            </w:r>
          </w:p>
        </w:tc>
      </w:tr>
      <w:tr>
        <w:tc>
          <w:tcPr>
            <w:tcW w:type="dxa" w:w="4680"/>
          </w:tcPr>
          <w:p>
            <w:r>
              <w:t>Importación masiva</w:t>
            </w:r>
          </w:p>
        </w:tc>
        <w:tc>
          <w:tcPr>
            <w:tcW w:type="dxa" w:w="4680"/>
          </w:tcPr>
          <w:p>
            <w:r>
              <w:t>Verificar volumen y tipos post-import</w:t>
            </w:r>
          </w:p>
        </w:tc>
      </w:tr>
      <w:tr>
        <w:tc>
          <w:tcPr>
            <w:tcW w:type="dxa" w:w="4680"/>
          </w:tcPr>
          <w:p>
            <w:r>
              <w:t>Incidente de seguridad</w:t>
            </w:r>
          </w:p>
        </w:tc>
        <w:tc>
          <w:tcPr>
            <w:tcW w:type="dxa" w:w="4680"/>
          </w:tcPr>
          <w:p>
            <w:r>
              <w:t>Exportar rango de fechas para análisis</w:t>
            </w:r>
          </w:p>
        </w:tc>
      </w:tr>
    </w:tbl>
    <w:p>
      <w:pPr>
        <w:pStyle w:val="Heading2"/>
      </w:pPr>
      <w:r>
        <w:rPr>
          <w:rFonts w:ascii="Segoe UI" w:hAnsi="Segoe UI" w:eastAsia="Segoe UI"/>
          <w:b/>
          <w:sz w:val="28"/>
        </w:rPr>
        <w:t>5.3 Retención</w:t>
      </w:r>
    </w:p>
    <w:p>
      <w:r>
        <w:rPr>
          <w:rFonts w:ascii="Segoe UI" w:hAnsi="Segoe UI" w:eastAsia="Segoe UI"/>
          <w:b w:val="0"/>
          <w:sz w:val="22"/>
        </w:rPr>
        <w:t>Los eventos se almacenan en el event store del tenant. No eliminar eventos manualmente; usar filtros para investigación.</w:t>
      </w:r>
    </w:p>
    <w:p>
      <w:r>
        <w:rPr>
          <w:rFonts w:ascii="Segoe UI" w:hAnsi="Segoe UI" w:eastAsia="Segoe UI"/>
          <w:b w:val="0"/>
          <w:sz w:val="22"/>
        </w:rPr>
        <w:t>---</w:t>
      </w:r>
    </w:p>
    <w:p>
      <w:pPr>
        <w:pStyle w:val="Heading1"/>
      </w:pPr>
      <w:r>
        <w:rPr>
          <w:rFonts w:ascii="Segoe UI" w:hAnsi="Segoe UI" w:eastAsia="Segoe UI"/>
          <w:b/>
          <w:sz w:val="32"/>
        </w:rPr>
        <w:t>6. Integraciones (`/Integrations`)</w:t>
      </w:r>
    </w:p>
    <w:p>
      <w:pPr>
        <w:pStyle w:val="Heading2"/>
      </w:pPr>
      <w:r>
        <w:rPr>
          <w:rFonts w:ascii="Segoe UI" w:hAnsi="Segoe UI" w:eastAsia="Segoe UI"/>
          <w:b/>
          <w:sz w:val="28"/>
        </w:rPr>
        <w:t>6.1 Proveedores soportados</w:t>
      </w:r>
    </w:p>
    <w:tbl>
      <w:tblPr>
        <w:tblStyle w:val="TableGrid"/>
        <w:tblW w:type="auto" w:w="0"/>
        <w:tblLook w:firstColumn="1" w:firstRow="1" w:lastColumn="0" w:lastRow="0" w:noHBand="0" w:noVBand="1" w:val="04A0"/>
      </w:tblPr>
      <w:tblGrid>
        <w:gridCol w:w="3120"/>
        <w:gridCol w:w="3120"/>
        <w:gridCol w:w="3120"/>
      </w:tblGrid>
      <w:tr>
        <w:tc>
          <w:tcPr>
            <w:tcW w:type="dxa" w:w="3120"/>
          </w:tcPr>
          <w:p>
            <w:r>
              <w:t>Proveedor</w:t>
            </w:r>
          </w:p>
        </w:tc>
        <w:tc>
          <w:tcPr>
            <w:tcW w:type="dxa" w:w="3120"/>
          </w:tcPr>
          <w:p>
            <w:r>
              <w:t>Constante</w:t>
            </w:r>
          </w:p>
        </w:tc>
        <w:tc>
          <w:tcPr>
            <w:tcW w:type="dxa" w:w="3120"/>
          </w:tcPr>
          <w:p>
            <w:r>
              <w:t>Modo de conexión</w:t>
            </w:r>
          </w:p>
        </w:tc>
      </w:tr>
      <w:tr>
        <w:tc>
          <w:tcPr>
            <w:tcW w:type="dxa" w:w="3120"/>
          </w:tcPr>
          <w:p>
            <w:r>
              <w:t>HubSpot</w:t>
            </w:r>
          </w:p>
        </w:tc>
        <w:tc>
          <w:tcPr>
            <w:tcW w:type="dxa" w:w="3120"/>
          </w:tcPr>
          <w:p>
            <w:r>
              <w:t>`HubSpot`</w:t>
            </w:r>
          </w:p>
        </w:tc>
        <w:tc>
          <w:tcPr>
            <w:tcW w:type="dxa" w:w="3120"/>
          </w:tcPr>
          <w:p>
            <w:r>
              <w:t>OAuth o token manual</w:t>
            </w:r>
          </w:p>
        </w:tc>
      </w:tr>
      <w:tr>
        <w:tc>
          <w:tcPr>
            <w:tcW w:type="dxa" w:w="3120"/>
          </w:tcPr>
          <w:p>
            <w:r>
              <w:t>Salesforce</w:t>
            </w:r>
          </w:p>
        </w:tc>
        <w:tc>
          <w:tcPr>
            <w:tcW w:type="dxa" w:w="3120"/>
          </w:tcPr>
          <w:p>
            <w:r>
              <w:t>`Salesforce`</w:t>
            </w:r>
          </w:p>
        </w:tc>
        <w:tc>
          <w:tcPr>
            <w:tcW w:type="dxa" w:w="3120"/>
          </w:tcPr>
          <w:p>
            <w:r>
              <w:t>OAuth o token manual</w:t>
            </w:r>
          </w:p>
        </w:tc>
      </w:tr>
      <w:tr>
        <w:tc>
          <w:tcPr>
            <w:tcW w:type="dxa" w:w="3120"/>
          </w:tcPr>
          <w:p>
            <w:r>
              <w:t>Gmail</w:t>
            </w:r>
          </w:p>
        </w:tc>
        <w:tc>
          <w:tcPr>
            <w:tcW w:type="dxa" w:w="3120"/>
          </w:tcPr>
          <w:p>
            <w:r>
              <w:t>`Gmail`</w:t>
            </w:r>
          </w:p>
        </w:tc>
        <w:tc>
          <w:tcPr>
            <w:tcW w:type="dxa" w:w="3120"/>
          </w:tcPr>
          <w:p>
            <w:r>
              <w:t>OAuth</w:t>
            </w:r>
          </w:p>
        </w:tc>
      </w:tr>
      <w:tr>
        <w:tc>
          <w:tcPr>
            <w:tcW w:type="dxa" w:w="3120"/>
          </w:tcPr>
          <w:p>
            <w:r>
              <w:t>Outlook</w:t>
            </w:r>
          </w:p>
        </w:tc>
        <w:tc>
          <w:tcPr>
            <w:tcW w:type="dxa" w:w="3120"/>
          </w:tcPr>
          <w:p>
            <w:r>
              <w:t>`Outlook`</w:t>
            </w:r>
          </w:p>
        </w:tc>
        <w:tc>
          <w:tcPr>
            <w:tcW w:type="dxa" w:w="3120"/>
          </w:tcPr>
          <w:p>
            <w:r>
              <w:t>OAuth</w:t>
            </w:r>
          </w:p>
        </w:tc>
      </w:tr>
      <w:tr>
        <w:tc>
          <w:tcPr>
            <w:tcW w:type="dxa" w:w="3120"/>
          </w:tcPr>
          <w:p>
            <w:r>
              <w:t>Stripe</w:t>
            </w:r>
          </w:p>
        </w:tc>
        <w:tc>
          <w:tcPr>
            <w:tcW w:type="dxa" w:w="3120"/>
          </w:tcPr>
          <w:p>
            <w:r>
              <w:t>`Stripe`</w:t>
            </w:r>
          </w:p>
        </w:tc>
        <w:tc>
          <w:tcPr>
            <w:tcW w:type="dxa" w:w="3120"/>
          </w:tcPr>
          <w:p>
            <w:r>
              <w:t>API key</w:t>
            </w:r>
          </w:p>
        </w:tc>
      </w:tr>
    </w:tbl>
    <w:p>
      <w:pPr>
        <w:pStyle w:val="Heading2"/>
      </w:pPr>
      <w:r>
        <w:rPr>
          <w:rFonts w:ascii="Segoe UI" w:hAnsi="Segoe UI" w:eastAsia="Segoe UI"/>
          <w:b/>
          <w:sz w:val="28"/>
        </w:rPr>
        <w:t>6.2 Operaciones</w:t>
      </w:r>
    </w:p>
    <w:p>
      <w:r>
        <w:rPr>
          <w:rFonts w:ascii="Segoe UI" w:hAnsi="Segoe UI" w:eastAsia="Segoe UI"/>
          <w:b w:val="0"/>
          <w:sz w:val="22"/>
        </w:rPr>
        <w:t>1. Conectar: OAuth (OnGetOAuthAsync) o conexión manual con tokens/API key.</w:t>
      </w:r>
    </w:p>
    <w:p>
      <w:r>
        <w:rPr>
          <w:rFonts w:ascii="Segoe UI" w:hAnsi="Segoe UI" w:eastAsia="Segoe UI"/>
          <w:b w:val="0"/>
          <w:sz w:val="22"/>
        </w:rPr>
        <w:t>2. Sincronizar: SyncProviderAsync — reporta pull, push y errors.</w:t>
      </w:r>
    </w:p>
    <w:p>
      <w:r>
        <w:rPr>
          <w:rFonts w:ascii="Segoe UI" w:hAnsi="Segoe UI" w:eastAsia="Segoe UI"/>
          <w:b w:val="0"/>
          <w:sz w:val="22"/>
        </w:rPr>
        <w:t>3. Desconectar: elimina la conexión del tenant.</w:t>
      </w:r>
    </w:p>
    <w:p>
      <w:r>
        <w:rPr>
          <w:rFonts w:ascii="Segoe UI" w:hAnsi="Segoe UI" w:eastAsia="Segoe UI"/>
          <w:b w:val="0"/>
          <w:sz w:val="22"/>
        </w:rPr>
        <w:t>4. Health Center: dashboard de salud de integraciones activas.</w:t>
      </w:r>
    </w:p>
    <w:p>
      <w:pPr>
        <w:pStyle w:val="Heading2"/>
      </w:pPr>
      <w:r>
        <w:rPr>
          <w:rFonts w:ascii="Segoe UI" w:hAnsi="Segoe UI" w:eastAsia="Segoe UI"/>
          <w:b/>
          <w:sz w:val="28"/>
        </w:rPr>
        <w:t>6.3 Callback OAuth</w:t>
      </w:r>
    </w:p>
    <w:p>
      <w:r>
        <w:rPr>
          <w:rFonts w:ascii="Segoe UI" w:hAnsi="Segoe UI" w:eastAsia="Segoe UI"/>
          <w:b w:val="0"/>
          <w:sz w:val="22"/>
        </w:rPr>
        <w:t>/Integrations/OAuthCallback procesa el retorno del proveedor y persiste la conexión.</w:t>
      </w:r>
    </w:p>
    <w:p>
      <w:pPr>
        <w:pStyle w:val="Heading2"/>
      </w:pPr>
      <w:r>
        <w:rPr>
          <w:rFonts w:ascii="Segoe UI" w:hAnsi="Segoe UI" w:eastAsia="Segoe UI"/>
          <w:b/>
          <w:sz w:val="28"/>
        </w:rPr>
        <w:t>6.4 Buenas prácticas</w:t>
      </w:r>
    </w:p>
    <w:p>
      <w:r>
        <w:rPr>
          <w:rFonts w:ascii="Segoe UI" w:hAnsi="Segoe UI" w:eastAsia="Segoe UI"/>
          <w:b w:val="0"/>
          <w:sz w:val="22"/>
        </w:rPr>
        <w:t>- Verificar health después de cada sync.</w:t>
      </w:r>
    </w:p>
    <w:p>
      <w:r>
        <w:rPr>
          <w:rFonts w:ascii="Segoe UI" w:hAnsi="Segoe UI" w:eastAsia="Segoe UI"/>
          <w:b w:val="0"/>
          <w:sz w:val="22"/>
        </w:rPr>
        <w:t>- Documentar credenciales en gestor de secretos, no en tickets.</w:t>
      </w:r>
    </w:p>
    <w:p>
      <w:r>
        <w:rPr>
          <w:rFonts w:ascii="Segoe UI" w:hAnsi="Segoe UI" w:eastAsia="Segoe UI"/>
          <w:b w:val="0"/>
          <w:sz w:val="22"/>
        </w:rPr>
        <w:t>- Revisar /FailedEvents si sync reporta errores recurrentes.</w:t>
      </w:r>
    </w:p>
    <w:p>
      <w:r>
        <w:rPr>
          <w:rFonts w:ascii="Segoe UI" w:hAnsi="Segoe UI" w:eastAsia="Segoe UI"/>
          <w:b w:val="0"/>
          <w:sz w:val="22"/>
        </w:rPr>
        <w:t>---</w:t>
      </w:r>
    </w:p>
    <w:p>
      <w:pPr>
        <w:pStyle w:val="Heading1"/>
      </w:pPr>
      <w:r>
        <w:rPr>
          <w:rFonts w:ascii="Segoe UI" w:hAnsi="Segoe UI" w:eastAsia="Segoe UI"/>
          <w:b/>
          <w:sz w:val="32"/>
        </w:rPr>
        <w:t>7. Eventos fallidos (`/FailedEvents`)</w:t>
      </w:r>
    </w:p>
    <w:p>
      <w:r>
        <w:rPr>
          <w:rFonts w:ascii="Segoe UI" w:hAnsi="Segoe UI" w:eastAsia="Segoe UI"/>
          <w:b w:val="0"/>
          <w:sz w:val="22"/>
        </w:rPr>
        <w:t>Cola de mensajes no procesados (DLQ) gestionada por IFailedEventReplayService.</w:t>
      </w:r>
    </w:p>
    <w:p>
      <w:pPr>
        <w:pStyle w:val="Heading2"/>
      </w:pPr>
      <w:r>
        <w:rPr>
          <w:rFonts w:ascii="Segoe UI" w:hAnsi="Segoe UI" w:eastAsia="Segoe UI"/>
          <w:b/>
          <w:sz w:val="28"/>
        </w:rPr>
        <w:t>7.1 Pantalla</w:t>
      </w:r>
    </w:p>
    <w:p>
      <w:r>
        <w:rPr>
          <w:rFonts w:ascii="Segoe UI" w:hAnsi="Segoe UI" w:eastAsia="Segoe UI"/>
          <w:b w:val="0"/>
          <w:sz w:val="22"/>
        </w:rPr>
        <w:t>- Lista hasta 100 eventos fallidos del tenant.</w:t>
      </w:r>
    </w:p>
    <w:p>
      <w:r>
        <w:rPr>
          <w:rFonts w:ascii="Segoe UI" w:hAnsi="Segoe UI" w:eastAsia="Segoe UI"/>
          <w:b w:val="0"/>
          <w:sz w:val="22"/>
        </w:rPr>
        <w:t>- Muestra tipo, payload, fecha y estado.</w:t>
      </w:r>
    </w:p>
    <w:p>
      <w:pPr>
        <w:pStyle w:val="Heading2"/>
      </w:pPr>
      <w:r>
        <w:rPr>
          <w:rFonts w:ascii="Segoe UI" w:hAnsi="Segoe UI" w:eastAsia="Segoe UI"/>
          <w:b/>
          <w:sz w:val="28"/>
        </w:rPr>
        <w:t>7.2 Reprocesar evento</w:t>
      </w:r>
    </w:p>
    <w:p>
      <w:r>
        <w:rPr>
          <w:rFonts w:ascii="Segoe UI" w:hAnsi="Segoe UI" w:eastAsia="Segoe UI"/>
          <w:b w:val="0"/>
          <w:sz w:val="22"/>
        </w:rPr>
        <w:t>1. Identificar evento en la lista.</w:t>
      </w:r>
    </w:p>
    <w:p>
      <w:r>
        <w:rPr>
          <w:rFonts w:ascii="Segoe UI" w:hAnsi="Segoe UI" w:eastAsia="Segoe UI"/>
          <w:b w:val="0"/>
          <w:sz w:val="22"/>
        </w:rPr>
        <w:t>2. Clic en Replay → MarkReplayRequestedAsync.</w:t>
      </w:r>
    </w:p>
    <w:p>
      <w:r>
        <w:rPr>
          <w:rFonts w:ascii="Segoe UI" w:hAnsi="Segoe UI" w:eastAsia="Segoe UI"/>
          <w:b w:val="0"/>
          <w:sz w:val="22"/>
        </w:rPr>
        <w:t>3. El worker reintenta el procesamiento.</w:t>
      </w:r>
    </w:p>
    <w:p>
      <w:r>
        <w:rPr>
          <w:rFonts w:ascii="Segoe UI" w:hAnsi="Segoe UI" w:eastAsia="Segoe UI"/>
          <w:b w:val="0"/>
          <w:sz w:val="22"/>
        </w:rPr>
        <w:t>4. Verificar en /Audit que el evento se procesó correctamente.</w:t>
      </w:r>
    </w:p>
    <w:p>
      <w:pPr>
        <w:pStyle w:val="Heading2"/>
      </w:pPr>
      <w:r>
        <w:rPr>
          <w:rFonts w:ascii="Segoe UI" w:hAnsi="Segoe UI" w:eastAsia="Segoe UI"/>
          <w:b/>
          <w:sz w:val="28"/>
        </w:rPr>
        <w:t>7.3 Escalamiento</w:t>
      </w:r>
    </w:p>
    <w:p>
      <w:r>
        <w:rPr>
          <w:rFonts w:ascii="Segoe UI" w:hAnsi="Segoe UI" w:eastAsia="Segoe UI"/>
          <w:b w:val="0"/>
          <w:sz w:val="22"/>
        </w:rPr>
        <w:t>Si un evento falla repetidamente tras replay:</w:t>
      </w:r>
    </w:p>
    <w:p>
      <w:r>
        <w:rPr>
          <w:rFonts w:ascii="Segoe UI" w:hAnsi="Segoe UI" w:eastAsia="Segoe UI"/>
          <w:b w:val="0"/>
          <w:sz w:val="22"/>
        </w:rPr>
        <w:t>1. Revisar logs del worker.</w:t>
      </w:r>
    </w:p>
    <w:p>
      <w:r>
        <w:rPr>
          <w:rFonts w:ascii="Segoe UI" w:hAnsi="Segoe UI" w:eastAsia="Segoe UI"/>
          <w:b w:val="0"/>
          <w:sz w:val="22"/>
        </w:rPr>
        <w:t>2. Validar integración relacionada en /Integrations.</w:t>
      </w:r>
    </w:p>
    <w:p>
      <w:r>
        <w:rPr>
          <w:rFonts w:ascii="Segoe UI" w:hAnsi="Segoe UI" w:eastAsia="Segoe UI"/>
          <w:b w:val="0"/>
          <w:sz w:val="22"/>
        </w:rPr>
        <w:t>3. Contactar soporte técnico con eventId y tipo de evento.</w:t>
      </w:r>
    </w:p>
    <w:p>
      <w:r>
        <w:rPr>
          <w:rFonts w:ascii="Segoe UI" w:hAnsi="Segoe UI" w:eastAsia="Segoe UI"/>
          <w:b w:val="0"/>
          <w:sz w:val="22"/>
        </w:rPr>
        <w:t>---</w:t>
      </w:r>
    </w:p>
    <w:p>
      <w:pPr>
        <w:pStyle w:val="Heading1"/>
      </w:pPr>
      <w:r>
        <w:rPr>
          <w:rFonts w:ascii="Segoe UI" w:hAnsi="Segoe UI" w:eastAsia="Segoe UI"/>
          <w:b/>
          <w:sz w:val="32"/>
        </w:rPr>
        <w:t>8. Facturación (`/billing`)</w:t>
      </w:r>
    </w:p>
    <w:p>
      <w:r>
        <w:rPr>
          <w:rFonts w:ascii="Segoe UI" w:hAnsi="Segoe UI" w:eastAsia="Segoe UI"/>
          <w:b w:val="0"/>
          <w:sz w:val="22"/>
        </w:rPr>
        <w:t>Dashboard de suscripción vía IBillingDashboardService.</w:t>
      </w:r>
    </w:p>
    <w:p>
      <w:pPr>
        <w:pStyle w:val="Heading2"/>
      </w:pPr>
      <w:r>
        <w:rPr>
          <w:rFonts w:ascii="Segoe UI" w:hAnsi="Segoe UI" w:eastAsia="Segoe UI"/>
          <w:b/>
          <w:sz w:val="28"/>
        </w:rPr>
        <w:t>8.1 Información disponible</w:t>
      </w:r>
    </w:p>
    <w:p>
      <w:r>
        <w:rPr>
          <w:rFonts w:ascii="Segoe UI" w:hAnsi="Segoe UI" w:eastAsia="Segoe UI"/>
          <w:b w:val="0"/>
          <w:sz w:val="22"/>
        </w:rPr>
        <w:t>- Estado de suscripción del tenant.</w:t>
      </w:r>
    </w:p>
    <w:p>
      <w:r>
        <w:rPr>
          <w:rFonts w:ascii="Segoe UI" w:hAnsi="Segoe UI" w:eastAsia="Segoe UI"/>
          <w:b w:val="0"/>
          <w:sz w:val="22"/>
        </w:rPr>
        <w:t>- Métricas de facturación (según integración Stripe configurada).</w:t>
      </w:r>
    </w:p>
    <w:p>
      <w:r>
        <w:rPr>
          <w:rFonts w:ascii="Segoe UI" w:hAnsi="Segoe UI" w:eastAsia="Segoe UI"/>
          <w:b w:val="0"/>
          <w:sz w:val="22"/>
        </w:rPr>
        <w:t>- Plan activo y límites.</w:t>
      </w:r>
    </w:p>
    <w:p>
      <w:pPr>
        <w:pStyle w:val="Heading2"/>
      </w:pPr>
      <w:r>
        <w:rPr>
          <w:rFonts w:ascii="Segoe UI" w:hAnsi="Segoe UI" w:eastAsia="Segoe UI"/>
          <w:b/>
          <w:sz w:val="28"/>
        </w:rPr>
        <w:t>8.2 Dependencia Stripe</w:t>
      </w:r>
    </w:p>
    <w:p>
      <w:r>
        <w:rPr>
          <w:rFonts w:ascii="Segoe UI" w:hAnsi="Segoe UI" w:eastAsia="Segoe UI"/>
          <w:b w:val="0"/>
          <w:sz w:val="22"/>
        </w:rPr>
        <w:t>La facturación real requiere conexión Stripe en /Integrations. Sin Stripe conectado, el dashboard puede mostrar estado vacío.</w:t>
      </w:r>
    </w:p>
    <w:p>
      <w:r>
        <w:rPr>
          <w:rFonts w:ascii="Segoe UI" w:hAnsi="Segoe UI" w:eastAsia="Segoe UI"/>
          <w:b w:val="0"/>
          <w:sz w:val="22"/>
        </w:rPr>
        <w:t>---</w:t>
      </w:r>
    </w:p>
    <w:p>
      <w:pPr>
        <w:pStyle w:val="Heading1"/>
      </w:pPr>
      <w:r>
        <w:rPr>
          <w:rFonts w:ascii="Segoe UI" w:hAnsi="Segoe UI" w:eastAsia="Segoe UI"/>
          <w:b/>
          <w:sz w:val="32"/>
        </w:rPr>
        <w:t>9. API de tenants</w:t>
      </w:r>
    </w:p>
    <w:p>
      <w:pPr>
        <w:pStyle w:val="Heading2"/>
      </w:pPr>
      <w:r>
        <w:rPr>
          <w:rFonts w:ascii="Segoe UI" w:hAnsi="Segoe UI" w:eastAsia="Segoe UI"/>
          <w:b/>
          <w:sz w:val="28"/>
        </w:rPr>
        <w:t>9.1 Crear tenant</w:t>
      </w:r>
    </w:p>
    <w:p>
      <w:r>
        <w:rPr>
          <w:rFonts w:ascii="Segoe UI" w:hAnsi="Segoe UI" w:eastAsia="Segoe UI"/>
          <w:b w:val="0"/>
          <w:color w:val="646464"/>
          <w:sz w:val="20"/>
        </w:rPr>
        <w:t>[Diagrama / bloque técnico — ver versión Markdown]</w:t>
      </w:r>
    </w:p>
    <w:p>
      <w:pPr>
        <w:ind w:left="432"/>
      </w:pPr>
      <w:r>
        <w:rPr>
          <w:rFonts w:ascii="Segoe UI" w:hAnsi="Segoe UI" w:eastAsia="Segoe UI"/>
          <w:b w:val="0"/>
          <w:sz w:val="18"/>
        </w:rPr>
        <w:t>POST /api/tenants</w:t>
      </w:r>
    </w:p>
    <w:p>
      <w:pPr>
        <w:ind w:left="432"/>
      </w:pPr>
      <w:r>
        <w:rPr>
          <w:rFonts w:ascii="Segoe UI" w:hAnsi="Segoe UI" w:eastAsia="Segoe UI"/>
          <w:b w:val="0"/>
          <w:sz w:val="18"/>
        </w:rPr>
        <w:t>Authorization: Bearer {token_admin}</w:t>
      </w:r>
    </w:p>
    <w:p>
      <w:pPr>
        <w:ind w:left="432"/>
      </w:pPr>
      <w:r>
        <w:rPr>
          <w:rFonts w:ascii="Segoe UI" w:hAnsi="Segoe UI" w:eastAsia="Segoe UI"/>
          <w:b w:val="0"/>
          <w:sz w:val="18"/>
        </w:rPr>
        <w:t>Content-Type: application/json</w:t>
      </w:r>
    </w:p>
    <w:p>
      <w:pPr>
        <w:ind w:left="432"/>
      </w:pPr>
      <w:r>
        <w:rPr>
          <w:rFonts w:ascii="Segoe UI" w:hAnsi="Segoe UI" w:eastAsia="Segoe UI"/>
          <w:b w:val="0"/>
          <w:sz w:val="18"/>
        </w:rPr>
      </w:r>
    </w:p>
    <w:p>
      <w:pPr>
        <w:ind w:left="432"/>
      </w:pPr>
      <w:r>
        <w:rPr>
          <w:rFonts w:ascii="Segoe UI" w:hAnsi="Segoe UI" w:eastAsia="Segoe UI"/>
          <w:b w:val="0"/>
          <w:sz w:val="18"/>
        </w:rPr>
        <w:t>{</w:t>
      </w:r>
    </w:p>
    <w:p>
      <w:pPr>
        <w:ind w:left="432"/>
      </w:pPr>
      <w:r>
        <w:rPr>
          <w:rFonts w:ascii="Segoe UI" w:hAnsi="Segoe UI" w:eastAsia="Segoe UI"/>
          <w:b w:val="0"/>
          <w:sz w:val="18"/>
        </w:rPr>
        <w:t xml:space="preserve">  "name": "Nueva Empresa S.A.",</w:t>
      </w:r>
    </w:p>
    <w:p>
      <w:pPr>
        <w:ind w:left="432"/>
      </w:pPr>
      <w:r>
        <w:rPr>
          <w:rFonts w:ascii="Segoe UI" w:hAnsi="Segoe UI" w:eastAsia="Segoe UI"/>
          <w:b w:val="0"/>
          <w:sz w:val="18"/>
        </w:rPr>
        <w:t xml:space="preserve">  "description": "Tenant productivo"</w:t>
      </w:r>
    </w:p>
    <w:p>
      <w:pPr>
        <w:ind w:left="432"/>
      </w:pPr>
      <w:r>
        <w:rPr>
          <w:rFonts w:ascii="Segoe UI" w:hAnsi="Segoe UI" w:eastAsia="Segoe UI"/>
          <w:b w:val="0"/>
          <w:sz w:val="18"/>
        </w:rPr>
        <w:t>}</w:t>
      </w:r>
    </w:p>
    <w:p>
      <w:r>
        <w:rPr>
          <w:rFonts w:ascii="Segoe UI" w:hAnsi="Segoe UI" w:eastAsia="Segoe UI"/>
          <w:b w:val="0"/>
          <w:sz w:val="22"/>
        </w:rPr>
        <w:t>- Requiere RequireAdmin.</w:t>
      </w:r>
    </w:p>
    <w:p>
      <w:r>
        <w:rPr>
          <w:rFonts w:ascii="Segoe UI" w:hAnsi="Segoe UI" w:eastAsia="Segoe UI"/>
          <w:b w:val="0"/>
          <w:sz w:val="22"/>
        </w:rPr>
        <w:t>- Ejecuta CreateTenantCommand y provisiona admin inicial vía TenantProvisioningService.</w:t>
      </w:r>
    </w:p>
    <w:p>
      <w:r>
        <w:rPr>
          <w:rFonts w:ascii="Segoe UI" w:hAnsi="Segoe UI" w:eastAsia="Segoe UI"/>
          <w:b w:val="0"/>
          <w:sz w:val="22"/>
        </w:rPr>
        <w:t>- Devuelve 201 Created con tenantId.</w:t>
      </w:r>
    </w:p>
    <w:p>
      <w:pPr>
        <w:pStyle w:val="Heading2"/>
      </w:pPr>
      <w:r>
        <w:rPr>
          <w:rFonts w:ascii="Segoe UI" w:hAnsi="Segoe UI" w:eastAsia="Segoe UI"/>
          <w:b/>
          <w:sz w:val="28"/>
        </w:rPr>
        <w:t>9.2 Consultar tenant</w:t>
      </w:r>
    </w:p>
    <w:p>
      <w:r>
        <w:rPr>
          <w:rFonts w:ascii="Segoe UI" w:hAnsi="Segoe UI" w:eastAsia="Segoe UI"/>
          <w:b w:val="0"/>
          <w:color w:val="646464"/>
          <w:sz w:val="20"/>
        </w:rPr>
        <w:t>[Diagrama / bloque técnico — ver versión Markdown]</w:t>
      </w:r>
    </w:p>
    <w:p>
      <w:pPr>
        <w:ind w:left="432"/>
      </w:pPr>
      <w:r>
        <w:rPr>
          <w:rFonts w:ascii="Segoe UI" w:hAnsi="Segoe UI" w:eastAsia="Segoe UI"/>
          <w:b w:val="0"/>
          <w:sz w:val="18"/>
        </w:rPr>
        <w:t>GET /api/tenants/{id}</w:t>
      </w:r>
    </w:p>
    <w:p>
      <w:r>
        <w:rPr>
          <w:rFonts w:ascii="Segoe UI" w:hAnsi="Segoe UI" w:eastAsia="Segoe UI"/>
          <w:b w:val="0"/>
          <w:sz w:val="22"/>
        </w:rPr>
        <w:t>Devuelve TenantDto o 404 Not Found.</w:t>
      </w:r>
    </w:p>
    <w:p>
      <w:r>
        <w:rPr>
          <w:rFonts w:ascii="Segoe UI" w:hAnsi="Segoe UI" w:eastAsia="Segoe UI"/>
          <w:b w:val="0"/>
          <w:sz w:val="22"/>
        </w:rPr>
        <w:t>---</w:t>
      </w:r>
    </w:p>
    <w:p>
      <w:pPr>
        <w:pStyle w:val="Heading1"/>
      </w:pPr>
      <w:r>
        <w:rPr>
          <w:rFonts w:ascii="Segoe UI" w:hAnsi="Segoe UI" w:eastAsia="Segoe UI"/>
          <w:b/>
          <w:sz w:val="32"/>
        </w:rPr>
        <w:t>10. Políticas de control (`/Policies`)</w:t>
      </w:r>
    </w:p>
    <w:p>
      <w:r>
        <w:rPr>
          <w:rFonts w:ascii="Segoe UI" w:hAnsi="Segoe UI" w:eastAsia="Segoe UI"/>
          <w:b w:val="0"/>
          <w:sz w:val="22"/>
        </w:rPr>
        <w:t>Motor ABAC para reglas de negocio configurables.</w:t>
      </w:r>
    </w:p>
    <w:p>
      <w:r>
        <w:rPr>
          <w:rFonts w:ascii="Segoe UI" w:hAnsi="Segoe UI" w:eastAsia="Segoe UI"/>
          <w:b w:val="0"/>
          <w:sz w:val="22"/>
        </w:rPr>
        <w:t>- Crear, editar, importar y duplicar políticas.</w:t>
      </w:r>
    </w:p>
    <w:p>
      <w:r>
        <w:rPr>
          <w:rFonts w:ascii="Segoe UI" w:hAnsi="Segoe UI" w:eastAsia="Segoe UI"/>
          <w:b w:val="0"/>
          <w:sz w:val="22"/>
        </w:rPr>
        <w:t>- Las políticas RequireAdmin, RequireManager, RequireSales están registradas en AuthorizationPolicies pero su uso en endpoints es limitado — no sustituyen la revisión manual de permisos UI.</w:t>
      </w:r>
    </w:p>
    <w:p>
      <w:r>
        <w:rPr>
          <w:rFonts w:ascii="Segoe UI" w:hAnsi="Segoe UI" w:eastAsia="Segoe UI"/>
          <w:b w:val="0"/>
          <w:sz w:val="22"/>
        </w:rPr>
        <w:t>---</w:t>
      </w:r>
    </w:p>
    <w:p>
      <w:pPr>
        <w:pStyle w:val="Heading1"/>
      </w:pPr>
      <w:r>
        <w:rPr>
          <w:rFonts w:ascii="Segoe UI" w:hAnsi="Segoe UI" w:eastAsia="Segoe UI"/>
          <w:b/>
          <w:sz w:val="32"/>
        </w:rPr>
        <w:t>11. Checklist operativo diario (Admin)</w:t>
      </w:r>
    </w:p>
    <w:tbl>
      <w:tblPr>
        <w:tblStyle w:val="TableGrid"/>
        <w:tblW w:type="auto" w:w="0"/>
        <w:tblLook w:firstColumn="1" w:firstRow="1" w:lastColumn="0" w:lastRow="0" w:noHBand="0" w:noVBand="1" w:val="04A0"/>
      </w:tblPr>
      <w:tblGrid>
        <w:gridCol w:w="3120"/>
        <w:gridCol w:w="3120"/>
        <w:gridCol w:w="3120"/>
      </w:tblGrid>
      <w:tr>
        <w:tc>
          <w:tcPr>
            <w:tcW w:type="dxa" w:w="3120"/>
          </w:tcPr>
          <w:p>
            <w:r>
              <w:t>Hora</w:t>
            </w:r>
          </w:p>
        </w:tc>
        <w:tc>
          <w:tcPr>
            <w:tcW w:type="dxa" w:w="3120"/>
          </w:tcPr>
          <w:p>
            <w:r>
              <w:t>Tarea</w:t>
            </w:r>
          </w:p>
        </w:tc>
        <w:tc>
          <w:tcPr>
            <w:tcW w:type="dxa" w:w="3120"/>
          </w:tcPr>
          <w:p>
            <w:r>
              <w:t>Ruta</w:t>
            </w:r>
          </w:p>
        </w:tc>
      </w:tr>
      <w:tr>
        <w:tc>
          <w:tcPr>
            <w:tcW w:type="dxa" w:w="3120"/>
          </w:tcPr>
          <w:p>
            <w:r>
              <w:t>Inicio</w:t>
            </w:r>
          </w:p>
        </w:tc>
        <w:tc>
          <w:tcPr>
            <w:tcW w:type="dxa" w:w="3120"/>
          </w:tcPr>
          <w:p>
            <w:r>
              <w:t>Revisar eventos fallidos</w:t>
            </w:r>
          </w:p>
        </w:tc>
        <w:tc>
          <w:tcPr>
            <w:tcW w:type="dxa" w:w="3120"/>
          </w:tcPr>
          <w:p>
            <w:r>
              <w:t>`/FailedEvents`</w:t>
            </w:r>
          </w:p>
        </w:tc>
      </w:tr>
      <w:tr>
        <w:tc>
          <w:tcPr>
            <w:tcW w:type="dxa" w:w="3120"/>
          </w:tcPr>
          <w:p>
            <w:r>
              <w:t>Inicio</w:t>
            </w:r>
          </w:p>
        </w:tc>
        <w:tc>
          <w:tcPr>
            <w:tcW w:type="dxa" w:w="3120"/>
          </w:tcPr>
          <w:p>
            <w:r>
              <w:t>Verificar health integraciones</w:t>
            </w:r>
          </w:p>
        </w:tc>
        <w:tc>
          <w:tcPr>
            <w:tcW w:type="dxa" w:w="3120"/>
          </w:tcPr>
          <w:p>
            <w:r>
              <w:t>`/Integrations`</w:t>
            </w:r>
          </w:p>
        </w:tc>
      </w:tr>
      <w:tr>
        <w:tc>
          <w:tcPr>
            <w:tcW w:type="dxa" w:w="3120"/>
          </w:tcPr>
          <w:p>
            <w:r>
              <w:t>Mediodía</w:t>
            </w:r>
          </w:p>
        </w:tc>
        <w:tc>
          <w:tcPr>
            <w:tcW w:type="dxa" w:w="3120"/>
          </w:tcPr>
          <w:p>
            <w:r>
              <w:t>Auditar cambios del día</w:t>
            </w:r>
          </w:p>
        </w:tc>
        <w:tc>
          <w:tcPr>
            <w:tcW w:type="dxa" w:w="3120"/>
          </w:tcPr>
          <w:p>
            <w:r>
              <w:t>`/Audit`</w:t>
            </w:r>
          </w:p>
        </w:tc>
      </w:tr>
      <w:tr>
        <w:tc>
          <w:tcPr>
            <w:tcW w:type="dxa" w:w="3120"/>
          </w:tcPr>
          <w:p>
            <w:r>
              <w:t>Semanal</w:t>
            </w:r>
          </w:p>
        </w:tc>
        <w:tc>
          <w:tcPr>
            <w:tcW w:type="dxa" w:w="3120"/>
          </w:tcPr>
          <w:p>
            <w:r>
              <w:t>Revisar usuarios sin MFA</w:t>
            </w:r>
          </w:p>
        </w:tc>
        <w:tc>
          <w:tcPr>
            <w:tcW w:type="dxa" w:w="3120"/>
          </w:tcPr>
          <w:p>
            <w:r>
              <w:t>`/Users`</w:t>
            </w:r>
          </w:p>
        </w:tc>
      </w:tr>
      <w:tr>
        <w:tc>
          <w:tcPr>
            <w:tcW w:type="dxa" w:w="3120"/>
          </w:tcPr>
          <w:p>
            <w:r>
              <w:t>Semanal</w:t>
            </w:r>
          </w:p>
        </w:tc>
        <w:tc>
          <w:tcPr>
            <w:tcW w:type="dxa" w:w="3120"/>
          </w:tcPr>
          <w:p>
            <w:r>
              <w:t>Validar settings y kill-switch</w:t>
            </w:r>
          </w:p>
        </w:tc>
        <w:tc>
          <w:tcPr>
            <w:tcW w:type="dxa" w:w="3120"/>
          </w:tcPr>
          <w:p>
            <w:r>
              <w:t>`/Settings`</w:t>
            </w:r>
          </w:p>
        </w:tc>
      </w:tr>
      <w:tr>
        <w:tc>
          <w:tcPr>
            <w:tcW w:type="dxa" w:w="3120"/>
          </w:tcPr>
          <w:p>
            <w:r>
              <w:t>Mensual</w:t>
            </w:r>
          </w:p>
        </w:tc>
        <w:tc>
          <w:tcPr>
            <w:tcW w:type="dxa" w:w="3120"/>
          </w:tcPr>
          <w:p>
            <w:r>
              <w:t>Revisar facturación</w:t>
            </w:r>
          </w:p>
        </w:tc>
        <w:tc>
          <w:tcPr>
            <w:tcW w:type="dxa" w:w="3120"/>
          </w:tcPr>
          <w:p>
            <w:r>
              <w:t>`/billing`</w:t>
            </w:r>
          </w:p>
        </w:tc>
      </w:tr>
    </w:tbl>
    <w:p>
      <w:r>
        <w:rPr>
          <w:rFonts w:ascii="Segoe UI" w:hAnsi="Segoe UI" w:eastAsia="Segoe UI"/>
          <w:b w:val="0"/>
          <w:sz w:val="22"/>
        </w:rPr>
        <w:t>---</w:t>
      </w:r>
    </w:p>
    <w:p>
      <w:pPr>
        <w:pStyle w:val="Heading1"/>
      </w:pPr>
      <w:r>
        <w:rPr>
          <w:rFonts w:ascii="Segoe UI" w:hAnsi="Segoe UI" w:eastAsia="Segoe UI"/>
          <w:b/>
          <w:sz w:val="32"/>
        </w:rPr>
        <w:t>12. Riesgos documentados (del código)</w:t>
      </w:r>
    </w:p>
    <w:p>
      <w:r>
        <w:rPr>
          <w:rFonts w:ascii="Segoe UI" w:hAnsi="Segoe UI" w:eastAsia="Segoe UI"/>
          <w:b w:val="0"/>
          <w:sz w:val="22"/>
        </w:rPr>
        <w:t>1. &gt; RIESGO Brecha UI vs API: control de escritura comercial del sistema bloquea escritura comercial UI para Viewer/Support, pero controllers comerciales API no filtran por rol en todos los endpoints.</w:t>
      </w:r>
    </w:p>
    <w:p>
      <w:r>
        <w:rPr>
          <w:rFonts w:ascii="Segoe UI" w:hAnsi="Segoe UI" w:eastAsia="Segoe UI"/>
          <w:b w:val="0"/>
          <w:sz w:val="22"/>
        </w:rPr>
        <w:t>2. AssignRole sin whitelist estricta: el dominio acepta strings de rol arbitrarios; validar en UI antes de asignar.</w:t>
      </w:r>
    </w:p>
    <w:p>
      <w:r>
        <w:rPr>
          <w:rFonts w:ascii="Segoe UI" w:hAnsi="Segoe UI" w:eastAsia="Segoe UI"/>
          <w:b w:val="0"/>
          <w:sz w:val="22"/>
        </w:rPr>
        <w:t>3. Credenciales demo: patrón {Rol}123! en seed local — rotar en producción.</w:t>
      </w:r>
    </w:p>
    <w:p>
      <w:r>
        <w:rPr>
          <w:rFonts w:ascii="Segoe UI" w:hAnsi="Segoe UI" w:eastAsia="Segoe UI"/>
          <w:b w:val="0"/>
          <w:sz w:val="22"/>
        </w:rPr>
        <w:t>---</w:t>
      </w:r>
    </w:p>
    <w:p>
      <w:pPr>
        <w:pStyle w:val="Heading1"/>
      </w:pPr>
      <w:r>
        <w:rPr>
          <w:rFonts w:ascii="Segoe UI" w:hAnsi="Segoe UI" w:eastAsia="Segoe UI"/>
          <w:b/>
          <w:sz w:val="32"/>
        </w:rPr>
        <w:t>13. Contactos de escalamiento</w:t>
      </w:r>
    </w:p>
    <w:tbl>
      <w:tblPr>
        <w:tblStyle w:val="TableGrid"/>
        <w:tblW w:type="auto" w:w="0"/>
        <w:tblLook w:firstColumn="1" w:firstRow="1" w:lastColumn="0" w:lastRow="0" w:noHBand="0" w:noVBand="1" w:val="04A0"/>
      </w:tblPr>
      <w:tblGrid>
        <w:gridCol w:w="4680"/>
        <w:gridCol w:w="4680"/>
      </w:tblGrid>
      <w:tr>
        <w:tc>
          <w:tcPr>
            <w:tcW w:type="dxa" w:w="4680"/>
          </w:tcPr>
          <w:p>
            <w:r>
              <w:t>Tipo de incidente</w:t>
            </w:r>
          </w:p>
        </w:tc>
        <w:tc>
          <w:tcPr>
            <w:tcW w:type="dxa" w:w="4680"/>
          </w:tcPr>
          <w:p>
            <w:r>
              <w:t>Escalar a</w:t>
            </w:r>
          </w:p>
        </w:tc>
      </w:tr>
      <w:tr>
        <w:tc>
          <w:tcPr>
            <w:tcW w:type="dxa" w:w="4680"/>
          </w:tcPr>
          <w:p>
            <w:r>
              <w:t>Usuario bloqueado / MFA</w:t>
            </w:r>
          </w:p>
        </w:tc>
        <w:tc>
          <w:tcPr>
            <w:tcW w:type="dxa" w:w="4680"/>
          </w:tcPr>
          <w:p>
            <w:r>
              <w:t>Admin del tenant</w:t>
            </w:r>
          </w:p>
        </w:tc>
      </w:tr>
      <w:tr>
        <w:tc>
          <w:tcPr>
            <w:tcW w:type="dxa" w:w="4680"/>
          </w:tcPr>
          <w:p>
            <w:r>
              <w:t>Integración caída</w:t>
            </w:r>
          </w:p>
        </w:tc>
        <w:tc>
          <w:tcPr>
            <w:tcW w:type="dxa" w:w="4680"/>
          </w:tcPr>
          <w:p>
            <w:r>
              <w:t>Admin + proveedor externo</w:t>
            </w:r>
          </w:p>
        </w:tc>
      </w:tr>
      <w:tr>
        <w:tc>
          <w:tcPr>
            <w:tcW w:type="dxa" w:w="4680"/>
          </w:tcPr>
          <w:p>
            <w:r>
              <w:t>Eventos fallidos persistentes</w:t>
            </w:r>
          </w:p>
        </w:tc>
        <w:tc>
          <w:tcPr>
            <w:tcW w:type="dxa" w:w="4680"/>
          </w:tcPr>
          <w:p>
            <w:r>
              <w:t>Equipo técnico / DevOps</w:t>
            </w:r>
          </w:p>
        </w:tc>
      </w:tr>
      <w:tr>
        <w:tc>
          <w:tcPr>
            <w:tcW w:type="dxa" w:w="4680"/>
          </w:tcPr>
          <w:p>
            <w:r>
              <w:t>&gt; **RIESGO** Brecha de seguridad</w:t>
            </w:r>
          </w:p>
        </w:tc>
        <w:tc>
          <w:tcPr>
            <w:tcW w:type="dxa" w:w="4680"/>
          </w:tcPr>
          <w:p>
            <w:r>
              <w:t>Admin + auditoría `/Audit`</w:t>
            </w:r>
          </w:p>
        </w:tc>
      </w:tr>
    </w:tbl>
    <w:p>
      <w:r>
        <w:rPr>
          <w:rFonts w:ascii="Segoe UI" w:hAnsi="Segoe UI" w:eastAsia="Segoe UI"/>
          <w:b w:val="0"/>
          <w:sz w:val="22"/>
        </w:rPr>
        <w:t>---</w:t>
      </w:r>
    </w:p>
    <w:p>
      <w:r>
        <w:rPr>
          <w:rFonts w:ascii="Segoe UI" w:hAnsi="Segoe UI" w:eastAsia="Segoe UI"/>
          <w:b w:val="0"/>
          <w:sz w:val="22"/>
        </w:rPr>
        <w:t>*Documento generado a partir de: UsersController, TenantsController, Settings.cshtml.cs, Audit.cshtml.cs, Integrations.cshtml.cs, FailedEvents.cshtml.cs, Billing.cshtml.cs, DemoRoleUsers.cs, AuthorizationPolicies.cs.*</w:t>
      </w:r>
    </w:p>
    <w:p>
      <w:r>
        <w:rPr>
          <w:rFonts w:ascii="Segoe UI" w:hAnsi="Segoe UI" w:eastAsia="Segoe UI"/>
          <w:b w:val="0"/>
          <w:sz w:val="22"/>
        </w:rPr>
        <w:t>---</w:t>
      </w:r>
    </w:p>
    <w:p>
      <w:pPr>
        <w:pStyle w:val="Heading1"/>
      </w:pPr>
      <w:r>
        <w:rPr>
          <w:rFonts w:ascii="Segoe UI" w:hAnsi="Segoe UI" w:eastAsia="Segoe UI"/>
          <w:b/>
          <w:sz w:val="32"/>
        </w:rPr>
        <w:t>3. Diagramas de referencia</w:t>
      </w:r>
    </w:p>
    <w:p>
      <w:pPr>
        <w:pStyle w:val="Heading2"/>
      </w:pPr>
      <w:r>
        <w:rPr>
          <w:rFonts w:ascii="Segoe UI" w:hAnsi="Segoe UI" w:eastAsia="Segoe UI"/>
          <w:b/>
          <w:sz w:val="28"/>
        </w:rPr>
        <w:t>Diagramas de referencia</w:t>
      </w:r>
    </w:p>
    <w:p>
      <w:pPr>
        <w:pStyle w:val="Heading3"/>
      </w:pPr>
      <w:r>
        <w:rPr>
          <w:rFonts w:ascii="Segoe UI" w:hAnsi="Segoe UI" w:eastAsia="Segoe UI"/>
          <w:b/>
          <w:sz w:val="24"/>
        </w:rPr>
        <w:t>Ciclo de vida del Lead</w:t>
      </w:r>
    </w:p>
    <w:p>
      <w:r>
        <w:rPr>
          <w:rFonts w:ascii="Segoe UI" w:hAnsi="Segoe UI" w:eastAsia="Segoe UI"/>
          <w:b w:val="0"/>
          <w:color w:val="646464"/>
          <w:sz w:val="20"/>
        </w:rPr>
        <w:t>[Diagrama / bloque técnico — ver versión Markdown]</w:t>
      </w:r>
    </w:p>
    <w:p>
      <w:pPr>
        <w:ind w:left="432"/>
      </w:pPr>
      <w:r>
        <w:rPr>
          <w:rFonts w:ascii="Segoe UI" w:hAnsi="Segoe UI" w:eastAsia="Segoe UI"/>
          <w:b w:val="0"/>
          <w:sz w:val="18"/>
        </w:rPr>
        <w:t>flowchart LR</w:t>
      </w:r>
    </w:p>
    <w:p>
      <w:pPr>
        <w:ind w:left="432"/>
      </w:pPr>
      <w:r>
        <w:rPr>
          <w:rFonts w:ascii="Segoe UI" w:hAnsi="Segoe UI" w:eastAsia="Segoe UI"/>
          <w:b w:val="0"/>
          <w:sz w:val="18"/>
        </w:rPr>
        <w:t xml:space="preserve">    A[Lead: Nuevo] --&gt; B[Contactado]</w:t>
      </w:r>
    </w:p>
    <w:p>
      <w:pPr>
        <w:ind w:left="432"/>
      </w:pPr>
      <w:r>
        <w:rPr>
          <w:rFonts w:ascii="Segoe UI" w:hAnsi="Segoe UI" w:eastAsia="Segoe UI"/>
          <w:b w:val="0"/>
          <w:sz w:val="18"/>
        </w:rPr>
        <w:t xml:space="preserve">    B --&gt; C[Calificado]</w:t>
      </w:r>
    </w:p>
    <w:p>
      <w:pPr>
        <w:ind w:left="432"/>
      </w:pPr>
      <w:r>
        <w:rPr>
          <w:rFonts w:ascii="Segoe UI" w:hAnsi="Segoe UI" w:eastAsia="Segoe UI"/>
          <w:b w:val="0"/>
          <w:sz w:val="18"/>
        </w:rPr>
        <w:t xml:space="preserve">    C --&gt; D[Cliente + Oportunidad borrador]</w:t>
      </w:r>
    </w:p>
    <w:p>
      <w:pPr>
        <w:ind w:left="432"/>
      </w:pPr>
      <w:r>
        <w:rPr>
          <w:rFonts w:ascii="Segoe UI" w:hAnsi="Segoe UI" w:eastAsia="Segoe UI"/>
          <w:b w:val="0"/>
          <w:sz w:val="18"/>
        </w:rPr>
        <w:t xml:space="preserve">    D --&gt; E[Pipeline]</w:t>
      </w:r>
    </w:p>
    <w:p>
      <w:pPr>
        <w:ind w:left="432"/>
      </w:pPr>
      <w:r>
        <w:rPr>
          <w:rFonts w:ascii="Segoe UI" w:hAnsi="Segoe UI" w:eastAsia="Segoe UI"/>
          <w:b w:val="0"/>
          <w:sz w:val="18"/>
        </w:rPr>
        <w:t xml:space="preserve">    E --&gt; F[Cierre ganado]</w:t>
      </w:r>
    </w:p>
    <w:p>
      <w:pPr>
        <w:ind w:left="432"/>
      </w:pPr>
      <w:r>
        <w:rPr>
          <w:rFonts w:ascii="Segoe UI" w:hAnsi="Segoe UI" w:eastAsia="Segoe UI"/>
          <w:b w:val="0"/>
          <w:sz w:val="18"/>
        </w:rPr>
        <w:t xml:space="preserve">    F --&gt; G[Retención y CS]</w:t>
      </w:r>
    </w:p>
    <w:p>
      <w:pPr>
        <w:pStyle w:val="Heading3"/>
      </w:pPr>
      <w:r>
        <w:rPr>
          <w:rFonts w:ascii="Segoe UI" w:hAnsi="Segoe UI" w:eastAsia="Segoe UI"/>
          <w:b/>
          <w:sz w:val="24"/>
        </w:rPr>
        <w:t>Flujo de aprobación Trust Studio</w:t>
      </w:r>
    </w:p>
    <w:p>
      <w:r>
        <w:rPr>
          <w:rFonts w:ascii="Segoe UI" w:hAnsi="Segoe UI" w:eastAsia="Segoe UI"/>
          <w:b w:val="0"/>
          <w:color w:val="646464"/>
          <w:sz w:val="20"/>
        </w:rPr>
        <w:t>[Diagrama / bloque técnico — ver versión Markdown]</w:t>
      </w:r>
    </w:p>
    <w:p>
      <w:pPr>
        <w:ind w:left="432"/>
      </w:pPr>
      <w:r>
        <w:rPr>
          <w:rFonts w:ascii="Segoe UI" w:hAnsi="Segoe UI" w:eastAsia="Segoe UI"/>
          <w:b w:val="0"/>
          <w:sz w:val="18"/>
        </w:rPr>
        <w:t>flowchart TD</w:t>
      </w:r>
    </w:p>
    <w:p>
      <w:pPr>
        <w:ind w:left="432"/>
      </w:pPr>
      <w:r>
        <w:rPr>
          <w:rFonts w:ascii="Segoe UI" w:hAnsi="Segoe UI" w:eastAsia="Segoe UI"/>
          <w:b w:val="0"/>
          <w:sz w:val="18"/>
        </w:rPr>
        <w:t xml:space="preserve">    A[Decisión IA generada] --&gt; B{¿Requiere HITL?}</w:t>
      </w:r>
    </w:p>
    <w:p>
      <w:pPr>
        <w:ind w:left="432"/>
      </w:pPr>
      <w:r>
        <w:rPr>
          <w:rFonts w:ascii="Segoe UI" w:hAnsi="Segoe UI" w:eastAsia="Segoe UI"/>
          <w:b w:val="0"/>
          <w:sz w:val="18"/>
        </w:rPr>
        <w:t xml:space="preserve">    B --&gt;|Sí| C[Trust Inbox]</w:t>
      </w:r>
    </w:p>
    <w:p>
      <w:pPr>
        <w:ind w:left="432"/>
      </w:pPr>
      <w:r>
        <w:rPr>
          <w:rFonts w:ascii="Segoe UI" w:hAnsi="Segoe UI" w:eastAsia="Segoe UI"/>
          <w:b w:val="0"/>
          <w:sz w:val="18"/>
        </w:rPr>
        <w:t xml:space="preserve">    C --&gt; D{Aprobación Manager/Admin}</w:t>
      </w:r>
    </w:p>
    <w:p>
      <w:pPr>
        <w:ind w:left="432"/>
      </w:pPr>
      <w:r>
        <w:rPr>
          <w:rFonts w:ascii="Segoe UI" w:hAnsi="Segoe UI" w:eastAsia="Segoe UI"/>
          <w:b w:val="0"/>
          <w:sz w:val="18"/>
        </w:rPr>
        <w:t xml:space="preserve">    D --&gt;|Aprobar| E[Ejecutar decisión]</w:t>
      </w:r>
    </w:p>
    <w:p>
      <w:pPr>
        <w:ind w:left="432"/>
      </w:pPr>
      <w:r>
        <w:rPr>
          <w:rFonts w:ascii="Segoe UI" w:hAnsi="Segoe UI" w:eastAsia="Segoe UI"/>
          <w:b w:val="0"/>
          <w:sz w:val="18"/>
        </w:rPr>
        <w:t xml:space="preserve">    D --&gt;|Rechazar| F[Archivar con nota]</w:t>
      </w:r>
    </w:p>
    <w:p>
      <w:pPr>
        <w:ind w:left="432"/>
      </w:pPr>
      <w:r>
        <w:rPr>
          <w:rFonts w:ascii="Segoe UI" w:hAnsi="Segoe UI" w:eastAsia="Segoe UI"/>
          <w:b w:val="0"/>
          <w:sz w:val="18"/>
        </w:rPr>
        <w:t xml:space="preserve">    B --&gt;|No| E</w:t>
      </w:r>
    </w:p>
    <w:p>
      <w:pPr>
        <w:pStyle w:val="Heading3"/>
      </w:pPr>
      <w:r>
        <w:rPr>
          <w:rFonts w:ascii="Segoe UI" w:hAnsi="Segoe UI" w:eastAsia="Segoe UI"/>
          <w:b/>
          <w:sz w:val="24"/>
        </w:rPr>
        <w:t>Flujo de autenticación</w:t>
      </w:r>
    </w:p>
    <w:p>
      <w:r>
        <w:rPr>
          <w:rFonts w:ascii="Segoe UI" w:hAnsi="Segoe UI" w:eastAsia="Segoe UI"/>
          <w:b w:val="0"/>
          <w:color w:val="646464"/>
          <w:sz w:val="20"/>
        </w:rPr>
        <w:t>[Diagrama / bloque técnico — ver versión Markdown]</w:t>
      </w:r>
    </w:p>
    <w:p>
      <w:pPr>
        <w:ind w:left="432"/>
      </w:pPr>
      <w:r>
        <w:rPr>
          <w:rFonts w:ascii="Segoe UI" w:hAnsi="Segoe UI" w:eastAsia="Segoe UI"/>
          <w:b w:val="0"/>
          <w:sz w:val="18"/>
        </w:rPr>
        <w:t>sequenceDiagram</w:t>
      </w:r>
    </w:p>
    <w:p>
      <w:pPr>
        <w:ind w:left="432"/>
      </w:pPr>
      <w:r>
        <w:rPr>
          <w:rFonts w:ascii="Segoe UI" w:hAnsi="Segoe UI" w:eastAsia="Segoe UI"/>
          <w:b w:val="0"/>
          <w:sz w:val="18"/>
        </w:rPr>
        <w:t xml:space="preserve">    participant U as Usuario</w:t>
      </w:r>
    </w:p>
    <w:p>
      <w:pPr>
        <w:ind w:left="432"/>
      </w:pPr>
      <w:r>
        <w:rPr>
          <w:rFonts w:ascii="Segoe UI" w:hAnsi="Segoe UI" w:eastAsia="Segoe UI"/>
          <w:b w:val="0"/>
          <w:sz w:val="18"/>
        </w:rPr>
        <w:t xml:space="preserve">    participant L as Login</w:t>
      </w:r>
    </w:p>
    <w:p>
      <w:pPr>
        <w:ind w:left="432"/>
      </w:pPr>
      <w:r>
        <w:rPr>
          <w:rFonts w:ascii="Segoe UI" w:hAnsi="Segoe UI" w:eastAsia="Segoe UI"/>
          <w:b w:val="0"/>
          <w:sz w:val="18"/>
        </w:rPr>
        <w:t xml:space="preserve">    participant A as AutonomusCRM</w:t>
      </w:r>
    </w:p>
    <w:p>
      <w:pPr>
        <w:ind w:left="432"/>
      </w:pPr>
      <w:r>
        <w:rPr>
          <w:rFonts w:ascii="Segoe UI" w:hAnsi="Segoe UI" w:eastAsia="Segoe UI"/>
          <w:b w:val="0"/>
          <w:sz w:val="18"/>
        </w:rPr>
        <w:t xml:space="preserve">    U-&gt;&gt;L: Credenciales</w:t>
      </w:r>
    </w:p>
    <w:p>
      <w:pPr>
        <w:ind w:left="432"/>
      </w:pPr>
      <w:r>
        <w:rPr>
          <w:rFonts w:ascii="Segoe UI" w:hAnsi="Segoe UI" w:eastAsia="Segoe UI"/>
          <w:b w:val="0"/>
          <w:sz w:val="18"/>
        </w:rPr>
        <w:t xml:space="preserve">    L-&gt;&gt;A: Cookie/JWT + Roles</w:t>
      </w:r>
    </w:p>
    <w:p>
      <w:pPr>
        <w:ind w:left="432"/>
      </w:pPr>
      <w:r>
        <w:rPr>
          <w:rFonts w:ascii="Segoe UI" w:hAnsi="Segoe UI" w:eastAsia="Segoe UI"/>
          <w:b w:val="0"/>
          <w:sz w:val="18"/>
        </w:rPr>
        <w:t xml:space="preserve">    A-&gt;&gt;U: Redirección home por rol</w:t>
      </w:r>
    </w:p>
    <w:p>
      <w:r>
        <w:rPr>
          <w:rFonts w:ascii="Segoe UI" w:hAnsi="Segoe UI" w:eastAsia="Segoe UI"/>
          <w:b w:val="0"/>
          <w:sz w:val="22"/>
        </w:rPr>
        <w:t>---</w:t>
      </w:r>
    </w:p>
    <w:p>
      <w:pPr>
        <w:pStyle w:val="Heading1"/>
      </w:pPr>
      <w:r>
        <w:rPr>
          <w:rFonts w:ascii="Segoe UI" w:hAnsi="Segoe UI" w:eastAsia="Segoe UI"/>
          <w:b/>
          <w:sz w:val="32"/>
        </w:rPr>
        <w:t>4. Glosario corporativo</w:t>
      </w:r>
    </w:p>
    <w:p>
      <w:pPr>
        <w:pStyle w:val="Heading1"/>
      </w:pPr>
      <w:r>
        <w:rPr>
          <w:rFonts w:ascii="Segoe UI" w:hAnsi="Segoe UI" w:eastAsia="Segoe UI"/>
          <w:b/>
          <w:sz w:val="32"/>
        </w:rPr>
        <w:t>Glosario corporativo</w:t>
      </w:r>
    </w:p>
    <w:tbl>
      <w:tblPr>
        <w:tblStyle w:val="TableGrid"/>
        <w:tblW w:type="auto" w:w="0"/>
        <w:tblLook w:firstColumn="1" w:firstRow="1" w:lastColumn="0" w:lastRow="0" w:noHBand="0" w:noVBand="1" w:val="04A0"/>
      </w:tblPr>
      <w:tblGrid>
        <w:gridCol w:w="4680"/>
        <w:gridCol w:w="4680"/>
      </w:tblGrid>
      <w:tr>
        <w:tc>
          <w:tcPr>
            <w:tcW w:type="dxa" w:w="4680"/>
          </w:tcPr>
          <w:p>
            <w:r>
              <w:t>Término</w:t>
            </w:r>
          </w:p>
        </w:tc>
        <w:tc>
          <w:tcPr>
            <w:tcW w:type="dxa" w:w="4680"/>
          </w:tcPr>
          <w:p>
            <w:r>
              <w:t>Definición</w:t>
            </w:r>
          </w:p>
        </w:tc>
      </w:tr>
      <w:tr>
        <w:tc>
          <w:tcPr>
            <w:tcW w:type="dxa" w:w="4680"/>
          </w:tcPr>
          <w:p>
            <w:r>
              <w:t>**CRM**</w:t>
            </w:r>
          </w:p>
        </w:tc>
        <w:tc>
          <w:tcPr>
            <w:tcW w:type="dxa" w:w="4680"/>
          </w:tcPr>
          <w:p>
            <w:r>
              <w:t>Customer Relationship Management — sistema para registrar y medir relaciones comerciales</w:t>
            </w:r>
          </w:p>
        </w:tc>
      </w:tr>
      <w:tr>
        <w:tc>
          <w:tcPr>
            <w:tcW w:type="dxa" w:w="4680"/>
          </w:tcPr>
          <w:p>
            <w:r>
              <w:t>**Lead**</w:t>
            </w:r>
          </w:p>
        </w:tc>
        <w:tc>
          <w:tcPr>
            <w:tcW w:type="dxa" w:w="4680"/>
          </w:tcPr>
          <w:p>
            <w:r>
              <w:t>Prospecto o contacto potencial; entidad inicial del embudo</w:t>
            </w:r>
          </w:p>
        </w:tc>
      </w:tr>
      <w:tr>
        <w:tc>
          <w:tcPr>
            <w:tcW w:type="dxa" w:w="4680"/>
          </w:tcPr>
          <w:p>
            <w:r>
              <w:t>**Customer**</w:t>
            </w:r>
          </w:p>
        </w:tc>
        <w:tc>
          <w:tcPr>
            <w:tcW w:type="dxa" w:w="4680"/>
          </w:tcPr>
          <w:p>
            <w:r>
              <w:t>Cuenta o cliente en el directorio del tenant</w:t>
            </w:r>
          </w:p>
        </w:tc>
      </w:tr>
      <w:tr>
        <w:tc>
          <w:tcPr>
            <w:tcW w:type="dxa" w:w="4680"/>
          </w:tcPr>
          <w:p>
            <w:r>
              <w:t>**Opportunity / Deal**</w:t>
            </w:r>
          </w:p>
        </w:tc>
        <w:tc>
          <w:tcPr>
            <w:tcW w:type="dxa" w:w="4680"/>
          </w:tcPr>
          <w:p>
            <w:r>
              <w:t>Oportunidad de venta con monto, etapa y probabilidad</w:t>
            </w:r>
          </w:p>
        </w:tc>
      </w:tr>
      <w:tr>
        <w:tc>
          <w:tcPr>
            <w:tcW w:type="dxa" w:w="4680"/>
          </w:tcPr>
          <w:p>
            <w:r>
              <w:t>**Pipeline**</w:t>
            </w:r>
          </w:p>
        </w:tc>
        <w:tc>
          <w:tcPr>
            <w:tcW w:type="dxa" w:w="4680"/>
          </w:tcPr>
          <w:p>
            <w:r>
              <w:t>Conjunto de oportunidades abiertas y sus etapas en `/Deals`</w:t>
            </w:r>
          </w:p>
        </w:tc>
      </w:tr>
      <w:tr>
        <w:tc>
          <w:tcPr>
            <w:tcW w:type="dxa" w:w="4680"/>
          </w:tcPr>
          <w:p>
            <w:r>
              <w:t>**Forecast**</w:t>
            </w:r>
          </w:p>
        </w:tc>
        <w:tc>
          <w:tcPr>
            <w:tcW w:type="dxa" w:w="4680"/>
          </w:tcPr>
          <w:p>
            <w:r>
              <w:t>Proyección ponderada: monto × probabilidad por ventana de cierre</w:t>
            </w:r>
          </w:p>
        </w:tc>
      </w:tr>
      <w:tr>
        <w:tc>
          <w:tcPr>
            <w:tcW w:type="dxa" w:w="4680"/>
          </w:tcPr>
          <w:p>
            <w:r>
              <w:t>**Workflow**</w:t>
            </w:r>
          </w:p>
        </w:tc>
        <w:tc>
          <w:tcPr>
            <w:tcW w:type="dxa" w:w="4680"/>
          </w:tcPr>
          <w:p>
            <w:r>
              <w:t>Automatización configurable: trigger + condiciones + acciones</w:t>
            </w:r>
          </w:p>
        </w:tc>
      </w:tr>
      <w:tr>
        <w:tc>
          <w:tcPr>
            <w:tcW w:type="dxa" w:w="4680"/>
          </w:tcPr>
          <w:p>
            <w:r>
              <w:t>**Tenant**</w:t>
            </w:r>
          </w:p>
        </w:tc>
        <w:tc>
          <w:tcPr>
            <w:tcW w:type="dxa" w:w="4680"/>
          </w:tcPr>
          <w:p>
            <w:r>
              <w:t>Organización aislada; todos los datos pertenecen a un TenantId</w:t>
            </w:r>
          </w:p>
        </w:tc>
      </w:tr>
      <w:tr>
        <w:tc>
          <w:tcPr>
            <w:tcW w:type="dxa" w:w="4680"/>
          </w:tcPr>
          <w:p>
            <w:r>
              <w:t>**Trust Studio**</w:t>
            </w:r>
          </w:p>
        </w:tc>
        <w:tc>
          <w:tcPr>
            <w:tcW w:type="dxa" w:w="4680"/>
          </w:tcPr>
          <w:p>
            <w:r>
              <w:t>Buzón HITL en `/TrustInbox` para aprobar decisiones de IA</w:t>
            </w:r>
          </w:p>
        </w:tc>
      </w:tr>
      <w:tr>
        <w:tc>
          <w:tcPr>
            <w:tcW w:type="dxa" w:w="4680"/>
          </w:tcPr>
          <w:p>
            <w:r>
              <w:t>**Revenue OS**</w:t>
            </w:r>
          </w:p>
        </w:tc>
        <w:tc>
          <w:tcPr>
            <w:tcW w:type="dxa" w:w="4680"/>
          </w:tcPr>
          <w:p>
            <w:r>
              <w:t>Módulo de ingresos en `/revenue` — priorización y fugas</w:t>
            </w:r>
          </w:p>
        </w:tc>
      </w:tr>
      <w:tr>
        <w:tc>
          <w:tcPr>
            <w:tcW w:type="dxa" w:w="4680"/>
          </w:tcPr>
          <w:p>
            <w:r>
              <w:t>**Executive OS**</w:t>
            </w:r>
          </w:p>
        </w:tc>
        <w:tc>
          <w:tcPr>
            <w:tcW w:type="dxa" w:w="4680"/>
          </w:tcPr>
          <w:p>
            <w:r>
              <w:t>Tablero ejecutivo en `/executive`</w:t>
            </w:r>
          </w:p>
        </w:tc>
      </w:tr>
      <w:tr>
        <w:tc>
          <w:tcPr>
            <w:tcW w:type="dxa" w:w="4680"/>
          </w:tcPr>
          <w:p>
            <w:r>
              <w:t>**MFA**</w:t>
            </w:r>
          </w:p>
        </w:tc>
        <w:tc>
          <w:tcPr>
            <w:tcW w:type="dxa" w:w="4680"/>
          </w:tcPr>
          <w:p>
            <w:r>
              <w:t>Autenticación multifactor configurable en Settings</w:t>
            </w:r>
          </w:p>
        </w:tc>
      </w:tr>
      <w:tr>
        <w:tc>
          <w:tcPr>
            <w:tcW w:type="dxa" w:w="4680"/>
          </w:tcPr>
          <w:p>
            <w:r>
              <w:t>**ABAC**</w:t>
            </w:r>
          </w:p>
        </w:tc>
        <w:tc>
          <w:tcPr>
            <w:tcW w:type="dxa" w:w="4680"/>
          </w:tcPr>
          <w:p>
            <w:r>
              <w:t>Attribute-Based Access Control — políticas en `/Policies` (no sustituye RBAC)</w:t>
            </w:r>
          </w:p>
        </w:tc>
      </w:tr>
      <w:tr>
        <w:tc>
          <w:tcPr>
            <w:tcW w:type="dxa" w:w="4680"/>
          </w:tcPr>
          <w:p>
            <w:r>
              <w:t>**Customer Success**</w:t>
            </w:r>
          </w:p>
        </w:tc>
        <w:tc>
          <w:tcPr>
            <w:tcW w:type="dxa" w:w="4680"/>
          </w:tcPr>
          <w:p>
            <w:r>
              <w:t>Módulo post-venta en `/customer-success` (no es un rol)</w:t>
            </w:r>
          </w:p>
        </w:tc>
      </w:tr>
      <w:tr>
        <w:tc>
          <w:tcPr>
            <w:tcW w:type="dxa" w:w="4680"/>
          </w:tcPr>
          <w:p>
            <w:r>
              <w:t>**Churn**</w:t>
            </w:r>
          </w:p>
        </w:tc>
        <w:tc>
          <w:tcPr>
            <w:tcW w:type="dxa" w:w="4680"/>
          </w:tcPr>
          <w:p>
            <w:r>
              <w:t>Abandono del cliente; predicción ML en Customer 360</w:t>
            </w:r>
          </w:p>
        </w:tc>
      </w:tr>
      <w:tr>
        <w:tc>
          <w:tcPr>
            <w:tcW w:type="dxa" w:w="4680"/>
          </w:tcPr>
          <w:p>
            <w:r>
              <w:t>**LTV**</w:t>
            </w:r>
          </w:p>
        </w:tc>
        <w:tc>
          <w:tcPr>
            <w:tcW w:type="dxa" w:w="4680"/>
          </w:tcPr>
          <w:p>
            <w:r>
              <w:t>Lifetime Value — valor acumulado del cliente</w:t>
            </w:r>
          </w:p>
        </w:tc>
      </w:tr>
      <w:tr>
        <w:tc>
          <w:tcPr>
            <w:tcW w:type="dxa" w:w="4680"/>
          </w:tcPr>
          <w:p>
            <w:r>
              <w:t>**Upsell**</w:t>
            </w:r>
          </w:p>
        </w:tc>
        <w:tc>
          <w:tcPr>
            <w:tcW w:type="dxa" w:w="4680"/>
          </w:tcPr>
          <w:p>
            <w:r>
              <w:t>Venta adicional al mismo cliente (expansión)</w:t>
            </w:r>
          </w:p>
        </w:tc>
      </w:tr>
      <w:tr>
        <w:tc>
          <w:tcPr>
            <w:tcW w:type="dxa" w:w="4680"/>
          </w:tcPr>
          <w:p>
            <w:r>
              <w:t>**Cross-Sell**</w:t>
            </w:r>
          </w:p>
        </w:tc>
        <w:tc>
          <w:tcPr>
            <w:tcW w:type="dxa" w:w="4680"/>
          </w:tcPr>
          <w:p>
            <w:r>
              <w:t>Venta de productos complementarios</w:t>
            </w:r>
          </w:p>
        </w:tc>
      </w:tr>
      <w:tr>
        <w:tc>
          <w:tcPr>
            <w:tcW w:type="dxa" w:w="4680"/>
          </w:tcPr>
          <w:p>
            <w:r>
              <w:t>**Playbook**</w:t>
            </w:r>
          </w:p>
        </w:tc>
        <w:tc>
          <w:tcPr>
            <w:tcW w:type="dxa" w:w="4680"/>
          </w:tcPr>
          <w:p>
            <w:r>
              <w:t>Secuencia automatizada: onboarding, rescue, re-engagement</w:t>
            </w:r>
          </w:p>
        </w:tc>
      </w:tr>
      <w:tr>
        <w:tc>
          <w:tcPr>
            <w:tcW w:type="dxa" w:w="4680"/>
          </w:tcPr>
          <w:p>
            <w:r>
              <w:t>**AI Agent**</w:t>
            </w:r>
          </w:p>
        </w:tc>
        <w:tc>
          <w:tcPr>
            <w:tcW w:type="dxa" w:w="4680"/>
          </w:tcPr>
          <w:p>
            <w:r>
              <w:t>Agente autónomo en `/Agents` (LeadIntelligence, Communication, etc.)</w:t>
            </w:r>
          </w:p>
        </w:tc>
      </w:tr>
      <w:tr>
        <w:tc>
          <w:tcPr>
            <w:tcW w:type="dxa" w:w="4680"/>
          </w:tcPr>
          <w:p>
            <w:r>
              <w:t>**Semantic Memory**</w:t>
            </w:r>
          </w:p>
        </w:tc>
        <w:tc>
          <w:tcPr>
            <w:tcW w:type="dxa" w:w="4680"/>
          </w:tcPr>
          <w:p>
            <w:r>
              <w:t>Memoria empresarial en `/Memory`</w:t>
            </w:r>
          </w:p>
        </w:tc>
      </w:tr>
      <w:tr>
        <w:tc>
          <w:tcPr>
            <w:tcW w:type="dxa" w:w="4680"/>
          </w:tcPr>
          <w:p>
            <w:r>
              <w:t>**Outcome Fabric**</w:t>
            </w:r>
          </w:p>
        </w:tc>
        <w:tc>
          <w:tcPr>
            <w:tcW w:type="dxa" w:w="4680"/>
          </w:tcPr>
          <w:p>
            <w:r>
              <w:t>Atribución de resultados en `/command/outcomes`</w:t>
            </w:r>
          </w:p>
        </w:tc>
      </w:tr>
      <w:tr>
        <w:tc>
          <w:tcPr>
            <w:tcW w:type="dxa" w:w="4680"/>
          </w:tcPr>
          <w:p>
            <w:r>
              <w:t>**HITL**</w:t>
            </w:r>
          </w:p>
        </w:tc>
        <w:tc>
          <w:tcPr>
            <w:tcW w:type="dxa" w:w="4680"/>
          </w:tcPr>
          <w:p>
            <w:r>
              <w:t>Human-in-the-Loop — supervisión humana de decisiones IA</w:t>
            </w:r>
          </w:p>
        </w:tc>
      </w:tr>
      <w:tr>
        <w:tc>
          <w:tcPr>
            <w:tcW w:type="dxa" w:w="4680"/>
          </w:tcPr>
          <w:p>
            <w:r>
              <w:t>**SLA**</w:t>
            </w:r>
          </w:p>
        </w:tc>
        <w:tc>
          <w:tcPr>
            <w:tcW w:type="dxa" w:w="4680"/>
          </w:tcPr>
          <w:p>
            <w:r>
              <w:t>Acuerdo de nivel de servicio (ej. contacto lead en 24 h)</w:t>
            </w:r>
          </w:p>
        </w:tc>
      </w:tr>
      <w:tr>
        <w:tc>
          <w:tcPr>
            <w:tcW w:type="dxa" w:w="4680"/>
          </w:tcPr>
          <w:p>
            <w:r>
              <w:t>**DLQ**</w:t>
            </w:r>
          </w:p>
        </w:tc>
        <w:tc>
          <w:tcPr>
            <w:tcW w:type="dxa" w:w="4680"/>
          </w:tcPr>
          <w:p>
            <w:r>
              <w:t>Dead Letter Queue — eventos fallidos en `/FailedEvents`</w:t>
            </w:r>
          </w:p>
        </w:tc>
      </w:tr>
    </w:tbl>
    <w:p>
      <w:r>
        <w:rPr>
          <w:rFonts w:ascii="Segoe UI" w:hAnsi="Segoe UI" w:eastAsia="Segoe UI"/>
          <w:b w:val="0"/>
          <w:sz w:val="22"/>
        </w:rPr>
        <w:t>---</w:t>
      </w:r>
    </w:p>
    <w:p>
      <w:pPr>
        <w:pStyle w:val="Heading1"/>
      </w:pPr>
      <w:r>
        <w:rPr>
          <w:rFonts w:ascii="Segoe UI" w:hAnsi="Segoe UI" w:eastAsia="Segoe UI"/>
          <w:b/>
          <w:sz w:val="32"/>
        </w:rPr>
        <w:t>5. Apéndices</w:t>
      </w:r>
    </w:p>
    <w:p>
      <w:pPr>
        <w:pStyle w:val="Heading2"/>
      </w:pPr>
      <w:r>
        <w:rPr>
          <w:rFonts w:ascii="Segoe UI" w:hAnsi="Segoe UI" w:eastAsia="Segoe UI"/>
          <w:b/>
          <w:sz w:val="28"/>
        </w:rPr>
        <w:t>5.1 Referencias cruzadas</w:t>
      </w:r>
    </w:p>
    <w:tbl>
      <w:tblPr>
        <w:tblStyle w:val="TableGrid"/>
        <w:tblW w:type="auto" w:w="0"/>
        <w:tblLook w:firstColumn="1" w:firstRow="1" w:lastColumn="0" w:lastRow="0" w:noHBand="0" w:noVBand="1" w:val="04A0"/>
      </w:tblPr>
      <w:tblGrid>
        <w:gridCol w:w="4680"/>
        <w:gridCol w:w="4680"/>
      </w:tblGrid>
      <w:tr>
        <w:tc>
          <w:tcPr>
            <w:tcW w:type="dxa" w:w="4680"/>
          </w:tcPr>
          <w:p>
            <w:r>
              <w:t>Documento</w:t>
            </w:r>
          </w:p>
        </w:tc>
        <w:tc>
          <w:tcPr>
            <w:tcW w:type="dxa" w:w="4680"/>
          </w:tcPr>
          <w:p>
            <w:r>
              <w:t>Ubicación</w:t>
            </w:r>
          </w:p>
        </w:tc>
      </w:tr>
      <w:tr>
        <w:tc>
          <w:tcPr>
            <w:tcW w:type="dxa" w:w="4680"/>
          </w:tcPr>
          <w:p>
            <w:r>
              <w:t>Matriz de permisos</w:t>
            </w:r>
          </w:p>
        </w:tc>
        <w:tc>
          <w:tcPr>
            <w:tcW w:type="dxa" w:w="4680"/>
          </w:tcPr>
          <w:p>
            <w:r>
              <w:t>`Documentation/ROLE_PERMISSION_MATRIX.md`</w:t>
            </w:r>
          </w:p>
        </w:tc>
      </w:tr>
      <w:tr>
        <w:tc>
          <w:tcPr>
            <w:tcW w:type="dxa" w:w="4680"/>
          </w:tcPr>
          <w:p>
            <w:r>
              <w:t>Descubrimiento de roles</w:t>
            </w:r>
          </w:p>
        </w:tc>
        <w:tc>
          <w:tcPr>
            <w:tcW w:type="dxa" w:w="4680"/>
          </w:tcPr>
          <w:p>
            <w:r>
              <w:t>`Documentation/ROLE_DISCOVERY_REPORT.md`</w:t>
            </w:r>
          </w:p>
        </w:tc>
      </w:tr>
      <w:tr>
        <w:tc>
          <w:tcPr>
            <w:tcW w:type="dxa" w:w="4680"/>
          </w:tcPr>
          <w:p>
            <w:r>
              <w:t>Manual maestro</w:t>
            </w:r>
          </w:p>
        </w:tc>
        <w:tc>
          <w:tcPr>
            <w:tcW w:type="dxa" w:w="4680"/>
          </w:tcPr>
          <w:p>
            <w:r>
              <w:t>`docs/manual-empresarial-autonomuscrm/`</w:t>
            </w:r>
          </w:p>
        </w:tc>
      </w:tr>
    </w:tbl>
    <w:p>
      <w:pPr>
        <w:pStyle w:val="Heading2"/>
      </w:pPr>
      <w:r>
        <w:rPr>
          <w:rFonts w:ascii="Segoe UI" w:hAnsi="Segoe UI" w:eastAsia="Segoe UI"/>
          <w:b/>
          <w:sz w:val="28"/>
        </w:rPr>
        <w:t>5.2 Pie de documento</w:t>
      </w:r>
    </w:p>
    <w:tbl>
      <w:tblPr>
        <w:tblStyle w:val="TableGrid"/>
        <w:tblW w:type="auto" w:w="0"/>
        <w:tblLook w:firstColumn="1" w:firstRow="1" w:lastColumn="0" w:lastRow="0" w:noHBand="0" w:noVBand="1" w:val="04A0"/>
      </w:tblPr>
      <w:tblGrid>
        <w:gridCol w:w="4680"/>
        <w:gridCol w:w="4680"/>
      </w:tblGrid>
      <w:tr>
        <w:tc>
          <w:tcPr>
            <w:tcW w:type="dxa" w:w="4680"/>
          </w:tcPr>
          <w:p>
            <w:r>
              <w:t>Campo</w:t>
            </w:r>
          </w:p>
        </w:tc>
        <w:tc>
          <w:tcPr>
            <w:tcW w:type="dxa" w:w="4680"/>
          </w:tcPr>
          <w:p>
            <w:r>
              <w:t>Valor</w:t>
            </w:r>
          </w:p>
        </w:tc>
      </w:tr>
      <w:tr>
        <w:tc>
          <w:tcPr>
            <w:tcW w:type="dxa" w:w="4680"/>
          </w:tcPr>
          <w:p>
            <w:r>
              <w:t>Producto</w:t>
            </w:r>
          </w:p>
        </w:tc>
        <w:tc>
          <w:tcPr>
            <w:tcW w:type="dxa" w:w="4680"/>
          </w:tcPr>
          <w:p>
            <w:r>
              <w:t>AutonomusCRM</w:t>
            </w:r>
          </w:p>
        </w:tc>
      </w:tr>
      <w:tr>
        <w:tc>
          <w:tcPr>
            <w:tcW w:type="dxa" w:w="4680"/>
          </w:tcPr>
          <w:p>
            <w:r>
              <w:t>Versión documento</w:t>
            </w:r>
          </w:p>
        </w:tc>
        <w:tc>
          <w:tcPr>
            <w:tcW w:type="dxa" w:w="4680"/>
          </w:tcPr>
          <w:p>
            <w:r>
              <w:t>2.0.0</w:t>
            </w:r>
          </w:p>
        </w:tc>
      </w:tr>
      <w:tr>
        <w:tc>
          <w:tcPr>
            <w:tcW w:type="dxa" w:w="4680"/>
          </w:tcPr>
          <w:p>
            <w:r>
              <w:t>Clasificación</w:t>
            </w:r>
          </w:p>
        </w:tc>
        <w:tc>
          <w:tcPr>
            <w:tcW w:type="dxa" w:w="4680"/>
          </w:tcPr>
          <w:p>
            <w:r>
              <w:t>Confidencial — Uso interno y clientes autorizados</w:t>
            </w:r>
          </w:p>
        </w:tc>
      </w:tr>
      <w:tr>
        <w:tc>
          <w:tcPr>
            <w:tcW w:type="dxa" w:w="4680"/>
          </w:tcPr>
          <w:p>
            <w:r>
              <w:t>Fuente</w:t>
            </w:r>
          </w:p>
        </w:tc>
        <w:tc>
          <w:tcPr>
            <w:tcW w:type="dxa" w:w="4680"/>
          </w:tcPr>
          <w:p>
            <w:r>
              <w:t>Código verificado — sin funcionalidades inventadas</w:t>
            </w:r>
          </w:p>
        </w:tc>
      </w:tr>
    </w:tbl>
    <w:p>
      <w:r>
        <w:rPr>
          <w:rFonts w:ascii="Segoe UI" w:hAnsi="Segoe UI" w:eastAsia="Segoe UI"/>
          <w:b w:val="0"/>
          <w:sz w:val="22"/>
        </w:rPr>
        <w:t>---</w:t>
      </w:r>
    </w:p>
    <w:p>
      <w:r>
        <w:rPr>
          <w:rFonts w:ascii="Segoe UI" w:hAnsi="Segoe UI" w:eastAsia="Segoe UI"/>
          <w:b w:val="0"/>
          <w:sz w:val="22"/>
        </w:rPr>
        <w:t>*© AutonomusCRM — Documentación Enterprise. Listo para impresión PDF y capacitación corporativa.*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b w:val="0"/>
        <w:sz w:val="16"/>
      </w:rPr>
      <w:t xml:space="preserve">ADMIN OPERATIONS GUIDE  |  v2.0.0  |  Confidencial — Uso interno y clientes autorizados  |  Página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egoe UI" w:hAnsi="Segoe UI" w:eastAsia="Segoe UI"/>
        <w:b/>
        <w:color w:val="0078D4"/>
        <w:sz w:val="18"/>
      </w:rPr>
      <w:t>AutonomusCRM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