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document-class: corporate-enterprise</w:t>
      </w:r>
    </w:p>
    <w:p>
      <w:r>
        <w:rPr>
          <w:rFonts w:ascii="Segoe UI" w:hAnsi="Segoe UI" w:eastAsia="Segoe UI"/>
          <w:b w:val="0"/>
          <w:sz w:val="22"/>
        </w:rPr>
        <w:t>font-family: Segoe UI</w:t>
      </w:r>
    </w:p>
    <w:p>
      <w:r>
        <w:rPr>
          <w:rFonts w:ascii="Segoe UI" w:hAnsi="Segoe UI" w:eastAsia="Segoe UI"/>
          <w:b w:val="0"/>
          <w:sz w:val="22"/>
        </w:rPr>
        <w:t>body-size: 11pt</w:t>
      </w:r>
    </w:p>
    <w:p>
      <w:r>
        <w:rPr>
          <w:rFonts w:ascii="Segoe UI" w:hAnsi="Segoe UI" w:eastAsia="Segoe UI"/>
          <w:b w:val="0"/>
          <w:sz w:val="22"/>
        </w:rPr>
        <w:t>heading-1: 20pt</w:t>
      </w:r>
    </w:p>
    <w:p>
      <w:r>
        <w:rPr>
          <w:rFonts w:ascii="Segoe UI" w:hAnsi="Segoe UI" w:eastAsia="Segoe UI"/>
          <w:b w:val="0"/>
          <w:sz w:val="22"/>
        </w:rPr>
        <w:t>heading-2: 16pt</w:t>
      </w:r>
    </w:p>
    <w:p>
      <w:r>
        <w:rPr>
          <w:rFonts w:ascii="Segoe UI" w:hAnsi="Segoe UI" w:eastAsia="Segoe UI"/>
          <w:b w:val="0"/>
          <w:sz w:val="22"/>
        </w:rPr>
        <w:t>heading-3: 14pt</w:t>
      </w:r>
    </w:p>
    <w:p>
      <w:r>
        <w:rPr>
          <w:rFonts w:ascii="Segoe UI" w:hAnsi="Segoe UI" w:eastAsia="Segoe UI"/>
          <w:b w:val="0"/>
          <w:sz w:val="22"/>
        </w:rPr>
        <w:t>classification: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&lt;div align="center"&gt;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AutonomusCRM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Playbook — Customer Success</w:t>
      </w:r>
    </w:p>
    <w:p>
      <w:r>
        <w:rPr>
          <w:rFonts w:ascii="Segoe UI" w:hAnsi="Segoe UI" w:eastAsia="Segoe UI"/>
          <w:b w:val="0"/>
          <w:sz w:val="22"/>
        </w:rPr>
        <w:t>Versión: 2.0.0</w:t>
      </w:r>
    </w:p>
    <w:p>
      <w:r>
        <w:rPr>
          <w:rFonts w:ascii="Segoe UI" w:hAnsi="Segoe UI" w:eastAsia="Segoe UI"/>
          <w:b w:val="0"/>
          <w:sz w:val="22"/>
        </w:rPr>
        <w:t>Fecha de publicación: 5 de junio de 2026</w:t>
      </w:r>
    </w:p>
    <w:p>
      <w:r>
        <w:rPr>
          <w:rFonts w:ascii="Segoe UI" w:hAnsi="Segoe UI" w:eastAsia="Segoe UI"/>
          <w:b w:val="0"/>
          <w:sz w:val="22"/>
        </w:rPr>
        <w:t>Autor: AutonomusCRM Enterprise Documentation Team</w:t>
      </w:r>
    </w:p>
    <w:p>
      <w:r>
        <w:rPr>
          <w:rFonts w:ascii="Segoe UI" w:hAnsi="Segoe UI" w:eastAsia="Segoe UI"/>
          <w:b w:val="0"/>
          <w:sz w:val="22"/>
        </w:rPr>
        <w:t>Rol objetivo: Support</w:t>
      </w:r>
    </w:p>
    <w:p>
      <w:r>
        <w:rPr>
          <w:rFonts w:ascii="Segoe UI" w:hAnsi="Segoe UI" w:eastAsia="Segoe UI"/>
          <w:b w:val="0"/>
          <w:sz w:val="22"/>
        </w:rPr>
        <w:t>Clasificación: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*Documentación corporativa — Estándar Salesforce / Microsoft Dynamics 365*</w:t>
      </w:r>
    </w:p>
    <w:p>
      <w:r>
        <w:rPr>
          <w:rFonts w:ascii="Segoe UI" w:hAnsi="Segoe UI" w:eastAsia="Segoe UI"/>
          <w:b w:val="0"/>
          <w:sz w:val="22"/>
        </w:rPr>
        <w:t>&lt;/div&gt;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Versión</w:t>
            </w:r>
          </w:p>
        </w:tc>
        <w:tc>
          <w:tcPr>
            <w:tcW w:type="dxa" w:w="2340"/>
          </w:tcPr>
          <w:p>
            <w:r>
              <w:t>Fecha</w:t>
            </w:r>
          </w:p>
        </w:tc>
        <w:tc>
          <w:tcPr>
            <w:tcW w:type="dxa" w:w="2340"/>
          </w:tcPr>
          <w:p>
            <w:r>
              <w:t>Autor</w:t>
            </w:r>
          </w:p>
        </w:tc>
        <w:tc>
          <w:tcPr>
            <w:tcW w:type="dxa" w:w="2340"/>
          </w:tcPr>
          <w:p>
            <w:r>
              <w:t>Descripción</w:t>
            </w:r>
          </w:p>
        </w:tc>
      </w:tr>
      <w:tr>
        <w:tc>
          <w:tcPr>
            <w:tcW w:type="dxa" w:w="2340"/>
          </w:tcPr>
          <w:p>
            <w:r>
              <w:t>1.0.0</w:t>
            </w:r>
          </w:p>
        </w:tc>
        <w:tc>
          <w:tcPr>
            <w:tcW w:type="dxa" w:w="2340"/>
          </w:tcPr>
          <w:p>
            <w:r>
              <w:t>2026-06-05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Publicación inicial basada en código</w:t>
            </w:r>
          </w:p>
        </w:tc>
      </w:tr>
      <w:tr>
        <w:tc>
          <w:tcPr>
            <w:tcW w:type="dxa" w:w="2340"/>
          </w:tcPr>
          <w:p>
            <w:r>
              <w:t>2.0.0</w:t>
            </w:r>
          </w:p>
        </w:tc>
        <w:tc>
          <w:tcPr>
            <w:tcW w:type="dxa" w:w="2340"/>
          </w:tcPr>
          <w:p>
            <w:r>
              <w:t>5 de junio de 2026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Transformación corporativa: estructura, diagramas, callouts, glosario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Tabla de contenido</w:t>
      </w:r>
    </w:p>
    <w:p>
      <w:r>
        <w:rPr>
          <w:rFonts w:ascii="Segoe UI" w:hAnsi="Segoe UI" w:eastAsia="Segoe UI"/>
          <w:b w:val="0"/>
          <w:sz w:val="22"/>
        </w:rPr>
        <w:t>*Índice generado automáticamente — ver encabezados numerados del documento.*</w:t>
      </w:r>
    </w:p>
    <w:p>
      <w:r>
        <w:rPr>
          <w:rFonts w:ascii="Segoe UI" w:hAnsi="Segoe UI" w:eastAsia="Segoe UI"/>
          <w:b w:val="0"/>
          <w:sz w:val="22"/>
        </w:rPr>
        <w:t>1. Introducción</w:t>
      </w:r>
    </w:p>
    <w:p>
      <w:r>
        <w:rPr>
          <w:rFonts w:ascii="Segoe UI" w:hAnsi="Segoe UI" w:eastAsia="Segoe UI"/>
          <w:b w:val="0"/>
          <w:sz w:val="22"/>
        </w:rPr>
        <w:t>2. Cuerpo del documento (capítulos originales transformados)</w:t>
      </w:r>
    </w:p>
    <w:p>
      <w:r>
        <w:rPr>
          <w:rFonts w:ascii="Segoe UI" w:hAnsi="Segoe UI" w:eastAsia="Segoe UI"/>
          <w:b w:val="0"/>
          <w:sz w:val="22"/>
        </w:rPr>
        <w:t>3. Diagramas de referencia</w:t>
      </w:r>
    </w:p>
    <w:p>
      <w:r>
        <w:rPr>
          <w:rFonts w:ascii="Segoe UI" w:hAnsi="Segoe UI" w:eastAsia="Segoe UI"/>
          <w:b w:val="0"/>
          <w:sz w:val="22"/>
        </w:rPr>
        <w:t>4. Glosario corporativo</w:t>
      </w:r>
    </w:p>
    <w:p>
      <w:r>
        <w:rPr>
          <w:rFonts w:ascii="Segoe UI" w:hAnsi="Segoe UI" w:eastAsia="Segoe UI"/>
          <w:b w:val="0"/>
          <w:sz w:val="22"/>
        </w:rPr>
        <w:t>5. Apéndices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1. Introducción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1.1 Objetivo del documento</w:t>
      </w:r>
    </w:p>
    <w:p>
      <w:r>
        <w:rPr>
          <w:rFonts w:ascii="Segoe UI" w:hAnsi="Segoe UI" w:eastAsia="Segoe UI"/>
          <w:b w:val="0"/>
          <w:sz w:val="22"/>
        </w:rPr>
        <w:t>Onboarding, rescue, re-engagement y retención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1.2 Audiencia</w:t>
      </w:r>
    </w:p>
    <w:p>
      <w:r>
        <w:rPr>
          <w:rFonts w:ascii="Segoe UI" w:hAnsi="Segoe UI" w:eastAsia="Segoe UI"/>
          <w:b w:val="0"/>
          <w:sz w:val="22"/>
        </w:rPr>
        <w:t>Customer Success y soporte post-venta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1.3 Alcance</w:t>
      </w:r>
    </w:p>
    <w:p>
      <w:r>
        <w:rPr>
          <w:rFonts w:ascii="Segoe UI" w:hAnsi="Segoe UI" w:eastAsia="Segoe UI"/>
          <w:b w:val="0"/>
          <w:sz w:val="22"/>
        </w:rPr>
        <w:t>Este documento cubre únicamente funcionalidades verificadas en el código fuente de AutonomusCRM. No describe módulos inexistentes ni roles no implementados.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1.4 Prerrequisitos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Requisito</w:t>
            </w:r>
          </w:p>
        </w:tc>
        <w:tc>
          <w:tcPr>
            <w:tcW w:type="dxa" w:w="4680"/>
          </w:tcPr>
          <w:p>
            <w:r>
              <w:t>Detalle</w:t>
            </w:r>
          </w:p>
        </w:tc>
      </w:tr>
      <w:tr>
        <w:tc>
          <w:tcPr>
            <w:tcW w:type="dxa" w:w="4680"/>
          </w:tcPr>
          <w:p>
            <w:r>
              <w:t>Acceso</w:t>
            </w:r>
          </w:p>
        </w:tc>
        <w:tc>
          <w:tcPr>
            <w:tcW w:type="dxa" w:w="4680"/>
          </w:tcPr>
          <w:p>
            <w:r>
              <w:t>Cuenta activa en el tenant AutonomusCRM</w:t>
            </w:r>
          </w:p>
        </w:tc>
      </w:tr>
      <w:tr>
        <w:tc>
          <w:tcPr>
            <w:tcW w:type="dxa" w:w="4680"/>
          </w:tcPr>
          <w:p>
            <w:r>
              <w:t>Navegador</w:t>
            </w:r>
          </w:p>
        </w:tc>
        <w:tc>
          <w:tcPr>
            <w:tcW w:type="dxa" w:w="4680"/>
          </w:tcPr>
          <w:p>
            <w:r>
              <w:t>Chrome, Edge o Firefox actualizado</w:t>
            </w:r>
          </w:p>
        </w:tc>
      </w:tr>
      <w:tr>
        <w:tc>
          <w:tcPr>
            <w:tcW w:type="dxa" w:w="4680"/>
          </w:tcPr>
          <w:p>
            <w:r>
              <w:t>Rol</w:t>
            </w:r>
          </w:p>
        </w:tc>
        <w:tc>
          <w:tcPr>
            <w:tcW w:type="dxa" w:w="4680"/>
          </w:tcPr>
          <w:p>
            <w:r>
              <w:t>Según matriz en `ROLE_PERMISSION_MATRIX.md`</w:t>
            </w:r>
          </w:p>
        </w:tc>
      </w:tr>
      <w:tr>
        <w:tc>
          <w:tcPr>
            <w:tcW w:type="dxa" w:w="4680"/>
          </w:tcPr>
          <w:p>
            <w:r>
              <w:t>Conocimientos</w:t>
            </w:r>
          </w:p>
        </w:tc>
        <w:tc>
          <w:tcPr>
            <w:tcW w:type="dxa" w:w="4680"/>
          </w:tcPr>
          <w:p>
            <w:r>
              <w:t>Ninguno técnico requerido para roles operativos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1.5 Definiciones clave</w:t>
      </w:r>
    </w:p>
    <w:p>
      <w:r>
        <w:rPr>
          <w:rFonts w:ascii="Segoe UI" w:hAnsi="Segoe UI" w:eastAsia="Segoe UI"/>
          <w:b w:val="0"/>
          <w:sz w:val="22"/>
        </w:rPr>
        <w:t>Consulte el Glosario corporativo al final del documento. Términos críticos: Lead, Customer, Deal, Pipeline, Tenant, Revenue OS.</w:t>
      </w:r>
    </w:p>
    <w:p>
      <w:pPr>
        <w:ind w:left="360"/>
      </w:pPr>
      <w:r>
        <w:rPr>
          <w:rFonts w:ascii="Segoe UI" w:hAnsi="Segoe UI" w:eastAsia="Segoe UI"/>
          <w:b w:val="0"/>
          <w:sz w:val="22"/>
        </w:rPr>
        <w:t>**NOTA:** La interfaz admite español (ES) e inglés (EN). Las rutas técnicas (`/Leads`, `/Deals`) se conservan por trazabilidad al producto.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Pantalla de inicio de sesión — /Account/Login]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2. Cuerpo del documento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Playbook de Customer Success — AutonomusCRM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Customer Success OS — /customer-success]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r>
        <w:rPr>
          <w:rFonts w:ascii="Segoe UI" w:hAnsi="Segoe UI" w:eastAsia="Segoe UI"/>
          <w:b w:val="0"/>
          <w:sz w:val="22"/>
        </w:rPr>
        <w:t>Audiencia: Equipo de soporte con rol Support que opera el módulo Customer Success</w:t>
      </w:r>
    </w:p>
    <w:p>
      <w:r>
        <w:rPr>
          <w:rFonts w:ascii="Segoe UI" w:hAnsi="Segoe UI" w:eastAsia="Segoe UI"/>
          <w:b w:val="0"/>
          <w:sz w:val="22"/>
        </w:rPr>
        <w:t>Ruta principal: /customer-success</w:t>
      </w:r>
    </w:p>
    <w:p>
      <w:pPr>
        <w:ind w:left="360"/>
      </w:pPr>
      <w:r>
        <w:rPr>
          <w:rFonts w:ascii="Segoe UI" w:hAnsi="Segoe UI" w:eastAsia="Segoe UI"/>
          <w:b/>
          <w:color w:val="B40000"/>
          <w:sz w:val="22"/>
        </w:rPr>
        <w:t xml:space="preserve">IMPORTANTE: </w:t>
      </w:r>
      <w:r>
        <w:rPr>
          <w:rFonts w:ascii="Segoe UI" w:hAnsi="Segoe UI" w:eastAsia="Segoe UI"/>
          <w:b w:val="0"/>
          <w:sz w:val="22"/>
        </w:rPr>
        <w:t>Customer Success es un **módulo funcional**, no un rol de sistema. Los roles disponibles son: `Admin`, `Manager`, `Sales`, `Support`, `Viewer`.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1. Arquitectura del módulo</w:t>
      </w:r>
    </w:p>
    <w:p>
      <w:r>
        <w:rPr>
          <w:rFonts w:ascii="Segoe UI" w:hAnsi="Segoe UI" w:eastAsia="Segoe UI"/>
          <w:b w:val="0"/>
          <w:sz w:val="22"/>
        </w:rPr>
        <w:t>Customer Success OS (ICustomerSuccessOsService) orquesta: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Motor</w:t>
            </w:r>
          </w:p>
        </w:tc>
        <w:tc>
          <w:tcPr>
            <w:tcW w:type="dxa" w:w="4680"/>
          </w:tcPr>
          <w:p>
            <w:r>
              <w:t>Responsabilidad</w:t>
            </w:r>
          </w:p>
        </w:tc>
      </w:tr>
      <w:tr>
        <w:tc>
          <w:tcPr>
            <w:tcW w:type="dxa" w:w="4680"/>
          </w:tcPr>
          <w:p>
            <w:r>
              <w:t>`ICustomerHealthEngine`</w:t>
            </w:r>
          </w:p>
        </w:tc>
        <w:tc>
          <w:tcPr>
            <w:tcW w:type="dxa" w:w="4680"/>
          </w:tcPr>
          <w:p>
            <w:r>
              <w:t>Health score: Healthy, Warning, Critical</w:t>
            </w:r>
          </w:p>
        </w:tc>
      </w:tr>
      <w:tr>
        <w:tc>
          <w:tcPr>
            <w:tcW w:type="dxa" w:w="4680"/>
          </w:tcPr>
          <w:p>
            <w:r>
              <w:t>`IChurnRiskEngine`</w:t>
            </w:r>
          </w:p>
        </w:tc>
        <w:tc>
          <w:tcPr>
            <w:tcW w:type="dxa" w:w="4680"/>
          </w:tcPr>
          <w:p>
            <w:r>
              <w:t>Detección de señales de abandono</w:t>
            </w:r>
          </w:p>
        </w:tc>
      </w:tr>
      <w:tr>
        <w:tc>
          <w:tcPr>
            <w:tcW w:type="dxa" w:w="4680"/>
          </w:tcPr>
          <w:p>
            <w:r>
              <w:t>`IRenewalEngine`</w:t>
            </w:r>
          </w:p>
        </w:tc>
        <w:tc>
          <w:tcPr>
            <w:tcW w:type="dxa" w:w="4680"/>
          </w:tcPr>
          <w:p>
            <w:r>
              <w:t>Ventanas de renovación 90/60/30 días</w:t>
            </w:r>
          </w:p>
        </w:tc>
      </w:tr>
      <w:tr>
        <w:tc>
          <w:tcPr>
            <w:tcW w:type="dxa" w:w="4680"/>
          </w:tcPr>
          <w:p>
            <w:r>
              <w:t>`IExpansionRevenueEngine`</w:t>
            </w:r>
          </w:p>
        </w:tc>
        <w:tc>
          <w:tcPr>
            <w:tcW w:type="dxa" w:w="4680"/>
          </w:tcPr>
          <w:p>
            <w:r>
              <w:t>Oportunidades de upsell/cross-sell</w:t>
            </w:r>
          </w:p>
        </w:tc>
      </w:tr>
      <w:tr>
        <w:tc>
          <w:tcPr>
            <w:tcW w:type="dxa" w:w="4680"/>
          </w:tcPr>
          <w:p>
            <w:r>
              <w:t>`ICustomerPlaybookService`</w:t>
            </w:r>
          </w:p>
        </w:tc>
        <w:tc>
          <w:tcPr>
            <w:tcW w:type="dxa" w:w="4680"/>
          </w:tcPr>
          <w:p>
            <w:r>
              <w:t>Ejecución de playbooks con tareas</w:t>
            </w:r>
          </w:p>
        </w:tc>
      </w:tr>
      <w:tr>
        <w:tc>
          <w:tcPr>
            <w:tcW w:type="dxa" w:w="4680"/>
          </w:tcPr>
          <w:p>
            <w:r>
              <w:t>`IRetentionAutomationEngine`</w:t>
            </w:r>
          </w:p>
        </w:tc>
        <w:tc>
          <w:tcPr>
            <w:tcW w:type="dxa" w:w="4680"/>
          </w:tcPr>
          <w:p>
            <w:r>
              <w:t>Automatización post-cierre de deals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Los tickets y casos se persisten como WorkflowTask con tipos CS_Ticket y CS_Case_*.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2. Playbook: Onboarding</w:t>
      </w:r>
    </w:p>
    <w:p>
      <w:r>
        <w:rPr>
          <w:rFonts w:ascii="Segoe UI" w:hAnsi="Segoe UI" w:eastAsia="Segoe UI"/>
          <w:b w:val="0"/>
          <w:sz w:val="22"/>
        </w:rPr>
        <w:t>Código: CustomerSuccessConstants.PlaybookOnboarding</w:t>
      </w:r>
    </w:p>
    <w:p>
      <w:r>
        <w:rPr>
          <w:rFonts w:ascii="Segoe UI" w:hAnsi="Segoe UI" w:eastAsia="Segoe UI"/>
          <w:b w:val="0"/>
          <w:sz w:val="22"/>
        </w:rPr>
        <w:t>Cuándo ejecutar: Inmediatamente después de un deal ClosedWon (handoff desde Sales).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2.1 Disparador</w:t>
      </w:r>
    </w:p>
    <w:p>
      <w:r>
        <w:rPr>
          <w:rFonts w:ascii="Segoe UI" w:hAnsi="Segoe UI" w:eastAsia="Segoe UI"/>
          <w:b w:val="0"/>
          <w:sz w:val="22"/>
        </w:rPr>
        <w:t>1. Sales cierra deal → DealClosedEvent.</w:t>
      </w:r>
    </w:p>
    <w:p>
      <w:r>
        <w:rPr>
          <w:rFonts w:ascii="Segoe UI" w:hAnsi="Segoe UI" w:eastAsia="Segoe UI"/>
          <w:b w:val="0"/>
          <w:sz w:val="22"/>
        </w:rPr>
        <w:t>2. RetentionAutomationEngine detecta ClosedWon.</w:t>
      </w:r>
    </w:p>
    <w:p>
      <w:r>
        <w:rPr>
          <w:rFonts w:ascii="Segoe UI" w:hAnsi="Segoe UI" w:eastAsia="Segoe UI"/>
          <w:b w:val="0"/>
          <w:sz w:val="22"/>
        </w:rPr>
        <w:t>3. Support confirma datos del cliente en /Customers/Details/{id}.</w:t>
      </w:r>
    </w:p>
    <w:p>
      <w:r>
        <w:rPr>
          <w:rFonts w:ascii="Segoe UI" w:hAnsi="Segoe UI" w:eastAsia="Segoe UI"/>
          <w:b w:val="0"/>
          <w:sz w:val="22"/>
        </w:rPr>
        <w:t>4. Support ejecuta playbook desde /customer-success.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2.2 Ejecución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POST (UI) → RunPlaybookAsync(tenantId, customerId, "Onboarding")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2.3 Tareas generadas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TaskType</w:t>
            </w:r>
          </w:p>
        </w:tc>
        <w:tc>
          <w:tcPr>
            <w:tcW w:type="dxa" w:w="2340"/>
          </w:tcPr>
          <w:p>
            <w:r>
              <w:t>Título</w:t>
            </w:r>
          </w:p>
        </w:tc>
        <w:tc>
          <w:tcPr>
            <w:tcW w:type="dxa" w:w="2340"/>
          </w:tcPr>
          <w:p>
            <w:r>
              <w:t>Plazo</w:t>
            </w:r>
          </w:p>
        </w:tc>
        <w:tc>
          <w:tcPr>
            <w:tcW w:type="dxa" w:w="2340"/>
          </w:tcPr>
          <w:p>
            <w:r>
              <w:t>Prioridad</w:t>
            </w:r>
          </w:p>
        </w:tc>
      </w:tr>
      <w:tr>
        <w:tc>
          <w:tcPr>
            <w:tcW w:type="dxa" w:w="2340"/>
          </w:tcPr>
          <w:p>
            <w:r>
              <w:t>`PB_Onboard_Kickoff`</w:t>
            </w:r>
          </w:p>
        </w:tc>
        <w:tc>
          <w:tcPr>
            <w:tcW w:type="dxa" w:w="2340"/>
          </w:tcPr>
          <w:p>
            <w:r>
              <w:t>Kick-off onboarding</w:t>
            </w:r>
          </w:p>
        </w:tc>
        <w:tc>
          <w:tcPr>
            <w:tcW w:type="dxa" w:w="2340"/>
          </w:tcPr>
          <w:p>
            <w:r>
              <w:t>1 día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</w:tr>
      <w:tr>
        <w:tc>
          <w:tcPr>
            <w:tcW w:type="dxa" w:w="2340"/>
          </w:tcPr>
          <w:p>
            <w:r>
              <w:t>`PB_Onboard_Config`</w:t>
            </w:r>
          </w:p>
        </w:tc>
        <w:tc>
          <w:tcPr>
            <w:tcW w:type="dxa" w:w="2340"/>
          </w:tcPr>
          <w:p>
            <w:r>
              <w:t>Configuración cuenta</w:t>
            </w:r>
          </w:p>
        </w:tc>
        <w:tc>
          <w:tcPr>
            <w:tcW w:type="dxa" w:w="2340"/>
          </w:tcPr>
          <w:p>
            <w:r>
              <w:t>3 días</w:t>
            </w:r>
          </w:p>
        </w:tc>
        <w:tc>
          <w:tcPr>
            <w:tcW w:type="dxa" w:w="2340"/>
          </w:tcPr>
          <w:p>
            <w:r>
              <w:t>Normal</w:t>
            </w:r>
          </w:p>
        </w:tc>
      </w:tr>
      <w:tr>
        <w:tc>
          <w:tcPr>
            <w:tcW w:type="dxa" w:w="2340"/>
          </w:tcPr>
          <w:p>
            <w:r>
              <w:t>`PB_Onboard_Training`</w:t>
            </w:r>
          </w:p>
        </w:tc>
        <w:tc>
          <w:tcPr>
            <w:tcW w:type="dxa" w:w="2340"/>
          </w:tcPr>
          <w:p>
            <w:r>
              <w:t>Capacitación</w:t>
            </w:r>
          </w:p>
        </w:tc>
        <w:tc>
          <w:tcPr>
            <w:tcW w:type="dxa" w:w="2340"/>
          </w:tcPr>
          <w:p>
            <w:r>
              <w:t>7 días</w:t>
            </w:r>
          </w:p>
        </w:tc>
        <w:tc>
          <w:tcPr>
            <w:tcW w:type="dxa" w:w="2340"/>
          </w:tcPr>
          <w:p>
            <w:r>
              <w:t>Normal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2.4 Criterios de éxito</w:t>
      </w:r>
    </w:p>
    <w:p>
      <w:r>
        <w:rPr>
          <w:rFonts w:ascii="Segoe UI" w:hAnsi="Segoe UI" w:eastAsia="Segoe UI"/>
          <w:b w:val="0"/>
          <w:sz w:val="22"/>
        </w:rPr>
        <w:t>- [ ] Kick-off realizado con stakeholders del cliente.</w:t>
      </w:r>
    </w:p>
    <w:p>
      <w:r>
        <w:rPr>
          <w:rFonts w:ascii="Segoe UI" w:hAnsi="Segoe UI" w:eastAsia="Segoe UI"/>
          <w:b w:val="0"/>
          <w:sz w:val="22"/>
        </w:rPr>
        <w:t>- [ ] Integraciones validadas (si aplica) en /Integrations.</w:t>
      </w:r>
    </w:p>
    <w:p>
      <w:r>
        <w:rPr>
          <w:rFonts w:ascii="Segoe UI" w:hAnsi="Segoe UI" w:eastAsia="Segoe UI"/>
          <w:b w:val="0"/>
          <w:sz w:val="22"/>
        </w:rPr>
        <w:t>- [ ] Usuarios del cliente activos y con roles asignados.</w:t>
      </w:r>
    </w:p>
    <w:p>
      <w:r>
        <w:rPr>
          <w:rFonts w:ascii="Segoe UI" w:hAnsi="Segoe UI" w:eastAsia="Segoe UI"/>
          <w:b w:val="0"/>
          <w:sz w:val="22"/>
        </w:rPr>
        <w:t>- [ ] Health score ≥ Healthy al día 14.</w:t>
      </w:r>
    </w:p>
    <w:p>
      <w:r>
        <w:rPr>
          <w:rFonts w:ascii="Segoe UI" w:hAnsi="Segoe UI" w:eastAsia="Segoe UI"/>
          <w:b w:val="0"/>
          <w:sz w:val="22"/>
        </w:rPr>
        <w:t>- [ ] Transición a playbook Adoption al día 14.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2.5 Escalamiento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Bloqueo</w:t>
            </w:r>
          </w:p>
        </w:tc>
        <w:tc>
          <w:tcPr>
            <w:tcW w:type="dxa" w:w="4680"/>
          </w:tcPr>
          <w:p>
            <w:r>
              <w:t>Acción</w:t>
            </w:r>
          </w:p>
        </w:tc>
      </w:tr>
      <w:tr>
        <w:tc>
          <w:tcPr>
            <w:tcW w:type="dxa" w:w="4680"/>
          </w:tcPr>
          <w:p>
            <w:r>
              <w:t>Cliente no responde kick-off</w:t>
            </w:r>
          </w:p>
        </w:tc>
        <w:tc>
          <w:tcPr>
            <w:tcW w:type="dxa" w:w="4680"/>
          </w:tcPr>
          <w:p>
            <w:r>
              <w:t>Ejecutar **ReEngagement** al día 5</w:t>
            </w:r>
          </w:p>
        </w:tc>
      </w:tr>
      <w:tr>
        <w:tc>
          <w:tcPr>
            <w:tcW w:type="dxa" w:w="4680"/>
          </w:tcPr>
          <w:p>
            <w:r>
              <w:t>Error de integración</w:t>
            </w:r>
          </w:p>
        </w:tc>
        <w:tc>
          <w:tcPr>
            <w:tcW w:type="dxa" w:w="4680"/>
          </w:tcPr>
          <w:p>
            <w:r>
              <w:t>Escalar a Admin (`/Integrations`)</w:t>
            </w:r>
          </w:p>
        </w:tc>
      </w:tr>
      <w:tr>
        <w:tc>
          <w:tcPr>
            <w:tcW w:type="dxa" w:w="4680"/>
          </w:tcPr>
          <w:p>
            <w:r>
              <w:t>Health cae a Warning durante onboarding</w:t>
            </w:r>
          </w:p>
        </w:tc>
        <w:tc>
          <w:tcPr>
            <w:tcW w:type="dxa" w:w="4680"/>
          </w:tcPr>
          <w:p>
            <w:r>
              <w:t>Abrir caso `CS_Case_AtRisk`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3. Playbook: Rescue (Rescate)</w:t>
      </w:r>
    </w:p>
    <w:p>
      <w:r>
        <w:rPr>
          <w:rFonts w:ascii="Segoe UI" w:hAnsi="Segoe UI" w:eastAsia="Segoe UI"/>
          <w:b w:val="0"/>
          <w:sz w:val="22"/>
        </w:rPr>
        <w:t>Código: CustomerSuccessConstants.PlaybookRescue (alias UI: AtRisk)</w:t>
      </w:r>
    </w:p>
    <w:p>
      <w:r>
        <w:rPr>
          <w:rFonts w:ascii="Segoe UI" w:hAnsi="Segoe UI" w:eastAsia="Segoe UI"/>
          <w:b w:val="0"/>
          <w:sz w:val="22"/>
        </w:rPr>
        <w:t>Cuándo ejecutar: Health Critical, señal de churn activa o caso CS_Case_AtRisk.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3.1 Disparadores automáticos</w:t>
      </w:r>
    </w:p>
    <w:p>
      <w:r>
        <w:rPr>
          <w:rFonts w:ascii="Segoe UI" w:hAnsi="Segoe UI" w:eastAsia="Segoe UI"/>
          <w:b w:val="0"/>
          <w:sz w:val="22"/>
        </w:rPr>
        <w:t>- IChurnRiskEngine.EnforceAlertsAndPlaybooksAsync crea alertas.</w:t>
      </w:r>
    </w:p>
    <w:p>
      <w:r>
        <w:rPr>
          <w:rFonts w:ascii="Segoe UI" w:hAnsi="Segoe UI" w:eastAsia="Segoe UI"/>
          <w:b w:val="0"/>
          <w:sz w:val="22"/>
        </w:rPr>
        <w:t>- Tarea ChurnRisk_Alert y Health_Rescue en cola.</w:t>
      </w:r>
    </w:p>
    <w:p>
      <w:r>
        <w:rPr>
          <w:rFonts w:ascii="Segoe UI" w:hAnsi="Segoe UI" w:eastAsia="Segoe UI"/>
          <w:b w:val="0"/>
          <w:sz w:val="22"/>
        </w:rPr>
        <w:t>- Panel de churn en /customer-success muestra señales prioritarias.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3.2 Ejecución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RunPlaybookAsync(tenantId, customerId, "Rescue")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-- o desde UI con alias --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RunPlaybookAsync(tenantId, customerId, "AtRisk")  → normaliza a Rescue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3.3 Tareas generadas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TaskType</w:t>
            </w:r>
          </w:p>
        </w:tc>
        <w:tc>
          <w:tcPr>
            <w:tcW w:type="dxa" w:w="2340"/>
          </w:tcPr>
          <w:p>
            <w:r>
              <w:t>Título</w:t>
            </w:r>
          </w:p>
        </w:tc>
        <w:tc>
          <w:tcPr>
            <w:tcW w:type="dxa" w:w="2340"/>
          </w:tcPr>
          <w:p>
            <w:r>
              <w:t>Plazo</w:t>
            </w:r>
          </w:p>
        </w:tc>
        <w:tc>
          <w:tcPr>
            <w:tcW w:type="dxa" w:w="2340"/>
          </w:tcPr>
          <w:p>
            <w:r>
              <w:t>Prioridad</w:t>
            </w:r>
          </w:p>
        </w:tc>
      </w:tr>
      <w:tr>
        <w:tc>
          <w:tcPr>
            <w:tcW w:type="dxa" w:w="2340"/>
          </w:tcPr>
          <w:p>
            <w:r>
              <w:t>`PB_Rescue_Call`</w:t>
            </w:r>
          </w:p>
        </w:tc>
        <w:tc>
          <w:tcPr>
            <w:tcW w:type="dxa" w:w="2340"/>
          </w:tcPr>
          <w:p>
            <w:r>
              <w:t>Llamada rescate</w:t>
            </w:r>
          </w:p>
        </w:tc>
        <w:tc>
          <w:tcPr>
            <w:tcW w:type="dxa" w:w="2340"/>
          </w:tcPr>
          <w:p>
            <w:r>
              <w:t>1 día</w:t>
            </w:r>
          </w:p>
        </w:tc>
        <w:tc>
          <w:tcPr>
            <w:tcW w:type="dxa" w:w="2340"/>
          </w:tcPr>
          <w:p>
            <w:r>
              <w:t>Urgent</w:t>
            </w:r>
          </w:p>
        </w:tc>
      </w:tr>
      <w:tr>
        <w:tc>
          <w:tcPr>
            <w:tcW w:type="dxa" w:w="2340"/>
          </w:tcPr>
          <w:p>
            <w:r>
              <w:t>`PB_Rescue_Plan`</w:t>
            </w:r>
          </w:p>
        </w:tc>
        <w:tc>
          <w:tcPr>
            <w:tcW w:type="dxa" w:w="2340"/>
          </w:tcPr>
          <w:p>
            <w:r>
              <w:t>Plan de recuperación</w:t>
            </w:r>
          </w:p>
        </w:tc>
        <w:tc>
          <w:tcPr>
            <w:tcW w:type="dxa" w:w="2340"/>
          </w:tcPr>
          <w:p>
            <w:r>
              <w:t>3 días</w:t>
            </w:r>
          </w:p>
        </w:tc>
        <w:tc>
          <w:tcPr>
            <w:tcW w:type="dxa" w:w="2340"/>
          </w:tcPr>
          <w:p>
            <w:r>
              <w:t>Urgent</w:t>
            </w:r>
          </w:p>
        </w:tc>
      </w:tr>
      <w:tr>
        <w:tc>
          <w:tcPr>
            <w:tcW w:type="dxa" w:w="2340"/>
          </w:tcPr>
          <w:p>
            <w:r>
              <w:t>`Health_Rescue`</w:t>
            </w:r>
          </w:p>
        </w:tc>
        <w:tc>
          <w:tcPr>
            <w:tcW w:type="dxa" w:w="2340"/>
          </w:tcPr>
          <w:p>
            <w:r>
              <w:t>Seguimiento rescate</w:t>
            </w:r>
          </w:p>
        </w:tc>
        <w:tc>
          <w:tcPr>
            <w:tcW w:type="dxa" w:w="2340"/>
          </w:tcPr>
          <w:p>
            <w:r>
              <w:t>7 días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3.4 Protocolo de rescate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Paso</w:t>
            </w:r>
          </w:p>
        </w:tc>
        <w:tc>
          <w:tcPr>
            <w:tcW w:type="dxa" w:w="2340"/>
          </w:tcPr>
          <w:p>
            <w:r>
              <w:t>Tiempo</w:t>
            </w:r>
          </w:p>
        </w:tc>
        <w:tc>
          <w:tcPr>
            <w:tcW w:type="dxa" w:w="2340"/>
          </w:tcPr>
          <w:p>
            <w:r>
              <w:t>Responsable</w:t>
            </w:r>
          </w:p>
        </w:tc>
        <w:tc>
          <w:tcPr>
            <w:tcW w:type="dxa" w:w="2340"/>
          </w:tcPr>
          <w:p>
            <w:r>
              <w:t>Acción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0–4h</w:t>
            </w:r>
          </w:p>
        </w:tc>
        <w:tc>
          <w:tcPr>
            <w:tcW w:type="dxa" w:w="2340"/>
          </w:tcPr>
          <w:p>
            <w:r>
              <w:t>Support L1</w:t>
            </w:r>
          </w:p>
        </w:tc>
        <w:tc>
          <w:tcPr>
            <w:tcW w:type="dxa" w:w="2340"/>
          </w:tcPr>
          <w:p>
            <w:r>
              <w:t>Contacto urgente al cliente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24h</w:t>
            </w:r>
          </w:p>
        </w:tc>
        <w:tc>
          <w:tcPr>
            <w:tcW w:type="dxa" w:w="2340"/>
          </w:tcPr>
          <w:p>
            <w:r>
              <w:t>Support L2</w:t>
            </w:r>
          </w:p>
        </w:tc>
        <w:tc>
          <w:tcPr>
            <w:tcW w:type="dxa" w:w="2340"/>
          </w:tcPr>
          <w:p>
            <w:r>
              <w:t>Documentar causas raíz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48h</w:t>
            </w:r>
          </w:p>
        </w:tc>
        <w:tc>
          <w:tcPr>
            <w:tcW w:type="dxa" w:w="2340"/>
          </w:tcPr>
          <w:p>
            <w:r>
              <w:t>Support + Manager</w:t>
            </w:r>
          </w:p>
        </w:tc>
        <w:tc>
          <w:tcPr>
            <w:tcW w:type="dxa" w:w="2340"/>
          </w:tcPr>
          <w:p>
            <w:r>
              <w:t>Plan de acción aprobado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7d</w:t>
            </w:r>
          </w:p>
        </w:tc>
        <w:tc>
          <w:tcPr>
            <w:tcW w:type="dxa" w:w="2340"/>
          </w:tcPr>
          <w:p>
            <w:r>
              <w:t>Support</w:t>
            </w:r>
          </w:p>
        </w:tc>
        <w:tc>
          <w:tcPr>
            <w:tcW w:type="dxa" w:w="2340"/>
          </w:tcPr>
          <w:p>
            <w:r>
              <w:t>Verificar mejora health score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14d</w:t>
            </w:r>
          </w:p>
        </w:tc>
        <w:tc>
          <w:tcPr>
            <w:tcW w:type="dxa" w:w="2340"/>
          </w:tcPr>
          <w:p>
            <w:r>
              <w:t>Manager</w:t>
            </w:r>
          </w:p>
        </w:tc>
        <w:tc>
          <w:tcPr>
            <w:tcW w:type="dxa" w:w="2340"/>
          </w:tcPr>
          <w:p>
            <w:r>
              <w:t>Revisión de resultado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3.5 Criterios de éxito</w:t>
      </w:r>
    </w:p>
    <w:p>
      <w:r>
        <w:rPr>
          <w:rFonts w:ascii="Segoe UI" w:hAnsi="Segoe UI" w:eastAsia="Segoe UI"/>
          <w:b w:val="0"/>
          <w:sz w:val="22"/>
        </w:rPr>
        <w:t>- Health mejora de Critical → Warning o Healthy.</w:t>
      </w:r>
    </w:p>
    <w:p>
      <w:r>
        <w:rPr>
          <w:rFonts w:ascii="Segoe UI" w:hAnsi="Segoe UI" w:eastAsia="Segoe UI"/>
          <w:b w:val="0"/>
          <w:sz w:val="22"/>
        </w:rPr>
        <w:t>- Ticket de rescate cerrado con resolución documentada.</w:t>
      </w:r>
    </w:p>
    <w:p>
      <w:r>
        <w:rPr>
          <w:rFonts w:ascii="Segoe UI" w:hAnsi="Segoe UI" w:eastAsia="Segoe UI"/>
          <w:b w:val="0"/>
          <w:sz w:val="22"/>
        </w:rPr>
        <w:t>- Si no hay mejora en 14 días → escalar a Manager + Sales para decisión comercial.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3.6 Coordinación con Sales</w:t>
      </w:r>
    </w:p>
    <w:p>
      <w:r>
        <w:rPr>
          <w:rFonts w:ascii="Segoe UI" w:hAnsi="Segoe UI" w:eastAsia="Segoe UI"/>
          <w:b w:val="0"/>
          <w:sz w:val="22"/>
        </w:rPr>
        <w:t>Si durante el rescate se identifica oportunidad de re-contratación o expansión, crear caso CS_Case_Expansion y notificar al ejecutivo Sales.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4. Playbook: Re-Engagement (Reactivación)</w:t>
      </w:r>
    </w:p>
    <w:p>
      <w:r>
        <w:rPr>
          <w:rFonts w:ascii="Segoe UI" w:hAnsi="Segoe UI" w:eastAsia="Segoe UI"/>
          <w:b w:val="0"/>
          <w:sz w:val="22"/>
        </w:rPr>
        <w:t>Código: CustomerSuccessConstants.PlaybookReEngagement</w:t>
      </w:r>
    </w:p>
    <w:p>
      <w:r>
        <w:rPr>
          <w:rFonts w:ascii="Segoe UI" w:hAnsi="Segoe UI" w:eastAsia="Segoe UI"/>
          <w:b w:val="0"/>
          <w:sz w:val="22"/>
        </w:rPr>
        <w:t>Cuándo ejecutar: Cliente inactivo, sin respuesta post-onboarding, o contrato en Inactive.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4.1 Señales de activación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Señal</w:t>
            </w:r>
          </w:p>
        </w:tc>
        <w:tc>
          <w:tcPr>
            <w:tcW w:type="dxa" w:w="4680"/>
          </w:tcPr>
          <w:p>
            <w:r>
              <w:t>Fuente</w:t>
            </w:r>
          </w:p>
        </w:tc>
      </w:tr>
      <w:tr>
        <w:tc>
          <w:tcPr>
            <w:tcW w:type="dxa" w:w="4680"/>
          </w:tcPr>
          <w:p>
            <w:r>
              <w:t>Sin login del cliente &gt; 30 días</w:t>
            </w:r>
          </w:p>
        </w:tc>
        <w:tc>
          <w:tcPr>
            <w:tcW w:type="dxa" w:w="4680"/>
          </w:tcPr>
          <w:p>
            <w:r>
              <w:t>Métricas de adopción</w:t>
            </w:r>
          </w:p>
        </w:tc>
      </w:tr>
      <w:tr>
        <w:tc>
          <w:tcPr>
            <w:tcW w:type="dxa" w:w="4680"/>
          </w:tcPr>
          <w:p>
            <w:r>
              <w:t>Health degradado sin churn activo</w:t>
            </w:r>
          </w:p>
        </w:tc>
        <w:tc>
          <w:tcPr>
            <w:tcW w:type="dxa" w:w="4680"/>
          </w:tcPr>
          <w:p>
            <w:r>
              <w:t>`ICustomerHealthEngine`</w:t>
            </w:r>
          </w:p>
        </w:tc>
      </w:tr>
      <w:tr>
        <w:tc>
          <w:tcPr>
            <w:tcW w:type="dxa" w:w="4680"/>
          </w:tcPr>
          <w:p>
            <w:r>
              <w:t>Onboarding incompleto</w:t>
            </w:r>
          </w:p>
        </w:tc>
        <w:tc>
          <w:tcPr>
            <w:tcW w:type="dxa" w:w="4680"/>
          </w:tcPr>
          <w:p>
            <w:r>
              <w:t>Tareas `PB_Onboard_*` vencidas</w:t>
            </w:r>
          </w:p>
        </w:tc>
      </w:tr>
      <w:tr>
        <w:tc>
          <w:tcPr>
            <w:tcW w:type="dxa" w:w="4680"/>
          </w:tcPr>
          <w:p>
            <w:r>
              <w:t>Tarea `ReEngagement` pendiente</w:t>
            </w:r>
          </w:p>
        </w:tc>
        <w:tc>
          <w:tcPr>
            <w:tcW w:type="dxa" w:w="4680"/>
          </w:tcPr>
          <w:p>
            <w:r>
              <w:t>`CustomerSuccessConstants.TaskReEngagement`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4.2 Ejecución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RunPlaybookAsync(tenantId, customerId, "ReEngagement")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4.3 Tareas generadas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TaskType</w:t>
            </w:r>
          </w:p>
        </w:tc>
        <w:tc>
          <w:tcPr>
            <w:tcW w:type="dxa" w:w="2340"/>
          </w:tcPr>
          <w:p>
            <w:r>
              <w:t>Título</w:t>
            </w:r>
          </w:p>
        </w:tc>
        <w:tc>
          <w:tcPr>
            <w:tcW w:type="dxa" w:w="2340"/>
          </w:tcPr>
          <w:p>
            <w:r>
              <w:t>Plazo</w:t>
            </w:r>
          </w:p>
        </w:tc>
        <w:tc>
          <w:tcPr>
            <w:tcW w:type="dxa" w:w="2340"/>
          </w:tcPr>
          <w:p>
            <w:r>
              <w:t>Prioridad</w:t>
            </w:r>
          </w:p>
        </w:tc>
      </w:tr>
      <w:tr>
        <w:tc>
          <w:tcPr>
            <w:tcW w:type="dxa" w:w="2340"/>
          </w:tcPr>
          <w:p>
            <w:r>
              <w:t>`PB_Reengage_Outreach`</w:t>
            </w:r>
          </w:p>
        </w:tc>
        <w:tc>
          <w:tcPr>
            <w:tcW w:type="dxa" w:w="2340"/>
          </w:tcPr>
          <w:p>
            <w:r>
              <w:t>Re-engagement</w:t>
            </w:r>
          </w:p>
        </w:tc>
        <w:tc>
          <w:tcPr>
            <w:tcW w:type="dxa" w:w="2340"/>
          </w:tcPr>
          <w:p>
            <w:r>
              <w:t>1 día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</w:tr>
      <w:tr>
        <w:tc>
          <w:tcPr>
            <w:tcW w:type="dxa" w:w="2340"/>
          </w:tcPr>
          <w:p>
            <w:r>
              <w:t>`ReEngagement`</w:t>
            </w:r>
          </w:p>
        </w:tc>
        <w:tc>
          <w:tcPr>
            <w:tcW w:type="dxa" w:w="2340"/>
          </w:tcPr>
          <w:p>
            <w:r>
              <w:t>Seguimiento re-engagement</w:t>
            </w:r>
          </w:p>
        </w:tc>
        <w:tc>
          <w:tcPr>
            <w:tcW w:type="dxa" w:w="2340"/>
          </w:tcPr>
          <w:p>
            <w:r>
              <w:t>5 días</w:t>
            </w:r>
          </w:p>
        </w:tc>
        <w:tc>
          <w:tcPr>
            <w:tcW w:type="dxa" w:w="2340"/>
          </w:tcPr>
          <w:p>
            <w:r>
              <w:t>Normal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4.4 Canales de contacto</w:t>
      </w:r>
    </w:p>
    <w:p>
      <w:r>
        <w:rPr>
          <w:rFonts w:ascii="Segoe UI" w:hAnsi="Segoe UI" w:eastAsia="Segoe UI"/>
          <w:b w:val="0"/>
          <w:sz w:val="22"/>
        </w:rPr>
        <w:t>El módulo soporta comunicación vía:</w:t>
      </w:r>
    </w:p>
    <w:p>
      <w:r>
        <w:rPr>
          <w:rFonts w:ascii="Segoe UI" w:hAnsi="Segoe UI" w:eastAsia="Segoe UI"/>
          <w:b w:val="0"/>
          <w:sz w:val="22"/>
        </w:rPr>
        <w:t>- Email (IEmailAutomationEngine / SendGrid)</w:t>
      </w:r>
    </w:p>
    <w:p>
      <w:r>
        <w:rPr>
          <w:rFonts w:ascii="Segoe UI" w:hAnsi="Segoe UI" w:eastAsia="Segoe UI"/>
          <w:b w:val="0"/>
          <w:sz w:val="22"/>
        </w:rPr>
        <w:t>- WhatsApp (IWhatsAppAutomationEngine)</w:t>
      </w:r>
    </w:p>
    <w:p>
      <w:r>
        <w:rPr>
          <w:rFonts w:ascii="Segoe UI" w:hAnsi="Segoe UI" w:eastAsia="Segoe UI"/>
          <w:b w:val="0"/>
          <w:sz w:val="22"/>
        </w:rPr>
        <w:t>Support inicia contacto manual; las automatizaciones de retención pueden complementar con plantillas templadas.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4.5 Árbol de decisión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¿Cliente responde en 5 días?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├── SÍ → Retomar Onboarding o Adoption según etapa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├── PARCIAL → Mantener caso Recovery abierto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└── NO → Evaluar Rescue o marcar Churned (escalar a Manager)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4.6 Criterios de éxito</w:t>
      </w:r>
    </w:p>
    <w:p>
      <w:r>
        <w:rPr>
          <w:rFonts w:ascii="Segoe UI" w:hAnsi="Segoe UI" w:eastAsia="Segoe UI"/>
          <w:b w:val="0"/>
          <w:sz w:val="22"/>
        </w:rPr>
        <w:t>- Cliente reactivado con interacción confirmada.</w:t>
      </w:r>
    </w:p>
    <w:p>
      <w:r>
        <w:rPr>
          <w:rFonts w:ascii="Segoe UI" w:hAnsi="Segoe UI" w:eastAsia="Segoe UI"/>
          <w:b w:val="0"/>
          <w:sz w:val="22"/>
        </w:rPr>
        <w:t>- Health estable en Warning o superior.</w:t>
      </w:r>
    </w:p>
    <w:p>
      <w:r>
        <w:rPr>
          <w:rFonts w:ascii="Segoe UI" w:hAnsi="Segoe UI" w:eastAsia="Segoe UI"/>
          <w:b w:val="0"/>
          <w:sz w:val="22"/>
        </w:rPr>
        <w:t>- Tarea ReEngagement completada.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5. Playbooks complementarios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 Adoption</w:t>
      </w:r>
    </w:p>
    <w:p>
      <w:r>
        <w:rPr>
          <w:rFonts w:ascii="Segoe UI" w:hAnsi="Segoe UI" w:eastAsia="Segoe UI"/>
          <w:b w:val="0"/>
          <w:sz w:val="22"/>
        </w:rPr>
        <w:t>Código: PlaybookAdoption</w:t>
      </w:r>
    </w:p>
    <w:p>
      <w:r>
        <w:rPr>
          <w:rFonts w:ascii="Segoe UI" w:hAnsi="Segoe UI" w:eastAsia="Segoe UI"/>
          <w:b w:val="0"/>
          <w:sz w:val="22"/>
        </w:rPr>
        <w:t>Cuándo: Post-onboarding, semana 2–4.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Tarea</w:t>
            </w:r>
          </w:p>
        </w:tc>
        <w:tc>
          <w:tcPr>
            <w:tcW w:type="dxa" w:w="4680"/>
          </w:tcPr>
          <w:p>
            <w:r>
              <w:t>Plazo</w:t>
            </w:r>
          </w:p>
        </w:tc>
      </w:tr>
      <w:tr>
        <w:tc>
          <w:tcPr>
            <w:tcW w:type="dxa" w:w="4680"/>
          </w:tcPr>
          <w:p>
            <w:r>
              <w:t>Revisión de uso</w:t>
            </w:r>
          </w:p>
        </w:tc>
        <w:tc>
          <w:tcPr>
            <w:tcW w:type="dxa" w:w="4680"/>
          </w:tcPr>
          <w:p>
            <w:r>
              <w:t>14 días</w:t>
            </w:r>
          </w:p>
        </w:tc>
      </w:tr>
      <w:tr>
        <w:tc>
          <w:tcPr>
            <w:tcW w:type="dxa" w:w="4680"/>
          </w:tcPr>
          <w:p>
            <w:r>
              <w:t>QBR ligero</w:t>
            </w:r>
          </w:p>
        </w:tc>
        <w:tc>
          <w:tcPr>
            <w:tcW w:type="dxa" w:w="4680"/>
          </w:tcPr>
          <w:p>
            <w:r>
              <w:t>30 días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5.2 Renewal</w:t>
      </w:r>
    </w:p>
    <w:p>
      <w:r>
        <w:rPr>
          <w:rFonts w:ascii="Segoe UI" w:hAnsi="Segoe UI" w:eastAsia="Segoe UI"/>
          <w:b w:val="0"/>
          <w:sz w:val="22"/>
        </w:rPr>
        <w:t>Código: PlaybookRenewal</w:t>
      </w:r>
    </w:p>
    <w:p>
      <w:r>
        <w:rPr>
          <w:rFonts w:ascii="Segoe UI" w:hAnsi="Segoe UI" w:eastAsia="Segoe UI"/>
          <w:b w:val="0"/>
          <w:sz w:val="22"/>
        </w:rPr>
        <w:t>Cuándo: Contrato en PendingRenewal o alertas Renewal_90d/60d/30d.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Tarea</w:t>
            </w:r>
          </w:p>
        </w:tc>
        <w:tc>
          <w:tcPr>
            <w:tcW w:type="dxa" w:w="4680"/>
          </w:tcPr>
          <w:p>
            <w:r>
              <w:t>Plazo</w:t>
            </w:r>
          </w:p>
        </w:tc>
      </w:tr>
      <w:tr>
        <w:tc>
          <w:tcPr>
            <w:tcW w:type="dxa" w:w="4680"/>
          </w:tcPr>
          <w:p>
            <w:r>
              <w:t>Revisión renovación</w:t>
            </w:r>
          </w:p>
        </w:tc>
        <w:tc>
          <w:tcPr>
            <w:tcW w:type="dxa" w:w="4680"/>
          </w:tcPr>
          <w:p>
            <w:r>
              <w:t>14 días</w:t>
            </w:r>
          </w:p>
        </w:tc>
      </w:tr>
      <w:tr>
        <w:tc>
          <w:tcPr>
            <w:tcW w:type="dxa" w:w="4680"/>
          </w:tcPr>
          <w:p>
            <w:r>
              <w:t>Propuesta renovación</w:t>
            </w:r>
          </w:p>
        </w:tc>
        <w:tc>
          <w:tcPr>
            <w:tcW w:type="dxa" w:w="4680"/>
          </w:tcPr>
          <w:p>
            <w:r>
              <w:t>21 días</w:t>
            </w:r>
          </w:p>
        </w:tc>
      </w:tr>
      <w:tr>
        <w:tc>
          <w:tcPr>
            <w:tcW w:type="dxa" w:w="4680"/>
          </w:tcPr>
          <w:p>
            <w:r>
              <w:t>Cierre renovación</w:t>
            </w:r>
          </w:p>
        </w:tc>
        <w:tc>
          <w:tcPr>
            <w:tcW w:type="dxa" w:w="4680"/>
          </w:tcPr>
          <w:p>
            <w:r>
              <w:t>28 días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5.3 Expansion</w:t>
      </w:r>
    </w:p>
    <w:p>
      <w:r>
        <w:rPr>
          <w:rFonts w:ascii="Segoe UI" w:hAnsi="Segoe UI" w:eastAsia="Segoe UI"/>
          <w:b w:val="0"/>
          <w:sz w:val="22"/>
        </w:rPr>
        <w:t>Código: PlaybookExpansion</w:t>
      </w:r>
    </w:p>
    <w:p>
      <w:r>
        <w:rPr>
          <w:rFonts w:ascii="Segoe UI" w:hAnsi="Segoe UI" w:eastAsia="Segoe UI"/>
          <w:b w:val="0"/>
          <w:sz w:val="22"/>
        </w:rPr>
        <w:t>Cuándo: IExpansionRevenueEngine detecta oportunidad.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Tarea</w:t>
            </w:r>
          </w:p>
        </w:tc>
        <w:tc>
          <w:tcPr>
            <w:tcW w:type="dxa" w:w="4680"/>
          </w:tcPr>
          <w:p>
            <w:r>
              <w:t>Plazo</w:t>
            </w:r>
          </w:p>
        </w:tc>
      </w:tr>
      <w:tr>
        <w:tc>
          <w:tcPr>
            <w:tcW w:type="dxa" w:w="4680"/>
          </w:tcPr>
          <w:p>
            <w:r>
              <w:t>Descubrimiento expansión</w:t>
            </w:r>
          </w:p>
        </w:tc>
        <w:tc>
          <w:tcPr>
            <w:tcW w:type="dxa" w:w="4680"/>
          </w:tcPr>
          <w:p>
            <w:r>
              <w:t>7 días</w:t>
            </w:r>
          </w:p>
        </w:tc>
      </w:tr>
      <w:tr>
        <w:tc>
          <w:tcPr>
            <w:tcW w:type="dxa" w:w="4680"/>
          </w:tcPr>
          <w:p>
            <w:r>
              <w:t>Oportunidad expansión (`Expansion_Opportunity`)</w:t>
            </w:r>
          </w:p>
        </w:tc>
        <w:tc>
          <w:tcPr>
            <w:tcW w:type="dxa" w:w="4680"/>
          </w:tcPr>
          <w:p>
            <w:r>
              <w:t>14 días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6. Estados de salud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Estado</w:t>
            </w:r>
          </w:p>
        </w:tc>
        <w:tc>
          <w:tcPr>
            <w:tcW w:type="dxa" w:w="3120"/>
          </w:tcPr>
          <w:p>
            <w:r>
              <w:t>Constante</w:t>
            </w:r>
          </w:p>
        </w:tc>
        <w:tc>
          <w:tcPr>
            <w:tcW w:type="dxa" w:w="3120"/>
          </w:tcPr>
          <w:p>
            <w:r>
              <w:t>Acción Support</w:t>
            </w:r>
          </w:p>
        </w:tc>
      </w:tr>
      <w:tr>
        <w:tc>
          <w:tcPr>
            <w:tcW w:type="dxa" w:w="3120"/>
          </w:tcPr>
          <w:p>
            <w:r>
              <w:t>Saludable</w:t>
            </w:r>
          </w:p>
        </w:tc>
        <w:tc>
          <w:tcPr>
            <w:tcW w:type="dxa" w:w="3120"/>
          </w:tcPr>
          <w:p>
            <w:r>
              <w:t>`HealthHealthy`</w:t>
            </w:r>
          </w:p>
        </w:tc>
        <w:tc>
          <w:tcPr>
            <w:tcW w:type="dxa" w:w="3120"/>
          </w:tcPr>
          <w:p>
            <w:r>
              <w:t>Monitoreo rutinario</w:t>
            </w:r>
          </w:p>
        </w:tc>
      </w:tr>
      <w:tr>
        <w:tc>
          <w:tcPr>
            <w:tcW w:type="dxa" w:w="3120"/>
          </w:tcPr>
          <w:p>
            <w:r>
              <w:t>Advertencia</w:t>
            </w:r>
          </w:p>
        </w:tc>
        <w:tc>
          <w:tcPr>
            <w:tcW w:type="dxa" w:w="3120"/>
          </w:tcPr>
          <w:p>
            <w:r>
              <w:t>`HealthWarning`</w:t>
            </w:r>
          </w:p>
        </w:tc>
        <w:tc>
          <w:tcPr>
            <w:tcW w:type="dxa" w:w="3120"/>
          </w:tcPr>
          <w:p>
            <w:r>
              <w:t>Revisar adopción, considerar ReEngagement</w:t>
            </w:r>
          </w:p>
        </w:tc>
      </w:tr>
      <w:tr>
        <w:tc>
          <w:tcPr>
            <w:tcW w:type="dxa" w:w="3120"/>
          </w:tcPr>
          <w:p>
            <w:r>
              <w:t>Crítico</w:t>
            </w:r>
          </w:p>
        </w:tc>
        <w:tc>
          <w:tcPr>
            <w:tcW w:type="dxa" w:w="3120"/>
          </w:tcPr>
          <w:p>
            <w:r>
              <w:t>`HealthCritical`</w:t>
            </w:r>
          </w:p>
        </w:tc>
        <w:tc>
          <w:tcPr>
            <w:tcW w:type="dxa" w:w="3120"/>
          </w:tcPr>
          <w:p>
            <w:r>
              <w:t>Ejecutar Rescue inmediatamente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7. Contratos y ciclo de vida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Estado contrato</w:t>
            </w:r>
          </w:p>
        </w:tc>
        <w:tc>
          <w:tcPr>
            <w:tcW w:type="dxa" w:w="3120"/>
          </w:tcPr>
          <w:p>
            <w:r>
              <w:t>Constante</w:t>
            </w:r>
          </w:p>
        </w:tc>
        <w:tc>
          <w:tcPr>
            <w:tcW w:type="dxa" w:w="3120"/>
          </w:tcPr>
          <w:p>
            <w:r>
              <w:t>Playbook recomendado</w:t>
            </w:r>
          </w:p>
        </w:tc>
      </w:tr>
      <w:tr>
        <w:tc>
          <w:tcPr>
            <w:tcW w:type="dxa" w:w="3120"/>
          </w:tcPr>
          <w:p>
            <w:r>
              <w:t>Activo</w:t>
            </w:r>
          </w:p>
        </w:tc>
        <w:tc>
          <w:tcPr>
            <w:tcW w:type="dxa" w:w="3120"/>
          </w:tcPr>
          <w:p>
            <w:r>
              <w:t>`ContractActive`</w:t>
            </w:r>
          </w:p>
        </w:tc>
        <w:tc>
          <w:tcPr>
            <w:tcW w:type="dxa" w:w="3120"/>
          </w:tcPr>
          <w:p>
            <w:r>
              <w:t>Adoption / Expansion</w:t>
            </w:r>
          </w:p>
        </w:tc>
      </w:tr>
      <w:tr>
        <w:tc>
          <w:tcPr>
            <w:tcW w:type="dxa" w:w="3120"/>
          </w:tcPr>
          <w:p>
            <w:r>
              <w:t>Renovación pendiente</w:t>
            </w:r>
          </w:p>
        </w:tc>
        <w:tc>
          <w:tcPr>
            <w:tcW w:type="dxa" w:w="3120"/>
          </w:tcPr>
          <w:p>
            <w:r>
              <w:t>`ContractPendingRenewal`</w:t>
            </w:r>
          </w:p>
        </w:tc>
        <w:tc>
          <w:tcPr>
            <w:tcW w:type="dxa" w:w="3120"/>
          </w:tcPr>
          <w:p>
            <w:r>
              <w:t>Renewal</w:t>
            </w:r>
          </w:p>
        </w:tc>
      </w:tr>
      <w:tr>
        <w:tc>
          <w:tcPr>
            <w:tcW w:type="dxa" w:w="3120"/>
          </w:tcPr>
          <w:p>
            <w:r>
              <w:t>Abandonado</w:t>
            </w:r>
          </w:p>
        </w:tc>
        <w:tc>
          <w:tcPr>
            <w:tcW w:type="dxa" w:w="3120"/>
          </w:tcPr>
          <w:p>
            <w:r>
              <w:t>`ContractChurned`</w:t>
            </w:r>
          </w:p>
        </w:tc>
        <w:tc>
          <w:tcPr>
            <w:tcW w:type="dxa" w:w="3120"/>
          </w:tcPr>
          <w:p>
            <w:r>
              <w:t>— (análisis post-mortem)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8. Integración con Customer 360</w:t>
      </w:r>
    </w:p>
    <w:p>
      <w:r>
        <w:rPr>
          <w:rFonts w:ascii="Segoe UI" w:hAnsi="Segoe UI" w:eastAsia="Segoe UI"/>
          <w:b w:val="0"/>
          <w:sz w:val="22"/>
        </w:rPr>
        <w:t>Desde /customers/{id}/360, el panel CS (Customer360CsPanelDto) muestra:</w:t>
      </w:r>
    </w:p>
    <w:p>
      <w:r>
        <w:rPr>
          <w:rFonts w:ascii="Segoe UI" w:hAnsi="Segoe UI" w:eastAsia="Segoe UI"/>
          <w:b w:val="0"/>
          <w:sz w:val="22"/>
        </w:rPr>
        <w:t>- Tickets abiertos y cerrados del cliente.</w:t>
      </w:r>
    </w:p>
    <w:p>
      <w:r>
        <w:rPr>
          <w:rFonts w:ascii="Segoe UI" w:hAnsi="Segoe UI" w:eastAsia="Segoe UI"/>
          <w:b w:val="0"/>
          <w:sz w:val="22"/>
        </w:rPr>
        <w:t>- Casos activos.</w:t>
      </w:r>
    </w:p>
    <w:p>
      <w:r>
        <w:rPr>
          <w:rFonts w:ascii="Segoe UI" w:hAnsi="Segoe UI" w:eastAsia="Segoe UI"/>
          <w:b w:val="0"/>
          <w:sz w:val="22"/>
        </w:rPr>
        <w:t>- Contexto comercial para decisiones de playbook.</w:t>
      </w:r>
    </w:p>
    <w:p>
      <w:r>
        <w:rPr>
          <w:rFonts w:ascii="Segoe UI" w:hAnsi="Segoe UI" w:eastAsia="Segoe UI"/>
          <w:b w:val="0"/>
          <w:sz w:val="22"/>
        </w:rPr>
        <w:t>Flujo recomendado: Customer 360 (diagnóstico) → Customer Success (acción).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9. Métricas de éxito del módulo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Métrica</w:t>
            </w:r>
          </w:p>
        </w:tc>
        <w:tc>
          <w:tcPr>
            <w:tcW w:type="dxa" w:w="4680"/>
          </w:tcPr>
          <w:p>
            <w:r>
              <w:t>Dónde verla</w:t>
            </w:r>
          </w:p>
        </w:tc>
      </w:tr>
      <w:tr>
        <w:tc>
          <w:tcPr>
            <w:tcW w:type="dxa" w:w="4680"/>
          </w:tcPr>
          <w:p>
            <w:r>
              <w:t>Tickets abiertos</w:t>
            </w:r>
          </w:p>
        </w:tc>
        <w:tc>
          <w:tcPr>
            <w:tcW w:type="dxa" w:w="4680"/>
          </w:tcPr>
          <w:p>
            <w:r>
              <w:t>`/customer-success` — contador</w:t>
            </w:r>
          </w:p>
        </w:tc>
      </w:tr>
      <w:tr>
        <w:tc>
          <w:tcPr>
            <w:tcW w:type="dxa" w:w="4680"/>
          </w:tcPr>
          <w:p>
            <w:r>
              <w:t>Casos abiertos</w:t>
            </w:r>
          </w:p>
        </w:tc>
        <w:tc>
          <w:tcPr>
            <w:tcW w:type="dxa" w:w="4680"/>
          </w:tcPr>
          <w:p>
            <w:r>
              <w:t>`/customer-success` — contador</w:t>
            </w:r>
          </w:p>
        </w:tc>
      </w:tr>
      <w:tr>
        <w:tc>
          <w:tcPr>
            <w:tcW w:type="dxa" w:w="4680"/>
          </w:tcPr>
          <w:p>
            <w:r>
              <w:t>Señales churn activas</w:t>
            </w:r>
          </w:p>
        </w:tc>
        <w:tc>
          <w:tcPr>
            <w:tcW w:type="dxa" w:w="4680"/>
          </w:tcPr>
          <w:p>
            <w:r>
              <w:t>Panel churn (top 15)</w:t>
            </w:r>
          </w:p>
        </w:tc>
      </w:tr>
      <w:tr>
        <w:tc>
          <w:tcPr>
            <w:tcW w:type="dxa" w:w="4680"/>
          </w:tcPr>
          <w:p>
            <w:r>
              <w:t>Renovaciones próximas</w:t>
            </w:r>
          </w:p>
        </w:tc>
        <w:tc>
          <w:tcPr>
            <w:tcW w:type="dxa" w:w="4680"/>
          </w:tcPr>
          <w:p>
            <w:r>
              <w:t>Panel renewal (top 20)</w:t>
            </w:r>
          </w:p>
        </w:tc>
      </w:tr>
      <w:tr>
        <w:tc>
          <w:tcPr>
            <w:tcW w:type="dxa" w:w="4680"/>
          </w:tcPr>
          <w:p>
            <w:r>
              <w:t>Health distribution</w:t>
            </w:r>
          </w:p>
        </w:tc>
        <w:tc>
          <w:tcPr>
            <w:tcW w:type="dxa" w:w="4680"/>
          </w:tcPr>
          <w:p>
            <w:r>
              <w:t>Panel health (top 20)</w:t>
            </w:r>
          </w:p>
        </w:tc>
      </w:tr>
      <w:tr>
        <w:tc>
          <w:tcPr>
            <w:tcW w:type="dxa" w:w="4680"/>
          </w:tcPr>
          <w:p>
            <w:r>
              <w:t>Oportunidades expansión</w:t>
            </w:r>
          </w:p>
        </w:tc>
        <w:tc>
          <w:tcPr>
            <w:tcW w:type="dxa" w:w="4680"/>
          </w:tcPr>
          <w:p>
            <w:r>
              <w:t>Panel expansion (top 15)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10. Checklist semanal Customer Success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Día</w:t>
            </w:r>
          </w:p>
        </w:tc>
        <w:tc>
          <w:tcPr>
            <w:tcW w:type="dxa" w:w="4680"/>
          </w:tcPr>
          <w:p>
            <w:r>
              <w:t>Actividad</w:t>
            </w:r>
          </w:p>
        </w:tc>
      </w:tr>
      <w:tr>
        <w:tc>
          <w:tcPr>
            <w:tcW w:type="dxa" w:w="4680"/>
          </w:tcPr>
          <w:p>
            <w:r>
              <w:t>Lunes</w:t>
            </w:r>
          </w:p>
        </w:tc>
        <w:tc>
          <w:tcPr>
            <w:tcW w:type="dxa" w:w="4680"/>
          </w:tcPr>
          <w:p>
            <w:r>
              <w:t>Revisar churn signals y health Critical</w:t>
            </w:r>
          </w:p>
        </w:tc>
      </w:tr>
      <w:tr>
        <w:tc>
          <w:tcPr>
            <w:tcW w:type="dxa" w:w="4680"/>
          </w:tcPr>
          <w:p>
            <w:r>
              <w:t>Martes</w:t>
            </w:r>
          </w:p>
        </w:tc>
        <w:tc>
          <w:tcPr>
            <w:tcW w:type="dxa" w:w="4680"/>
          </w:tcPr>
          <w:p>
            <w:r>
              <w:t>Cola de tickets vencidos</w:t>
            </w:r>
          </w:p>
        </w:tc>
      </w:tr>
      <w:tr>
        <w:tc>
          <w:tcPr>
            <w:tcW w:type="dxa" w:w="4680"/>
          </w:tcPr>
          <w:p>
            <w:r>
              <w:t>Miércoles</w:t>
            </w:r>
          </w:p>
        </w:tc>
        <w:tc>
          <w:tcPr>
            <w:tcW w:type="dxa" w:w="4680"/>
          </w:tcPr>
          <w:p>
            <w:r>
              <w:t>Renovaciones 30 días</w:t>
            </w:r>
          </w:p>
        </w:tc>
      </w:tr>
      <w:tr>
        <w:tc>
          <w:tcPr>
            <w:tcW w:type="dxa" w:w="4680"/>
          </w:tcPr>
          <w:p>
            <w:r>
              <w:t>Jueves</w:t>
            </w:r>
          </w:p>
        </w:tc>
        <w:tc>
          <w:tcPr>
            <w:tcW w:type="dxa" w:w="4680"/>
          </w:tcPr>
          <w:p>
            <w:r>
              <w:t>Oportunidades expansión → coordinar Sales</w:t>
            </w:r>
          </w:p>
        </w:tc>
      </w:tr>
      <w:tr>
        <w:tc>
          <w:tcPr>
            <w:tcW w:type="dxa" w:w="4680"/>
          </w:tcPr>
          <w:p>
            <w:r>
              <w:t>Viernes</w:t>
            </w:r>
          </w:p>
        </w:tc>
        <w:tc>
          <w:tcPr>
            <w:tcW w:type="dxa" w:w="4680"/>
          </w:tcPr>
          <w:p>
            <w:r>
              <w:t>Cerrar casos resueltos, reportar KPIs a Manager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11. Errores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Error</w:t>
            </w:r>
          </w:p>
        </w:tc>
        <w:tc>
          <w:tcPr>
            <w:tcW w:type="dxa" w:w="4680"/>
          </w:tcPr>
          <w:p>
            <w:r>
              <w:t>Solución</w:t>
            </w:r>
          </w:p>
        </w:tc>
      </w:tr>
      <w:tr>
        <w:tc>
          <w:tcPr>
            <w:tcW w:type="dxa" w:w="4680"/>
          </w:tcPr>
          <w:p>
            <w:r>
              <w:t>Playbook no crea tareas</w:t>
            </w:r>
          </w:p>
        </w:tc>
        <w:tc>
          <w:tcPr>
            <w:tcW w:type="dxa" w:w="4680"/>
          </w:tcPr>
          <w:p>
            <w:r>
              <w:t>Verificar que no existan tareas abiertas del mismo `TaskType`</w:t>
            </w:r>
          </w:p>
        </w:tc>
      </w:tr>
      <w:tr>
        <w:tc>
          <w:tcPr>
            <w:tcW w:type="dxa" w:w="4680"/>
          </w:tcPr>
          <w:p>
            <w:r>
              <w:t>Alias AtRisk no funciona</w:t>
            </w:r>
          </w:p>
        </w:tc>
        <w:tc>
          <w:tcPr>
            <w:tcW w:type="dxa" w:w="4680"/>
          </w:tcPr>
          <w:p>
            <w:r>
              <w:t>Usar `Rescue` o `AtRisk` — ambos normalizan correctamente</w:t>
            </w:r>
          </w:p>
        </w:tc>
      </w:tr>
      <w:tr>
        <w:tc>
          <w:tcPr>
            <w:tcW w:type="dxa" w:w="4680"/>
          </w:tcPr>
          <w:p>
            <w:r>
              <w:t>Cliente sin health score</w:t>
            </w:r>
          </w:p>
        </w:tc>
        <w:tc>
          <w:tcPr>
            <w:tcW w:type="dxa" w:w="4680"/>
          </w:tcPr>
          <w:p>
            <w:r>
              <w:t>Esperar cálculo batch o forzar vía intelligence service</w:t>
            </w:r>
          </w:p>
        </w:tc>
      </w:tr>
      <w:tr>
        <w:tc>
          <w:tcPr>
            <w:tcW w:type="dxa" w:w="4680"/>
          </w:tcPr>
          <w:p>
            <w:r>
              <w:t>0 tareas en resultado</w:t>
            </w:r>
          </w:p>
        </w:tc>
        <w:tc>
          <w:tcPr>
            <w:tcW w:type="dxa" w:w="4680"/>
          </w:tcPr>
          <w:p>
            <w:r>
              <w:t>Playbook ya ejecutado — revisar `/Tasks`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*Documento basado en: CustomerSuccessConstants.cs, CustomerSuccessOsConstants.cs, CustomerPlaybookService.cs, CustomerSuccess.cshtml.cs, RetentionAutomationEngine.cs.*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3. Diagramas de referencia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Diagramas de referencia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Ciclo de vida del Lead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LR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A[Lead: Nuevo] --&gt; B[Contactado]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 C[Calificado]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D[Cliente + Oportunidad borrador]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 E[Pipeline]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E --&gt; F[Cierre ganado]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F --&gt; G[Retención y CS]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aprobación Trust Studio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TD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A[Decisión IA generada] --&gt; B{¿Requiere HITL?}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--&gt;|Sí| C[Trust Inbox]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D{Aprobación Manager/Admin}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--&gt;|Aprobar| E[Ejecutar decisión]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--&gt;|Rechazar| F[Archivar con nota]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--&gt;|No| E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autenticación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sequenceDiagram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U as Usuario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L as Login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A as AutonomusCRM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U-&gt;&gt;L: Credenciales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L-&gt;&gt;A: Cookie/JWT + Roles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A-&gt;&gt;U: Redirección home por rol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4. Glosario corporativo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Glosario corporativo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Término</w:t>
            </w:r>
          </w:p>
        </w:tc>
        <w:tc>
          <w:tcPr>
            <w:tcW w:type="dxa" w:w="4680"/>
          </w:tcPr>
          <w:p>
            <w:r>
              <w:t>Definición</w:t>
            </w:r>
          </w:p>
        </w:tc>
      </w:tr>
      <w:tr>
        <w:tc>
          <w:tcPr>
            <w:tcW w:type="dxa" w:w="4680"/>
          </w:tcPr>
          <w:p>
            <w:r>
              <w:t>**CRM**</w:t>
            </w:r>
          </w:p>
        </w:tc>
        <w:tc>
          <w:tcPr>
            <w:tcW w:type="dxa" w:w="4680"/>
          </w:tcPr>
          <w:p>
            <w:r>
              <w:t>Customer Relationship Management — sistema para registrar y medir relaciones comerciales</w:t>
            </w:r>
          </w:p>
        </w:tc>
      </w:tr>
      <w:tr>
        <w:tc>
          <w:tcPr>
            <w:tcW w:type="dxa" w:w="4680"/>
          </w:tcPr>
          <w:p>
            <w:r>
              <w:t>**Lead**</w:t>
            </w:r>
          </w:p>
        </w:tc>
        <w:tc>
          <w:tcPr>
            <w:tcW w:type="dxa" w:w="4680"/>
          </w:tcPr>
          <w:p>
            <w:r>
              <w:t>Prospecto o contacto potencial; entidad inicial del embudo</w:t>
            </w:r>
          </w:p>
        </w:tc>
      </w:tr>
      <w:tr>
        <w:tc>
          <w:tcPr>
            <w:tcW w:type="dxa" w:w="4680"/>
          </w:tcPr>
          <w:p>
            <w:r>
              <w:t>**Customer**</w:t>
            </w:r>
          </w:p>
        </w:tc>
        <w:tc>
          <w:tcPr>
            <w:tcW w:type="dxa" w:w="4680"/>
          </w:tcPr>
          <w:p>
            <w:r>
              <w:t>Cuenta o cliente en el directorio del tenant</w:t>
            </w:r>
          </w:p>
        </w:tc>
      </w:tr>
      <w:tr>
        <w:tc>
          <w:tcPr>
            <w:tcW w:type="dxa" w:w="4680"/>
          </w:tcPr>
          <w:p>
            <w:r>
              <w:t>**Opportunity / Deal**</w:t>
            </w:r>
          </w:p>
        </w:tc>
        <w:tc>
          <w:tcPr>
            <w:tcW w:type="dxa" w:w="4680"/>
          </w:tcPr>
          <w:p>
            <w:r>
              <w:t>Oportunidad de venta con monto, etapa y probabilidad</w:t>
            </w:r>
          </w:p>
        </w:tc>
      </w:tr>
      <w:tr>
        <w:tc>
          <w:tcPr>
            <w:tcW w:type="dxa" w:w="4680"/>
          </w:tcPr>
          <w:p>
            <w:r>
              <w:t>**Pipeline**</w:t>
            </w:r>
          </w:p>
        </w:tc>
        <w:tc>
          <w:tcPr>
            <w:tcW w:type="dxa" w:w="4680"/>
          </w:tcPr>
          <w:p>
            <w:r>
              <w:t>Conjunto de oportunidades abiertas y sus etapas en `/Deals`</w:t>
            </w:r>
          </w:p>
        </w:tc>
      </w:tr>
      <w:tr>
        <w:tc>
          <w:tcPr>
            <w:tcW w:type="dxa" w:w="4680"/>
          </w:tcPr>
          <w:p>
            <w:r>
              <w:t>**Forecast**</w:t>
            </w:r>
          </w:p>
        </w:tc>
        <w:tc>
          <w:tcPr>
            <w:tcW w:type="dxa" w:w="4680"/>
          </w:tcPr>
          <w:p>
            <w:r>
              <w:t>Proyección ponderada: monto × probabilidad por ventana de cierre</w:t>
            </w:r>
          </w:p>
        </w:tc>
      </w:tr>
      <w:tr>
        <w:tc>
          <w:tcPr>
            <w:tcW w:type="dxa" w:w="4680"/>
          </w:tcPr>
          <w:p>
            <w:r>
              <w:t>**Workflow**</w:t>
            </w:r>
          </w:p>
        </w:tc>
        <w:tc>
          <w:tcPr>
            <w:tcW w:type="dxa" w:w="4680"/>
          </w:tcPr>
          <w:p>
            <w:r>
              <w:t>Automatización configurable: trigger + condiciones + acciones</w:t>
            </w:r>
          </w:p>
        </w:tc>
      </w:tr>
      <w:tr>
        <w:tc>
          <w:tcPr>
            <w:tcW w:type="dxa" w:w="4680"/>
          </w:tcPr>
          <w:p>
            <w:r>
              <w:t>**Tenant**</w:t>
            </w:r>
          </w:p>
        </w:tc>
        <w:tc>
          <w:tcPr>
            <w:tcW w:type="dxa" w:w="4680"/>
          </w:tcPr>
          <w:p>
            <w:r>
              <w:t>Organización aislada; todos los datos pertenecen a un TenantId</w:t>
            </w:r>
          </w:p>
        </w:tc>
      </w:tr>
      <w:tr>
        <w:tc>
          <w:tcPr>
            <w:tcW w:type="dxa" w:w="4680"/>
          </w:tcPr>
          <w:p>
            <w:r>
              <w:t>**Trust Studio**</w:t>
            </w:r>
          </w:p>
        </w:tc>
        <w:tc>
          <w:tcPr>
            <w:tcW w:type="dxa" w:w="4680"/>
          </w:tcPr>
          <w:p>
            <w:r>
              <w:t>Buzón HITL en `/TrustInbox` para aprobar decisiones de IA</w:t>
            </w:r>
          </w:p>
        </w:tc>
      </w:tr>
      <w:tr>
        <w:tc>
          <w:tcPr>
            <w:tcW w:type="dxa" w:w="4680"/>
          </w:tcPr>
          <w:p>
            <w:r>
              <w:t>**Revenue OS**</w:t>
            </w:r>
          </w:p>
        </w:tc>
        <w:tc>
          <w:tcPr>
            <w:tcW w:type="dxa" w:w="4680"/>
          </w:tcPr>
          <w:p>
            <w:r>
              <w:t>Módulo de ingresos en `/revenue` — priorización y fugas</w:t>
            </w:r>
          </w:p>
        </w:tc>
      </w:tr>
      <w:tr>
        <w:tc>
          <w:tcPr>
            <w:tcW w:type="dxa" w:w="4680"/>
          </w:tcPr>
          <w:p>
            <w:r>
              <w:t>**Executive OS**</w:t>
            </w:r>
          </w:p>
        </w:tc>
        <w:tc>
          <w:tcPr>
            <w:tcW w:type="dxa" w:w="4680"/>
          </w:tcPr>
          <w:p>
            <w:r>
              <w:t>Tablero ejecutivo en `/executive`</w:t>
            </w:r>
          </w:p>
        </w:tc>
      </w:tr>
      <w:tr>
        <w:tc>
          <w:tcPr>
            <w:tcW w:type="dxa" w:w="4680"/>
          </w:tcPr>
          <w:p>
            <w:r>
              <w:t>**MFA**</w:t>
            </w:r>
          </w:p>
        </w:tc>
        <w:tc>
          <w:tcPr>
            <w:tcW w:type="dxa" w:w="4680"/>
          </w:tcPr>
          <w:p>
            <w:r>
              <w:t>Autenticación multifactor configurable en Settings</w:t>
            </w:r>
          </w:p>
        </w:tc>
      </w:tr>
      <w:tr>
        <w:tc>
          <w:tcPr>
            <w:tcW w:type="dxa" w:w="4680"/>
          </w:tcPr>
          <w:p>
            <w:r>
              <w:t>**ABAC**</w:t>
            </w:r>
          </w:p>
        </w:tc>
        <w:tc>
          <w:tcPr>
            <w:tcW w:type="dxa" w:w="4680"/>
          </w:tcPr>
          <w:p>
            <w:r>
              <w:t>Attribute-Based Access Control — políticas en `/Policies` (no sustituye RBAC)</w:t>
            </w:r>
          </w:p>
        </w:tc>
      </w:tr>
      <w:tr>
        <w:tc>
          <w:tcPr>
            <w:tcW w:type="dxa" w:w="4680"/>
          </w:tcPr>
          <w:p>
            <w:r>
              <w:t>**Customer Success**</w:t>
            </w:r>
          </w:p>
        </w:tc>
        <w:tc>
          <w:tcPr>
            <w:tcW w:type="dxa" w:w="4680"/>
          </w:tcPr>
          <w:p>
            <w:r>
              <w:t>Módulo post-venta en `/customer-success` (no es un rol)</w:t>
            </w:r>
          </w:p>
        </w:tc>
      </w:tr>
      <w:tr>
        <w:tc>
          <w:tcPr>
            <w:tcW w:type="dxa" w:w="4680"/>
          </w:tcPr>
          <w:p>
            <w:r>
              <w:t>**Churn**</w:t>
            </w:r>
          </w:p>
        </w:tc>
        <w:tc>
          <w:tcPr>
            <w:tcW w:type="dxa" w:w="4680"/>
          </w:tcPr>
          <w:p>
            <w:r>
              <w:t>Abandono del cliente; predicción ML en Customer 360</w:t>
            </w:r>
          </w:p>
        </w:tc>
      </w:tr>
      <w:tr>
        <w:tc>
          <w:tcPr>
            <w:tcW w:type="dxa" w:w="4680"/>
          </w:tcPr>
          <w:p>
            <w:r>
              <w:t>**LTV**</w:t>
            </w:r>
          </w:p>
        </w:tc>
        <w:tc>
          <w:tcPr>
            <w:tcW w:type="dxa" w:w="4680"/>
          </w:tcPr>
          <w:p>
            <w:r>
              <w:t>Lifetime Value — valor acumulado del cliente</w:t>
            </w:r>
          </w:p>
        </w:tc>
      </w:tr>
      <w:tr>
        <w:tc>
          <w:tcPr>
            <w:tcW w:type="dxa" w:w="4680"/>
          </w:tcPr>
          <w:p>
            <w:r>
              <w:t>**Upsell**</w:t>
            </w:r>
          </w:p>
        </w:tc>
        <w:tc>
          <w:tcPr>
            <w:tcW w:type="dxa" w:w="4680"/>
          </w:tcPr>
          <w:p>
            <w:r>
              <w:t>Venta adicional al mismo cliente (expansión)</w:t>
            </w:r>
          </w:p>
        </w:tc>
      </w:tr>
      <w:tr>
        <w:tc>
          <w:tcPr>
            <w:tcW w:type="dxa" w:w="4680"/>
          </w:tcPr>
          <w:p>
            <w:r>
              <w:t>**Cross-Sell**</w:t>
            </w:r>
          </w:p>
        </w:tc>
        <w:tc>
          <w:tcPr>
            <w:tcW w:type="dxa" w:w="4680"/>
          </w:tcPr>
          <w:p>
            <w:r>
              <w:t>Venta de productos complementarios</w:t>
            </w:r>
          </w:p>
        </w:tc>
      </w:tr>
      <w:tr>
        <w:tc>
          <w:tcPr>
            <w:tcW w:type="dxa" w:w="4680"/>
          </w:tcPr>
          <w:p>
            <w:r>
              <w:t>**Playbook**</w:t>
            </w:r>
          </w:p>
        </w:tc>
        <w:tc>
          <w:tcPr>
            <w:tcW w:type="dxa" w:w="4680"/>
          </w:tcPr>
          <w:p>
            <w:r>
              <w:t>Secuencia automatizada: onboarding, rescue, re-engagement</w:t>
            </w:r>
          </w:p>
        </w:tc>
      </w:tr>
      <w:tr>
        <w:tc>
          <w:tcPr>
            <w:tcW w:type="dxa" w:w="4680"/>
          </w:tcPr>
          <w:p>
            <w:r>
              <w:t>**AI Agent**</w:t>
            </w:r>
          </w:p>
        </w:tc>
        <w:tc>
          <w:tcPr>
            <w:tcW w:type="dxa" w:w="4680"/>
          </w:tcPr>
          <w:p>
            <w:r>
              <w:t>Agente autónomo en `/Agents` (LeadIntelligence, Communication, etc.)</w:t>
            </w:r>
          </w:p>
        </w:tc>
      </w:tr>
      <w:tr>
        <w:tc>
          <w:tcPr>
            <w:tcW w:type="dxa" w:w="4680"/>
          </w:tcPr>
          <w:p>
            <w:r>
              <w:t>**Semantic Memory**</w:t>
            </w:r>
          </w:p>
        </w:tc>
        <w:tc>
          <w:tcPr>
            <w:tcW w:type="dxa" w:w="4680"/>
          </w:tcPr>
          <w:p>
            <w:r>
              <w:t>Memoria empresarial en `/Memory`</w:t>
            </w:r>
          </w:p>
        </w:tc>
      </w:tr>
      <w:tr>
        <w:tc>
          <w:tcPr>
            <w:tcW w:type="dxa" w:w="4680"/>
          </w:tcPr>
          <w:p>
            <w:r>
              <w:t>**Outcome Fabric**</w:t>
            </w:r>
          </w:p>
        </w:tc>
        <w:tc>
          <w:tcPr>
            <w:tcW w:type="dxa" w:w="4680"/>
          </w:tcPr>
          <w:p>
            <w:r>
              <w:t>Atribución de resultados en `/command/outcomes`</w:t>
            </w:r>
          </w:p>
        </w:tc>
      </w:tr>
      <w:tr>
        <w:tc>
          <w:tcPr>
            <w:tcW w:type="dxa" w:w="4680"/>
          </w:tcPr>
          <w:p>
            <w:r>
              <w:t>**HITL**</w:t>
            </w:r>
          </w:p>
        </w:tc>
        <w:tc>
          <w:tcPr>
            <w:tcW w:type="dxa" w:w="4680"/>
          </w:tcPr>
          <w:p>
            <w:r>
              <w:t>Human-in-the-Loop — supervisión humana de decisiones IA</w:t>
            </w:r>
          </w:p>
        </w:tc>
      </w:tr>
      <w:tr>
        <w:tc>
          <w:tcPr>
            <w:tcW w:type="dxa" w:w="4680"/>
          </w:tcPr>
          <w:p>
            <w:r>
              <w:t>**SLA**</w:t>
            </w:r>
          </w:p>
        </w:tc>
        <w:tc>
          <w:tcPr>
            <w:tcW w:type="dxa" w:w="4680"/>
          </w:tcPr>
          <w:p>
            <w:r>
              <w:t>Acuerdo de nivel de servicio (ej. contacto lead en 24 h)</w:t>
            </w:r>
          </w:p>
        </w:tc>
      </w:tr>
      <w:tr>
        <w:tc>
          <w:tcPr>
            <w:tcW w:type="dxa" w:w="4680"/>
          </w:tcPr>
          <w:p>
            <w:r>
              <w:t>**DLQ**</w:t>
            </w:r>
          </w:p>
        </w:tc>
        <w:tc>
          <w:tcPr>
            <w:tcW w:type="dxa" w:w="4680"/>
          </w:tcPr>
          <w:p>
            <w:r>
              <w:t>Dead Letter Queue — eventos fallidos en `/FailedEvents`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5. Apéndices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 Referencias cruzadas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Documento</w:t>
            </w:r>
          </w:p>
        </w:tc>
        <w:tc>
          <w:tcPr>
            <w:tcW w:type="dxa" w:w="4680"/>
          </w:tcPr>
          <w:p>
            <w:r>
              <w:t>Ubicación</w:t>
            </w:r>
          </w:p>
        </w:tc>
      </w:tr>
      <w:tr>
        <w:tc>
          <w:tcPr>
            <w:tcW w:type="dxa" w:w="4680"/>
          </w:tcPr>
          <w:p>
            <w:r>
              <w:t>Matriz de permisos</w:t>
            </w:r>
          </w:p>
        </w:tc>
        <w:tc>
          <w:tcPr>
            <w:tcW w:type="dxa" w:w="4680"/>
          </w:tcPr>
          <w:p>
            <w:r>
              <w:t>`Documentation/ROLE_PERMISSION_MATRIX.md`</w:t>
            </w:r>
          </w:p>
        </w:tc>
      </w:tr>
      <w:tr>
        <w:tc>
          <w:tcPr>
            <w:tcW w:type="dxa" w:w="4680"/>
          </w:tcPr>
          <w:p>
            <w:r>
              <w:t>Descubrimiento de roles</w:t>
            </w:r>
          </w:p>
        </w:tc>
        <w:tc>
          <w:tcPr>
            <w:tcW w:type="dxa" w:w="4680"/>
          </w:tcPr>
          <w:p>
            <w:r>
              <w:t>`Documentation/ROLE_DISCOVERY_REPORT.md`</w:t>
            </w:r>
          </w:p>
        </w:tc>
      </w:tr>
      <w:tr>
        <w:tc>
          <w:tcPr>
            <w:tcW w:type="dxa" w:w="4680"/>
          </w:tcPr>
          <w:p>
            <w:r>
              <w:t>Manual maestro</w:t>
            </w:r>
          </w:p>
        </w:tc>
        <w:tc>
          <w:tcPr>
            <w:tcW w:type="dxa" w:w="4680"/>
          </w:tcPr>
          <w:p>
            <w:r>
              <w:t>`docs/manual-empresarial-autonomuscrm/`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5.2 Pie de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Producto</w:t>
            </w:r>
          </w:p>
        </w:tc>
        <w:tc>
          <w:tcPr>
            <w:tcW w:type="dxa" w:w="4680"/>
          </w:tcPr>
          <w:p>
            <w:r>
              <w:t>AutonomusCRM</w:t>
            </w:r>
          </w:p>
        </w:tc>
      </w:tr>
      <w:tr>
        <w:tc>
          <w:tcPr>
            <w:tcW w:type="dxa" w:w="4680"/>
          </w:tcPr>
          <w:p>
            <w:r>
              <w:t>Versión documento</w:t>
            </w:r>
          </w:p>
        </w:tc>
        <w:tc>
          <w:tcPr>
            <w:tcW w:type="dxa" w:w="4680"/>
          </w:tcPr>
          <w:p>
            <w:r>
              <w:t>2.0.0</w:t>
            </w:r>
          </w:p>
        </w:tc>
      </w:tr>
      <w:tr>
        <w:tc>
          <w:tcPr>
            <w:tcW w:type="dxa" w:w="4680"/>
          </w:tcPr>
          <w:p>
            <w:r>
              <w:t>Clasificación</w:t>
            </w:r>
          </w:p>
        </w:tc>
        <w:tc>
          <w:tcPr>
            <w:tcW w:type="dxa" w:w="4680"/>
          </w:tcPr>
          <w:p>
            <w:r>
              <w:t>Confidencial — Uso interno y clientes autorizados</w:t>
            </w:r>
          </w:p>
        </w:tc>
      </w:tr>
      <w:tr>
        <w:tc>
          <w:tcPr>
            <w:tcW w:type="dxa" w:w="4680"/>
          </w:tcPr>
          <w:p>
            <w:r>
              <w:t>Fuente</w:t>
            </w:r>
          </w:p>
        </w:tc>
        <w:tc>
          <w:tcPr>
            <w:tcW w:type="dxa" w:w="4680"/>
          </w:tcPr>
          <w:p>
            <w:r>
              <w:t>Código verificado — sin funcionalidades inventadas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*© AutonomusCRM — Documentación Enterprise. Listo para impresión PDF y capacitación corporativa.*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sz w:val="16"/>
      </w:rPr>
      <w:t xml:space="preserve">CUSTOMER SUCCESS PLAYBOOK  |  v2.0.0  |  Confidencial — Uso interno y clientes autorizados  | 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egoe UI" w:hAnsi="Segoe UI" w:eastAsia="Segoe UI"/>
        <w:b/>
        <w:color w:val="0078D4"/>
        <w:sz w:val="18"/>
      </w:rPr>
      <w:t>AutonomusCRM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