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document-class: corporate-enterprise</w:t>
      </w:r>
    </w:p>
    <w:p>
      <w:r>
        <w:rPr>
          <w:rFonts w:ascii="Segoe UI" w:hAnsi="Segoe UI" w:eastAsia="Segoe UI"/>
          <w:b w:val="0"/>
          <w:sz w:val="22"/>
        </w:rPr>
        <w:t>font-family: Segoe UI</w:t>
      </w:r>
    </w:p>
    <w:p>
      <w:r>
        <w:rPr>
          <w:rFonts w:ascii="Segoe UI" w:hAnsi="Segoe UI" w:eastAsia="Segoe UI"/>
          <w:b w:val="0"/>
          <w:sz w:val="22"/>
        </w:rPr>
        <w:t>body-size: 11pt</w:t>
      </w:r>
    </w:p>
    <w:p>
      <w:r>
        <w:rPr>
          <w:rFonts w:ascii="Segoe UI" w:hAnsi="Segoe UI" w:eastAsia="Segoe UI"/>
          <w:b w:val="0"/>
          <w:sz w:val="22"/>
        </w:rPr>
        <w:t>heading-1: 20pt</w:t>
      </w:r>
    </w:p>
    <w:p>
      <w:r>
        <w:rPr>
          <w:rFonts w:ascii="Segoe UI" w:hAnsi="Segoe UI" w:eastAsia="Segoe UI"/>
          <w:b w:val="0"/>
          <w:sz w:val="22"/>
        </w:rPr>
        <w:t>heading-2: 16pt</w:t>
      </w:r>
    </w:p>
    <w:p>
      <w:r>
        <w:rPr>
          <w:rFonts w:ascii="Segoe UI" w:hAnsi="Segoe UI" w:eastAsia="Segoe UI"/>
          <w:b w:val="0"/>
          <w:sz w:val="22"/>
        </w:rPr>
        <w:t>heading-3: 14pt</w:t>
      </w:r>
    </w:p>
    <w:p>
      <w:r>
        <w:rPr>
          <w:rFonts w:ascii="Segoe UI" w:hAnsi="Segoe UI" w:eastAsia="Segoe UI"/>
          <w:b w:val="0"/>
          <w:sz w:val="22"/>
        </w:rPr>
        <w:t>classification: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&lt;div align="center"&gt;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AutonomusCRM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Guía de Operaciones — Soporte</w:t>
      </w:r>
    </w:p>
    <w:p>
      <w:r>
        <w:rPr>
          <w:rFonts w:ascii="Segoe UI" w:hAnsi="Segoe UI" w:eastAsia="Segoe UI"/>
          <w:b w:val="0"/>
          <w:sz w:val="22"/>
        </w:rPr>
        <w:t>Versión: 2.0.0</w:t>
      </w:r>
    </w:p>
    <w:p>
      <w:r>
        <w:rPr>
          <w:rFonts w:ascii="Segoe UI" w:hAnsi="Segoe UI" w:eastAsia="Segoe UI"/>
          <w:b w:val="0"/>
          <w:sz w:val="22"/>
        </w:rPr>
        <w:t>Fecha de publicación: 5 de junio de 2026</w:t>
      </w:r>
    </w:p>
    <w:p>
      <w:r>
        <w:rPr>
          <w:rFonts w:ascii="Segoe UI" w:hAnsi="Segoe UI" w:eastAsia="Segoe UI"/>
          <w:b w:val="0"/>
          <w:sz w:val="22"/>
        </w:rPr>
        <w:t>Autor: AutonomusCRM Enterprise Documentation Team</w:t>
      </w:r>
    </w:p>
    <w:p>
      <w:r>
        <w:rPr>
          <w:rFonts w:ascii="Segoe UI" w:hAnsi="Segoe UI" w:eastAsia="Segoe UI"/>
          <w:b w:val="0"/>
          <w:sz w:val="22"/>
        </w:rPr>
        <w:t>Rol objetivo: Support</w:t>
      </w:r>
    </w:p>
    <w:p>
      <w:r>
        <w:rPr>
          <w:rFonts w:ascii="Segoe UI" w:hAnsi="Segoe UI" w:eastAsia="Segoe UI"/>
          <w:b w:val="0"/>
          <w:sz w:val="22"/>
        </w:rPr>
        <w:t>Clasificación: Confidencial — Uso interno y clientes autorizados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*Documentación corporativa — Estándar Salesforce / Microsoft Dynamics 365*</w:t>
      </w:r>
    </w:p>
    <w:p>
      <w:r>
        <w:rPr>
          <w:rFonts w:ascii="Segoe UI" w:hAnsi="Segoe UI" w:eastAsia="Segoe UI"/>
          <w:b w:val="0"/>
          <w:sz w:val="22"/>
        </w:rPr>
        <w:t>&lt;/div&gt;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Versión</w:t>
            </w:r>
          </w:p>
        </w:tc>
        <w:tc>
          <w:tcPr>
            <w:tcW w:type="dxa" w:w="2340"/>
          </w:tcPr>
          <w:p>
            <w:r>
              <w:t>Fecha</w:t>
            </w:r>
          </w:p>
        </w:tc>
        <w:tc>
          <w:tcPr>
            <w:tcW w:type="dxa" w:w="2340"/>
          </w:tcPr>
          <w:p>
            <w:r>
              <w:t>Autor</w:t>
            </w:r>
          </w:p>
        </w:tc>
        <w:tc>
          <w:tcPr>
            <w:tcW w:type="dxa" w:w="2340"/>
          </w:tcPr>
          <w:p>
            <w:r>
              <w:t>Descripción</w:t>
            </w:r>
          </w:p>
        </w:tc>
      </w:tr>
      <w:tr>
        <w:tc>
          <w:tcPr>
            <w:tcW w:type="dxa" w:w="2340"/>
          </w:tcPr>
          <w:p>
            <w:r>
              <w:t>1.0.0</w:t>
            </w:r>
          </w:p>
        </w:tc>
        <w:tc>
          <w:tcPr>
            <w:tcW w:type="dxa" w:w="2340"/>
          </w:tcPr>
          <w:p>
            <w:r>
              <w:t>2026-06-05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Publicación inicial basada en código</w:t>
            </w:r>
          </w:p>
        </w:tc>
      </w:tr>
      <w:tr>
        <w:tc>
          <w:tcPr>
            <w:tcW w:type="dxa" w:w="2340"/>
          </w:tcPr>
          <w:p>
            <w:r>
              <w:t>2.0.0</w:t>
            </w:r>
          </w:p>
        </w:tc>
        <w:tc>
          <w:tcPr>
            <w:tcW w:type="dxa" w:w="2340"/>
          </w:tcPr>
          <w:p>
            <w:r>
              <w:t>5 de junio de 2026</w:t>
            </w:r>
          </w:p>
        </w:tc>
        <w:tc>
          <w:tcPr>
            <w:tcW w:type="dxa" w:w="2340"/>
          </w:tcPr>
          <w:p>
            <w:r>
              <w:t>Enterprise Documentation Team</w:t>
            </w:r>
          </w:p>
        </w:tc>
        <w:tc>
          <w:tcPr>
            <w:tcW w:type="dxa" w:w="2340"/>
          </w:tcPr>
          <w:p>
            <w:r>
              <w:t>Transformación corporativa: estructura, diagramas, callouts, glosario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Tabla de contenido</w:t>
      </w:r>
    </w:p>
    <w:p>
      <w:r>
        <w:rPr>
          <w:rFonts w:ascii="Segoe UI" w:hAnsi="Segoe UI" w:eastAsia="Segoe UI"/>
          <w:b w:val="0"/>
          <w:sz w:val="22"/>
        </w:rPr>
        <w:t>*Índice generado automáticamente — ver encabezados numerados del documento.*</w:t>
      </w:r>
    </w:p>
    <w:p>
      <w:r>
        <w:rPr>
          <w:rFonts w:ascii="Segoe UI" w:hAnsi="Segoe UI" w:eastAsia="Segoe UI"/>
          <w:b w:val="0"/>
          <w:sz w:val="22"/>
        </w:rPr>
        <w:t>1. Introducción</w:t>
      </w:r>
    </w:p>
    <w:p>
      <w:r>
        <w:rPr>
          <w:rFonts w:ascii="Segoe UI" w:hAnsi="Segoe UI" w:eastAsia="Segoe UI"/>
          <w:b w:val="0"/>
          <w:sz w:val="22"/>
        </w:rPr>
        <w:t>2. Cuerpo del documento (capítulos originales transformados)</w:t>
      </w:r>
    </w:p>
    <w:p>
      <w:r>
        <w:rPr>
          <w:rFonts w:ascii="Segoe UI" w:hAnsi="Segoe UI" w:eastAsia="Segoe UI"/>
          <w:b w:val="0"/>
          <w:sz w:val="22"/>
        </w:rPr>
        <w:t>3. Diagramas de referencia</w:t>
      </w:r>
    </w:p>
    <w:p>
      <w:r>
        <w:rPr>
          <w:rFonts w:ascii="Segoe UI" w:hAnsi="Segoe UI" w:eastAsia="Segoe UI"/>
          <w:b w:val="0"/>
          <w:sz w:val="22"/>
        </w:rPr>
        <w:t>4. Glosario corporativo</w:t>
      </w:r>
    </w:p>
    <w:p>
      <w:r>
        <w:rPr>
          <w:rFonts w:ascii="Segoe UI" w:hAnsi="Segoe UI" w:eastAsia="Segoe UI"/>
          <w:b w:val="0"/>
          <w:sz w:val="22"/>
        </w:rPr>
        <w:t>5. Apéndices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Introducción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1.1 Objetivo del documento</w:t>
      </w:r>
    </w:p>
    <w:p>
      <w:r>
        <w:rPr>
          <w:rFonts w:ascii="Segoe UI" w:hAnsi="Segoe UI" w:eastAsia="Segoe UI"/>
          <w:b w:val="0"/>
          <w:sz w:val="22"/>
        </w:rPr>
        <w:t>Casos, escalamiento, SLAs y Customer 360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1.2 Audiencia</w:t>
      </w:r>
    </w:p>
    <w:p>
      <w:r>
        <w:rPr>
          <w:rFonts w:ascii="Segoe UI" w:hAnsi="Segoe UI" w:eastAsia="Segoe UI"/>
          <w:b w:val="0"/>
          <w:sz w:val="22"/>
        </w:rPr>
        <w:t>Equipo de soporte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1.3 Alcance</w:t>
      </w:r>
    </w:p>
    <w:p>
      <w:r>
        <w:rPr>
          <w:rFonts w:ascii="Segoe UI" w:hAnsi="Segoe UI" w:eastAsia="Segoe UI"/>
          <w:b w:val="0"/>
          <w:sz w:val="22"/>
        </w:rPr>
        <w:t>Este documento cubre únicamente funcionalidades verificadas en el código fuente de AutonomusCRM. No describe módulos inexistentes ni roles no implementados.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1.4 Prerrequisitos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Requisito</w:t>
            </w:r>
          </w:p>
        </w:tc>
        <w:tc>
          <w:tcPr>
            <w:tcW w:type="dxa" w:w="4680"/>
          </w:tcPr>
          <w:p>
            <w:r>
              <w:t>Detalle</w:t>
            </w:r>
          </w:p>
        </w:tc>
      </w:tr>
      <w:tr>
        <w:tc>
          <w:tcPr>
            <w:tcW w:type="dxa" w:w="4680"/>
          </w:tcPr>
          <w:p>
            <w:r>
              <w:t>Acceso</w:t>
            </w:r>
          </w:p>
        </w:tc>
        <w:tc>
          <w:tcPr>
            <w:tcW w:type="dxa" w:w="4680"/>
          </w:tcPr>
          <w:p>
            <w:r>
              <w:t>Cuenta activa en el tenant AutonomusCRM</w:t>
            </w:r>
          </w:p>
        </w:tc>
      </w:tr>
      <w:tr>
        <w:tc>
          <w:tcPr>
            <w:tcW w:type="dxa" w:w="4680"/>
          </w:tcPr>
          <w:p>
            <w:r>
              <w:t>Navegador</w:t>
            </w:r>
          </w:p>
        </w:tc>
        <w:tc>
          <w:tcPr>
            <w:tcW w:type="dxa" w:w="4680"/>
          </w:tcPr>
          <w:p>
            <w:r>
              <w:t>Chrome, Edge o Firefox actualizado</w:t>
            </w:r>
          </w:p>
        </w:tc>
      </w:tr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Según matriz en `ROLE_PERMISSION_MATRIX.md`</w:t>
            </w:r>
          </w:p>
        </w:tc>
      </w:tr>
      <w:tr>
        <w:tc>
          <w:tcPr>
            <w:tcW w:type="dxa" w:w="4680"/>
          </w:tcPr>
          <w:p>
            <w:r>
              <w:t>Conocimientos</w:t>
            </w:r>
          </w:p>
        </w:tc>
        <w:tc>
          <w:tcPr>
            <w:tcW w:type="dxa" w:w="4680"/>
          </w:tcPr>
          <w:p>
            <w:r>
              <w:t>Ninguno técnico requerido para roles operativos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1.5 Definiciones clave</w:t>
      </w:r>
    </w:p>
    <w:p>
      <w:r>
        <w:rPr>
          <w:rFonts w:ascii="Segoe UI" w:hAnsi="Segoe UI" w:eastAsia="Segoe UI"/>
          <w:b w:val="0"/>
          <w:sz w:val="22"/>
        </w:rPr>
        <w:t>Consulte el Glosario corporativo al final del documento. Términos críticos: Lead, Customer, Deal, Pipeline, Tenant, Revenue OS.</w:t>
      </w:r>
    </w:p>
    <w:p>
      <w:pPr>
        <w:ind w:left="360"/>
      </w:pPr>
      <w:r>
        <w:rPr>
          <w:rFonts w:ascii="Segoe UI" w:hAnsi="Segoe UI" w:eastAsia="Segoe UI"/>
          <w:b w:val="0"/>
          <w:sz w:val="22"/>
        </w:rPr>
        <w:t>**NOTA:** La interfaz admite español (ES) e inglés (EN). Las rutas técnicas (`/Leads`, `/Deals`) se conservan por trazabilidad al producto.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Pantalla de inicio de sesión — /Account/Login]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Cuerpo del documento</w:t>
      </w:r>
    </w:p>
    <w:p>
      <w:pPr>
        <w:pStyle w:val="Title"/>
      </w:pPr>
      <w:r>
        <w:rPr>
          <w:rFonts w:ascii="Segoe UI" w:hAnsi="Segoe UI" w:eastAsia="Segoe UI"/>
          <w:b/>
          <w:color w:val="0078D4"/>
          <w:sz w:val="40"/>
        </w:rPr>
        <w:t>Guía de Operaciones de Soporte — AutonomusCRM</w:t>
      </w:r>
    </w:p>
    <w:p>
      <w:r>
        <w:rPr>
          <w:rFonts w:ascii="Segoe UI" w:hAnsi="Segoe UI" w:eastAsia="Segoe UI"/>
          <w:b w:val="0"/>
          <w:sz w:val="22"/>
        </w:rPr>
        <w:t>Audiencia: Equipo de soporte al cliente (Support)</w:t>
      </w:r>
    </w:p>
    <w:p>
      <w:r>
        <w:rPr>
          <w:rFonts w:ascii="Segoe UI" w:hAnsi="Segoe UI" w:eastAsia="Segoe UI"/>
          <w:b w:val="0"/>
          <w:sz w:val="22"/>
        </w:rPr>
        <w:t>Perfil demo: support@autonomuscrm.local / Support123!</w:t>
      </w:r>
    </w:p>
    <w:p>
      <w:r>
        <w:rPr>
          <w:rFonts w:ascii="Segoe UI" w:hAnsi="Segoe UI" w:eastAsia="Segoe UI"/>
          <w:b w:val="0"/>
          <w:sz w:val="22"/>
        </w:rPr>
        <w:t>Home post-login: /Customer360</w:t>
      </w:r>
    </w:p>
    <w:p>
      <w:r>
        <w:rPr>
          <w:rFonts w:ascii="Segoe UI" w:hAnsi="Segoe UI" w:eastAsia="Segoe UI"/>
          <w:b w:val="0"/>
          <w:sz w:val="22"/>
        </w:rPr>
        <w:t>Módulo principal: /customer-success (Customer Success OS)</w:t>
      </w:r>
    </w:p>
    <w:p>
      <w:pPr>
        <w:jc w:val="center"/>
      </w:pPr>
      <w:r>
        <w:rPr>
          <w:rFonts w:ascii="Segoe UI" w:hAnsi="Segoe UI" w:eastAsia="Segoe UI"/>
          <w:b/>
          <w:color w:val="808080"/>
          <w:sz w:val="20"/>
        </w:rPr>
        <w:t>[CAPTURA: Customer Success OS — /customer-success]</w:t>
      </w:r>
    </w:p>
    <w:p>
      <w:pPr>
        <w:jc w:val="center"/>
      </w:pPr>
      <w:r>
        <w:rPr>
          <w:rFonts w:ascii="Segoe UI" w:hAnsi="Segoe UI" w:eastAsia="Segoe UI"/>
          <w:b w:val="0"/>
          <w:color w:val="B4B4B4"/>
          <w:sz w:val="18"/>
        </w:rPr>
        <w:t>┌─────────────────────────────────────────┐</w:t>
        <w:br/>
        <w:t>│  Espacio reservado para captura        │</w:t>
        <w:br/>
        <w:t>└─────────────────────────────────────────┘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1. Rol Support en el sistema</w:t>
      </w:r>
    </w:p>
    <w:p>
      <w:r>
        <w:rPr>
          <w:rFonts w:ascii="Segoe UI" w:hAnsi="Segoe UI" w:eastAsia="Segoe UI"/>
          <w:b w:val="0"/>
          <w:sz w:val="22"/>
        </w:rPr>
        <w:t>Support es un rol de sistema con acceso autenticado completo de lectura y capacidades de post-venta. No puede escribir en módulos comerciales (Leads, Customers, Deals) vía UI — el middleware control de escritura comercial del sistema redirige a /Account/AccessDenied en intentos de POST o acceso a /Create y /Edit comerciales.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Capacidad</w:t>
            </w:r>
          </w:p>
        </w:tc>
        <w:tc>
          <w:tcPr>
            <w:tcW w:type="dxa" w:w="4680"/>
          </w:tcPr>
          <w:p>
            <w:r>
              <w:t>Support</w:t>
            </w:r>
          </w:p>
        </w:tc>
      </w:tr>
      <w:tr>
        <w:tc>
          <w:tcPr>
            <w:tcW w:type="dxa" w:w="4680"/>
          </w:tcPr>
          <w:p>
            <w:r>
              <w:t>Customer 360 (`/Customer360`)</w:t>
            </w:r>
          </w:p>
        </w:tc>
        <w:tc>
          <w:tcPr>
            <w:tcW w:type="dxa" w:w="4680"/>
          </w:tcPr>
          <w:p>
            <w:r>
              <w:t>✅</w:t>
            </w:r>
          </w:p>
        </w:tc>
      </w:tr>
      <w:tr>
        <w:tc>
          <w:tcPr>
            <w:tcW w:type="dxa" w:w="4680"/>
          </w:tcPr>
          <w:p>
            <w:r>
              <w:t>Customer Success (`/customer-success`)</w:t>
            </w:r>
          </w:p>
        </w:tc>
        <w:tc>
          <w:tcPr>
            <w:tcW w:type="dxa" w:w="4680"/>
          </w:tcPr>
          <w:p>
            <w:r>
              <w:t>✅</w:t>
            </w:r>
          </w:p>
        </w:tc>
      </w:tr>
      <w:tr>
        <w:tc>
          <w:tcPr>
            <w:tcW w:type="dxa" w:w="4680"/>
          </w:tcPr>
          <w:p>
            <w:r>
              <w:t>Directorio clientes (`/Customers`) lectura</w:t>
            </w:r>
          </w:p>
        </w:tc>
        <w:tc>
          <w:tcPr>
            <w:tcW w:type="dxa" w:w="4680"/>
          </w:tcPr>
          <w:p>
            <w:r>
              <w:t>✅</w:t>
            </w:r>
          </w:p>
        </w:tc>
      </w:tr>
      <w:tr>
        <w:tc>
          <w:tcPr>
            <w:tcW w:type="dxa" w:w="4680"/>
          </w:tcPr>
          <w:p>
            <w:r>
              <w:t>Leads / Deals lectura</w:t>
            </w:r>
          </w:p>
        </w:tc>
        <w:tc>
          <w:tcPr>
            <w:tcW w:type="dxa" w:w="4680"/>
          </w:tcPr>
          <w:p>
            <w:r>
              <w:t>✅</w:t>
            </w:r>
          </w:p>
        </w:tc>
      </w:tr>
      <w:tr>
        <w:tc>
          <w:tcPr>
            <w:tcW w:type="dxa" w:w="4680"/>
          </w:tcPr>
          <w:p>
            <w:r>
              <w:t>Crear/editar Leads, Customers, Deals</w:t>
            </w:r>
          </w:p>
        </w:tc>
        <w:tc>
          <w:tcPr>
            <w:tcW w:type="dxa" w:w="4680"/>
          </w:tcPr>
          <w:p>
            <w:r>
              <w:t>❌</w:t>
            </w:r>
          </w:p>
        </w:tc>
      </w:tr>
      <w:tr>
        <w:tc>
          <w:tcPr>
            <w:tcW w:type="dxa" w:w="4680"/>
          </w:tcPr>
          <w:p>
            <w:r>
              <w:t>Usuarios / Settings</w:t>
            </w:r>
          </w:p>
        </w:tc>
        <w:tc>
          <w:tcPr>
            <w:tcW w:type="dxa" w:w="4680"/>
          </w:tcPr>
          <w:p>
            <w:r>
              <w:t>❌</w:t>
            </w:r>
          </w:p>
        </w:tc>
      </w:tr>
      <w:tr>
        <w:tc>
          <w:tcPr>
            <w:tcW w:type="dxa" w:w="4680"/>
          </w:tcPr>
          <w:p>
            <w:r>
              <w:t>Trust Studio</w:t>
            </w:r>
          </w:p>
        </w:tc>
        <w:tc>
          <w:tcPr>
            <w:tcW w:type="dxa" w:w="4680"/>
          </w:tcPr>
          <w:p>
            <w:r>
              <w:t>❌ (típico Admin/Manager)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&gt; &gt; NOTA La ruta /Support redirige automáticamente a /customer-success.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2. Customer 360 — vista unificada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2.1 Búsqueda global</w:t>
      </w:r>
    </w:p>
    <w:p>
      <w:r>
        <w:rPr>
          <w:rFonts w:ascii="Segoe UI" w:hAnsi="Segoe UI" w:eastAsia="Segoe UI"/>
          <w:b w:val="0"/>
          <w:sz w:val="22"/>
        </w:rPr>
        <w:t>Ruta: /Customer360</w:t>
      </w:r>
    </w:p>
    <w:p>
      <w:r>
        <w:rPr>
          <w:rFonts w:ascii="Segoe UI" w:hAnsi="Segoe UI" w:eastAsia="Segoe UI"/>
          <w:b w:val="0"/>
          <w:sz w:val="22"/>
        </w:rPr>
        <w:t>Servicio: ICustomer360Service.SearchAsync</w:t>
      </w:r>
    </w:p>
    <w:p>
      <w:r>
        <w:rPr>
          <w:rFonts w:ascii="Segoe UI" w:hAnsi="Segoe UI" w:eastAsia="Segoe UI"/>
          <w:b w:val="0"/>
          <w:sz w:val="22"/>
        </w:rPr>
        <w:t>1. Ingresar nombre, email o identificador en el campo de búsqueda (Q).</w:t>
      </w:r>
    </w:p>
    <w:p>
      <w:r>
        <w:rPr>
          <w:rFonts w:ascii="Segoe UI" w:hAnsi="Segoe UI" w:eastAsia="Segoe UI"/>
          <w:b w:val="0"/>
          <w:sz w:val="22"/>
        </w:rPr>
        <w:t>2. Resultados limitados a 25 registros por consulta.</w:t>
      </w:r>
    </w:p>
    <w:p>
      <w:r>
        <w:rPr>
          <w:rFonts w:ascii="Segoe UI" w:hAnsi="Segoe UI" w:eastAsia="Segoe UI"/>
          <w:b w:val="0"/>
          <w:sz w:val="22"/>
        </w:rPr>
        <w:t>3. Clic en cliente → /customers/{id}/360 para vista detallada.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2.2 Vista 360 individual</w:t>
      </w:r>
    </w:p>
    <w:p>
      <w:r>
        <w:rPr>
          <w:rFonts w:ascii="Segoe UI" w:hAnsi="Segoe UI" w:eastAsia="Segoe UI"/>
          <w:b w:val="0"/>
          <w:sz w:val="22"/>
        </w:rPr>
        <w:t>Ruta: /customers/{id}/360</w:t>
      </w:r>
    </w:p>
    <w:p>
      <w:r>
        <w:rPr>
          <w:rFonts w:ascii="Segoe UI" w:hAnsi="Segoe UI" w:eastAsia="Segoe UI"/>
          <w:b w:val="0"/>
          <w:sz w:val="22"/>
        </w:rPr>
        <w:t>Servicio: Customer360EnterpriseService</w:t>
      </w:r>
    </w:p>
    <w:p>
      <w:r>
        <w:rPr>
          <w:rFonts w:ascii="Segoe UI" w:hAnsi="Segoe UI" w:eastAsia="Segoe UI"/>
          <w:b w:val="0"/>
          <w:sz w:val="22"/>
        </w:rPr>
        <w:t>Paneles disponibles:</w:t>
      </w:r>
    </w:p>
    <w:p>
      <w:r>
        <w:rPr>
          <w:rFonts w:ascii="Segoe UI" w:hAnsi="Segoe UI" w:eastAsia="Segoe UI"/>
          <w:b w:val="0"/>
          <w:sz w:val="22"/>
        </w:rPr>
        <w:t>- Datos del cliente y historial comercial.</w:t>
      </w:r>
    </w:p>
    <w:p>
      <w:r>
        <w:rPr>
          <w:rFonts w:ascii="Segoe UI" w:hAnsi="Segoe UI" w:eastAsia="Segoe UI"/>
          <w:b w:val="0"/>
          <w:sz w:val="22"/>
        </w:rPr>
        <w:t>- Deals asociados y estado del pipeline.</w:t>
      </w:r>
    </w:p>
    <w:p>
      <w:r>
        <w:rPr>
          <w:rFonts w:ascii="Segoe UI" w:hAnsi="Segoe UI" w:eastAsia="Segoe UI"/>
          <w:b w:val="0"/>
          <w:sz w:val="22"/>
        </w:rPr>
        <w:t>- Panel CS (Customer360CsPanelDto): tickets abiertos, cerrados y casos activos.</w:t>
      </w:r>
    </w:p>
    <w:p>
      <w:r>
        <w:rPr>
          <w:rFonts w:ascii="Segoe UI" w:hAnsi="Segoe UI" w:eastAsia="Segoe UI"/>
          <w:b w:val="0"/>
          <w:sz w:val="22"/>
        </w:rPr>
        <w:t>- Señales de churn y health score.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2.3 Duplicados de identidad</w:t>
      </w:r>
    </w:p>
    <w:p>
      <w:r>
        <w:rPr>
          <w:rFonts w:ascii="Segoe UI" w:hAnsi="Segoe UI" w:eastAsia="Segoe UI"/>
          <w:b w:val="0"/>
          <w:sz w:val="22"/>
        </w:rPr>
        <w:t>IIdentityResolutionService.FindDuplicatesByEmailAsync detecta clientes con email duplicado. Escalar a Admin/Manager para consolidación — Support no puede fusionar registros vía UI.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Tickets de soporte (Customer Success OS)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3.1 Modelo de tickets</w:t>
      </w:r>
    </w:p>
    <w:p>
      <w:r>
        <w:rPr>
          <w:rFonts w:ascii="Segoe UI" w:hAnsi="Segoe UI" w:eastAsia="Segoe UI"/>
          <w:b w:val="0"/>
          <w:sz w:val="22"/>
        </w:rPr>
        <w:t>Los tickets son WorkflowTasks con TaskType = CS_Ticket (CustomerSuccessOsConstants.Ticket).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 típico</w:t>
            </w:r>
          </w:p>
        </w:tc>
      </w:tr>
      <w:tr>
        <w:tc>
          <w:tcPr>
            <w:tcW w:type="dxa" w:w="4680"/>
          </w:tcPr>
          <w:p>
            <w:r>
              <w:t>Vencimiento</w:t>
            </w:r>
          </w:p>
        </w:tc>
        <w:tc>
          <w:tcPr>
            <w:tcW w:type="dxa" w:w="4680"/>
          </w:tcPr>
          <w:p>
            <w:r>
              <w:t>3 días desde creación</w:t>
            </w:r>
          </w:p>
        </w:tc>
      </w:tr>
      <w:tr>
        <w:tc>
          <w:tcPr>
            <w:tcW w:type="dxa" w:w="4680"/>
          </w:tcPr>
          <w:p>
            <w:r>
              <w:t>Prioridad</w:t>
            </w:r>
          </w:p>
        </w:tc>
        <w:tc>
          <w:tcPr>
            <w:tcW w:type="dxa" w:w="4680"/>
          </w:tcPr>
          <w:p>
            <w:r>
              <w:t>Normal (default), High, Urgent</w:t>
            </w:r>
          </w:p>
        </w:tc>
      </w:tr>
      <w:tr>
        <w:tc>
          <w:tcPr>
            <w:tcW w:type="dxa" w:w="4680"/>
          </w:tcPr>
          <w:p>
            <w:r>
              <w:t>Entidad relacionada</w:t>
            </w:r>
          </w:p>
        </w:tc>
        <w:tc>
          <w:tcPr>
            <w:tcW w:type="dxa" w:w="4680"/>
          </w:tcPr>
          <w:p>
            <w:r>
              <w:t>Customer (`RelatedEntityType = Customer`)</w:t>
            </w:r>
          </w:p>
        </w:tc>
      </w:tr>
      <w:tr>
        <w:tc>
          <w:tcPr>
            <w:tcW w:type="dxa" w:w="4680"/>
          </w:tcPr>
          <w:p>
            <w:r>
              <w:t>Estado</w:t>
            </w:r>
          </w:p>
        </w:tc>
        <w:tc>
          <w:tcPr>
            <w:tcW w:type="dxa" w:w="4680"/>
          </w:tcPr>
          <w:p>
            <w:r>
              <w:t>Open → Completed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3.2 Crear ticket</w:t>
      </w:r>
    </w:p>
    <w:p>
      <w:r>
        <w:rPr>
          <w:rFonts w:ascii="Segoe UI" w:hAnsi="Segoe UI" w:eastAsia="Segoe UI"/>
          <w:b w:val="0"/>
          <w:sz w:val="22"/>
        </w:rPr>
        <w:t>Ruta: /customer-success</w:t>
      </w:r>
    </w:p>
    <w:p>
      <w:r>
        <w:rPr>
          <w:rFonts w:ascii="Segoe UI" w:hAnsi="Segoe UI" w:eastAsia="Segoe UI"/>
          <w:b w:val="0"/>
          <w:sz w:val="22"/>
        </w:rPr>
        <w:t>1. Seleccionar cliente del listado.</w:t>
      </w:r>
    </w:p>
    <w:p>
      <w:r>
        <w:rPr>
          <w:rFonts w:ascii="Segoe UI" w:hAnsi="Segoe UI" w:eastAsia="Segoe UI"/>
          <w:b w:val="0"/>
          <w:sz w:val="22"/>
        </w:rPr>
        <w:t>2. Ingresar asunto (obligatorio).</w:t>
      </w:r>
    </w:p>
    <w:p>
      <w:r>
        <w:rPr>
          <w:rFonts w:ascii="Segoe UI" w:hAnsi="Segoe UI" w:eastAsia="Segoe UI"/>
          <w:b w:val="0"/>
          <w:sz w:val="22"/>
        </w:rPr>
        <w:t>3. Seleccionar prioridad.</w:t>
      </w:r>
    </w:p>
    <w:p>
      <w:r>
        <w:rPr>
          <w:rFonts w:ascii="Segoe UI" w:hAnsi="Segoe UI" w:eastAsia="Segoe UI"/>
          <w:b w:val="0"/>
          <w:sz w:val="22"/>
        </w:rPr>
        <w:t>4. Enviar → CreateTicketAsync crea la tarea.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3.3 Cerrar ticket</w:t>
      </w:r>
    </w:p>
    <w:p>
      <w:r>
        <w:rPr>
          <w:rFonts w:ascii="Segoe UI" w:hAnsi="Segoe UI" w:eastAsia="Segoe UI"/>
          <w:b w:val="0"/>
          <w:sz w:val="22"/>
        </w:rPr>
        <w:t>1. Localizar ticket abierto en el panel de Customer Success.</w:t>
      </w:r>
    </w:p>
    <w:p>
      <w:r>
        <w:rPr>
          <w:rFonts w:ascii="Segoe UI" w:hAnsi="Segoe UI" w:eastAsia="Segoe UI"/>
          <w:b w:val="0"/>
          <w:sz w:val="22"/>
        </w:rPr>
        <w:t>2. Clic Cerrar → CloseTicketAsync.</w:t>
      </w:r>
    </w:p>
    <w:p>
      <w:r>
        <w:rPr>
          <w:rFonts w:ascii="Segoe UI" w:hAnsi="Segoe UI" w:eastAsia="Segoe UI"/>
          <w:b w:val="0"/>
          <w:sz w:val="22"/>
        </w:rPr>
        <w:t>3. La tarea pasa a estado Completed.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3.4 Prioridades operativas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Prioridad</w:t>
            </w:r>
          </w:p>
        </w:tc>
        <w:tc>
          <w:tcPr>
            <w:tcW w:type="dxa" w:w="3120"/>
          </w:tcPr>
          <w:p>
            <w:r>
              <w:t>SLA interno recomendado</w:t>
            </w:r>
          </w:p>
        </w:tc>
        <w:tc>
          <w:tcPr>
            <w:tcW w:type="dxa" w:w="3120"/>
          </w:tcPr>
          <w:p>
            <w:r>
              <w:t>Ejemplos</w:t>
            </w:r>
          </w:p>
        </w:tc>
      </w:tr>
      <w:tr>
        <w:tc>
          <w:tcPr>
            <w:tcW w:type="dxa" w:w="3120"/>
          </w:tcPr>
          <w:p>
            <w:r>
              <w:t>Urgent</w:t>
            </w:r>
          </w:p>
        </w:tc>
        <w:tc>
          <w:tcPr>
            <w:tcW w:type="dxa" w:w="3120"/>
          </w:tcPr>
          <w:p>
            <w:r>
              <w:t>4 horas</w:t>
            </w:r>
          </w:p>
        </w:tc>
        <w:tc>
          <w:tcPr>
            <w:tcW w:type="dxa" w:w="3120"/>
          </w:tcPr>
          <w:p>
            <w:r>
              <w:t>Caída de servicio, churn inminente</w:t>
            </w:r>
          </w:p>
        </w:tc>
      </w:tr>
      <w:tr>
        <w:tc>
          <w:tcPr>
            <w:tcW w:type="dxa" w:w="3120"/>
          </w:tcPr>
          <w:p>
            <w:r>
              <w:t>High</w:t>
            </w:r>
          </w:p>
        </w:tc>
        <w:tc>
          <w:tcPr>
            <w:tcW w:type="dxa" w:w="3120"/>
          </w:tcPr>
          <w:p>
            <w:r>
              <w:t>1 día hábil</w:t>
            </w:r>
          </w:p>
        </w:tc>
        <w:tc>
          <w:tcPr>
            <w:tcW w:type="dxa" w:w="3120"/>
          </w:tcPr>
          <w:p>
            <w:r>
              <w:t>Error funcional, health crítico</w:t>
            </w:r>
          </w:p>
        </w:tc>
      </w:tr>
      <w:tr>
        <w:tc>
          <w:tcPr>
            <w:tcW w:type="dxa" w:w="3120"/>
          </w:tcPr>
          <w:p>
            <w:r>
              <w:t>Normal</w:t>
            </w:r>
          </w:p>
        </w:tc>
        <w:tc>
          <w:tcPr>
            <w:tcW w:type="dxa" w:w="3120"/>
          </w:tcPr>
          <w:p>
            <w:r>
              <w:t>3 días</w:t>
            </w:r>
          </w:p>
        </w:tc>
        <w:tc>
          <w:tcPr>
            <w:tcW w:type="dxa" w:w="3120"/>
          </w:tcPr>
          <w:p>
            <w:r>
              <w:t>Consulta general, capacitación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&gt; Los SLAs de tickets usan vencimiento de 3 días por defecto en código; las prioridades Urgent/High requieren gestión activa del agente.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Casos de Customer Success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4.1 Tipos de caso (`CS_Case_*`)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Tipo</w:t>
            </w:r>
          </w:p>
        </w:tc>
        <w:tc>
          <w:tcPr>
            <w:tcW w:type="dxa" w:w="3120"/>
          </w:tcPr>
          <w:p>
            <w:r>
              <w:t>Código</w:t>
            </w:r>
          </w:p>
        </w:tc>
        <w:tc>
          <w:tcPr>
            <w:tcW w:type="dxa" w:w="3120"/>
          </w:tcPr>
          <w:p>
            <w:r>
              <w:t>Etiqueta</w:t>
            </w:r>
          </w:p>
        </w:tc>
      </w:tr>
      <w:tr>
        <w:tc>
          <w:tcPr>
            <w:tcW w:type="dxa" w:w="3120"/>
          </w:tcPr>
          <w:p>
            <w:r>
              <w:t>Renovación</w:t>
            </w:r>
          </w:p>
        </w:tc>
        <w:tc>
          <w:tcPr>
            <w:tcW w:type="dxa" w:w="3120"/>
          </w:tcPr>
          <w:p>
            <w:r>
              <w:t>`CS_Case_Renewal`</w:t>
            </w:r>
          </w:p>
        </w:tc>
        <w:tc>
          <w:tcPr>
            <w:tcW w:type="dxa" w:w="3120"/>
          </w:tcPr>
          <w:p>
            <w:r>
              <w:t>Renovación</w:t>
            </w:r>
          </w:p>
        </w:tc>
      </w:tr>
      <w:tr>
        <w:tc>
          <w:tcPr>
            <w:tcW w:type="dxa" w:w="3120"/>
          </w:tcPr>
          <w:p>
            <w:r>
              <w:t>Recuperación</w:t>
            </w:r>
          </w:p>
        </w:tc>
        <w:tc>
          <w:tcPr>
            <w:tcW w:type="dxa" w:w="3120"/>
          </w:tcPr>
          <w:p>
            <w:r>
              <w:t>`CS_Case_Recovery`</w:t>
            </w:r>
          </w:p>
        </w:tc>
        <w:tc>
          <w:tcPr>
            <w:tcW w:type="dxa" w:w="3120"/>
          </w:tcPr>
          <w:p>
            <w:r>
              <w:t>Recuperación</w:t>
            </w:r>
          </w:p>
        </w:tc>
      </w:tr>
      <w:tr>
        <w:tc>
          <w:tcPr>
            <w:tcW w:type="dxa" w:w="3120"/>
          </w:tcPr>
          <w:p>
            <w:r>
              <w:t>Expansión</w:t>
            </w:r>
          </w:p>
        </w:tc>
        <w:tc>
          <w:tcPr>
            <w:tcW w:type="dxa" w:w="3120"/>
          </w:tcPr>
          <w:p>
            <w:r>
              <w:t>`CS_Case_Expansion`</w:t>
            </w:r>
          </w:p>
        </w:tc>
        <w:tc>
          <w:tcPr>
            <w:tcW w:type="dxa" w:w="3120"/>
          </w:tcPr>
          <w:p>
            <w:r>
              <w:t>Expansión</w:t>
            </w:r>
          </w:p>
        </w:tc>
      </w:tr>
      <w:tr>
        <w:tc>
          <w:tcPr>
            <w:tcW w:type="dxa" w:w="3120"/>
          </w:tcPr>
          <w:p>
            <w:r>
              <w:t>Cliente en riesgo</w:t>
            </w:r>
          </w:p>
        </w:tc>
        <w:tc>
          <w:tcPr>
            <w:tcW w:type="dxa" w:w="3120"/>
          </w:tcPr>
          <w:p>
            <w:r>
              <w:t>`CS_Case_AtRisk`</w:t>
            </w:r>
          </w:p>
        </w:tc>
        <w:tc>
          <w:tcPr>
            <w:tcW w:type="dxa" w:w="3120"/>
          </w:tcPr>
          <w:p>
            <w:r>
              <w:t>Cliente en riesgo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4.2 Crear caso</w:t>
      </w:r>
    </w:p>
    <w:p>
      <w:r>
        <w:rPr>
          <w:rFonts w:ascii="Segoe UI" w:hAnsi="Segoe UI" w:eastAsia="Segoe UI"/>
          <w:b w:val="0"/>
          <w:sz w:val="22"/>
        </w:rPr>
        <w:t>Desde /customer-success → CreateCaseAsync:</w:t>
      </w:r>
    </w:p>
    <w:p>
      <w:r>
        <w:rPr>
          <w:rFonts w:ascii="Segoe UI" w:hAnsi="Segoe UI" w:eastAsia="Segoe UI"/>
          <w:b w:val="0"/>
          <w:sz w:val="22"/>
        </w:rPr>
        <w:t>- Seleccionar cliente.</w:t>
      </w:r>
    </w:p>
    <w:p>
      <w:r>
        <w:rPr>
          <w:rFonts w:ascii="Segoe UI" w:hAnsi="Segoe UI" w:eastAsia="Segoe UI"/>
          <w:b w:val="0"/>
          <w:sz w:val="22"/>
        </w:rPr>
        <w:t>- Tipo de caso (Renewal, Recovery, Expansion, AtRisk).</w:t>
      </w:r>
    </w:p>
    <w:p>
      <w:r>
        <w:rPr>
          <w:rFonts w:ascii="Segoe UI" w:hAnsi="Segoe UI" w:eastAsia="Segoe UI"/>
          <w:b w:val="0"/>
          <w:sz w:val="22"/>
        </w:rPr>
        <w:t>- Título y prioridad (default: High).</w:t>
      </w:r>
    </w:p>
    <w:p>
      <w:r>
        <w:rPr>
          <w:rFonts w:ascii="Segoe UI" w:hAnsi="Segoe UI" w:eastAsia="Segoe UI"/>
          <w:b w:val="0"/>
          <w:sz w:val="22"/>
        </w:rPr>
        <w:t>- Vencimiento: 7 días.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4.3 Cuándo abrir cada tipo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Situación</w:t>
            </w:r>
          </w:p>
        </w:tc>
        <w:tc>
          <w:tcPr>
            <w:tcW w:type="dxa" w:w="4680"/>
          </w:tcPr>
          <w:p>
            <w:r>
              <w:t>Tipo de caso</w:t>
            </w:r>
          </w:p>
        </w:tc>
      </w:tr>
      <w:tr>
        <w:tc>
          <w:tcPr>
            <w:tcW w:type="dxa" w:w="4680"/>
          </w:tcPr>
          <w:p>
            <w:r>
              <w:t>Contrato próximo a vencer</w:t>
            </w:r>
          </w:p>
        </w:tc>
        <w:tc>
          <w:tcPr>
            <w:tcW w:type="dxa" w:w="4680"/>
          </w:tcPr>
          <w:p>
            <w:r>
              <w:t>`CS_Case_Renewal`</w:t>
            </w:r>
          </w:p>
        </w:tc>
      </w:tr>
      <w:tr>
        <w:tc>
          <w:tcPr>
            <w:tcW w:type="dxa" w:w="4680"/>
          </w:tcPr>
          <w:p>
            <w:r>
              <w:t>Cliente inactivo o insatisfecho</w:t>
            </w:r>
          </w:p>
        </w:tc>
        <w:tc>
          <w:tcPr>
            <w:tcW w:type="dxa" w:w="4680"/>
          </w:tcPr>
          <w:p>
            <w:r>
              <w:t>`CS_Case_Recovery`</w:t>
            </w:r>
          </w:p>
        </w:tc>
      </w:tr>
      <w:tr>
        <w:tc>
          <w:tcPr>
            <w:tcW w:type="dxa" w:w="4680"/>
          </w:tcPr>
          <w:p>
            <w:r>
              <w:t>Oportunidad de upsell detectada</w:t>
            </w:r>
          </w:p>
        </w:tc>
        <w:tc>
          <w:tcPr>
            <w:tcW w:type="dxa" w:w="4680"/>
          </w:tcPr>
          <w:p>
            <w:r>
              <w:t>`CS_Case_Expansion`</w:t>
            </w:r>
          </w:p>
        </w:tc>
      </w:tr>
      <w:tr>
        <w:tc>
          <w:tcPr>
            <w:tcW w:type="dxa" w:w="4680"/>
          </w:tcPr>
          <w:p>
            <w:r>
              <w:t>Health `Critical` o señal de churn</w:t>
            </w:r>
          </w:p>
        </w:tc>
        <w:tc>
          <w:tcPr>
            <w:tcW w:type="dxa" w:w="4680"/>
          </w:tcPr>
          <w:p>
            <w:r>
              <w:t>`CS_Case_AtRisk`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Escalamiento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Matriz de escalamiento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Nivel</w:t>
            </w:r>
          </w:p>
        </w:tc>
        <w:tc>
          <w:tcPr>
            <w:tcW w:type="dxa" w:w="2340"/>
          </w:tcPr>
          <w:p>
            <w:r>
              <w:t>Condición</w:t>
            </w:r>
          </w:p>
        </w:tc>
        <w:tc>
          <w:tcPr>
            <w:tcW w:type="dxa" w:w="2340"/>
          </w:tcPr>
          <w:p>
            <w:r>
              <w:t>Escalar a</w:t>
            </w:r>
          </w:p>
        </w:tc>
        <w:tc>
          <w:tcPr>
            <w:tcW w:type="dxa" w:w="2340"/>
          </w:tcPr>
          <w:p>
            <w:r>
              <w:t>Acción</w:t>
            </w:r>
          </w:p>
        </w:tc>
      </w:tr>
      <w:tr>
        <w:tc>
          <w:tcPr>
            <w:tcW w:type="dxa" w:w="2340"/>
          </w:tcPr>
          <w:p>
            <w:r>
              <w:t>L1</w:t>
            </w:r>
          </w:p>
        </w:tc>
        <w:tc>
          <w:tcPr>
            <w:tcW w:type="dxa" w:w="2340"/>
          </w:tcPr>
          <w:p>
            <w:r>
              <w:t>Consulta estándar, ticket Normal</w:t>
            </w:r>
          </w:p>
        </w:tc>
        <w:tc>
          <w:tcPr>
            <w:tcW w:type="dxa" w:w="2340"/>
          </w:tcPr>
          <w:p>
            <w:r>
              <w:t>Agente Support</w:t>
            </w:r>
          </w:p>
        </w:tc>
        <w:tc>
          <w:tcPr>
            <w:tcW w:type="dxa" w:w="2340"/>
          </w:tcPr>
          <w:p>
            <w:r>
              <w:t>Resolver en `/customer-success`</w:t>
            </w:r>
          </w:p>
        </w:tc>
      </w:tr>
      <w:tr>
        <w:tc>
          <w:tcPr>
            <w:tcW w:type="dxa" w:w="2340"/>
          </w:tcPr>
          <w:p>
            <w:r>
              <w:t>L2</w:t>
            </w:r>
          </w:p>
        </w:tc>
        <w:tc>
          <w:tcPr>
            <w:tcW w:type="dxa" w:w="2340"/>
          </w:tcPr>
          <w:p>
            <w:r>
              <w:t>Health Warning, ticket High</w:t>
            </w:r>
          </w:p>
        </w:tc>
        <w:tc>
          <w:tcPr>
            <w:tcW w:type="dxa" w:w="2340"/>
          </w:tcPr>
          <w:p>
            <w:r>
              <w:t>Lead Support / Manager</w:t>
            </w:r>
          </w:p>
        </w:tc>
        <w:tc>
          <w:tcPr>
            <w:tcW w:type="dxa" w:w="2340"/>
          </w:tcPr>
          <w:p>
            <w:r>
              <w:t>Ejecutar playbook Rescue</w:t>
            </w:r>
          </w:p>
        </w:tc>
      </w:tr>
      <w:tr>
        <w:tc>
          <w:tcPr>
            <w:tcW w:type="dxa" w:w="2340"/>
          </w:tcPr>
          <w:p>
            <w:r>
              <w:t>L3</w:t>
            </w:r>
          </w:p>
        </w:tc>
        <w:tc>
          <w:tcPr>
            <w:tcW w:type="dxa" w:w="2340"/>
          </w:tcPr>
          <w:p>
            <w:r>
              <w:t>Health Critical, churn confirmado</w:t>
            </w:r>
          </w:p>
        </w:tc>
        <w:tc>
          <w:tcPr>
            <w:tcW w:type="dxa" w:w="2340"/>
          </w:tcPr>
          <w:p>
            <w:r>
              <w:t>Manager + Sales</w:t>
            </w:r>
          </w:p>
        </w:tc>
        <w:tc>
          <w:tcPr>
            <w:tcW w:type="dxa" w:w="2340"/>
          </w:tcPr>
          <w:p>
            <w:r>
              <w:t>Caso AtRisk + notificación ejecutiva</w:t>
            </w:r>
          </w:p>
        </w:tc>
      </w:tr>
      <w:tr>
        <w:tc>
          <w:tcPr>
            <w:tcW w:type="dxa" w:w="2340"/>
          </w:tcPr>
          <w:p>
            <w:r>
              <w:t>L4</w:t>
            </w:r>
          </w:p>
        </w:tc>
        <w:tc>
          <w:tcPr>
            <w:tcW w:type="dxa" w:w="2340"/>
          </w:tcPr>
          <w:p>
            <w:r>
              <w:t>Bug de plataforma, integración caída</w:t>
            </w:r>
          </w:p>
        </w:tc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Ticket interno + `/FailedEvents`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Escalamiento a ventas</w:t>
      </w:r>
    </w:p>
    <w:p>
      <w:r>
        <w:rPr>
          <w:rFonts w:ascii="Segoe UI" w:hAnsi="Segoe UI" w:eastAsia="Segoe UI"/>
          <w:b w:val="0"/>
          <w:sz w:val="22"/>
        </w:rPr>
        <w:t>Cuando un caso CS_Case_Expansion identifica oportunidad comercial:</w:t>
      </w:r>
    </w:p>
    <w:p>
      <w:r>
        <w:rPr>
          <w:rFonts w:ascii="Segoe UI" w:hAnsi="Segoe UI" w:eastAsia="Segoe UI"/>
          <w:b w:val="0"/>
          <w:sz w:val="22"/>
        </w:rPr>
        <w:t>1. Documentar en el caso.</w:t>
      </w:r>
    </w:p>
    <w:p>
      <w:r>
        <w:rPr>
          <w:rFonts w:ascii="Segoe UI" w:hAnsi="Segoe UI" w:eastAsia="Segoe UI"/>
          <w:b w:val="0"/>
          <w:sz w:val="22"/>
        </w:rPr>
        <w:t>2. Notificar al ejecutivo Sales asignado al cliente.</w:t>
      </w:r>
    </w:p>
    <w:p>
      <w:r>
        <w:rPr>
          <w:rFonts w:ascii="Segoe UI" w:hAnsi="Segoe UI" w:eastAsia="Segoe UI"/>
          <w:b w:val="0"/>
          <w:sz w:val="22"/>
        </w:rPr>
        <w:t>3. Sales crea deal en /Deals (Support no puede).</w:t>
      </w:r>
    </w:p>
    <w:p>
      <w:r>
        <w:rPr>
          <w:rFonts w:ascii="Segoe UI" w:hAnsi="Segoe UI" w:eastAsia="Segoe UI"/>
          <w:b w:val="0"/>
          <w:sz w:val="22"/>
        </w:rPr>
        <w:t>4. Support monitorea health durante negociación.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5.3 Escalamiento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Síntoma</w:t>
            </w:r>
          </w:p>
        </w:tc>
        <w:tc>
          <w:tcPr>
            <w:tcW w:type="dxa" w:w="4680"/>
          </w:tcPr>
          <w:p>
            <w:r>
              <w:t>Ruta de diagnóstico</w:t>
            </w:r>
          </w:p>
        </w:tc>
      </w:tr>
      <w:tr>
        <w:tc>
          <w:tcPr>
            <w:tcW w:type="dxa" w:w="4680"/>
          </w:tcPr>
          <w:p>
            <w:r>
              <w:t>Sync HubSpot/Salesforce fallido</w:t>
            </w:r>
          </w:p>
        </w:tc>
        <w:tc>
          <w:tcPr>
            <w:tcW w:type="dxa" w:w="4680"/>
          </w:tcPr>
          <w:p>
            <w:r>
              <w:t>`/Integrations` → health</w:t>
            </w:r>
          </w:p>
        </w:tc>
      </w:tr>
      <w:tr>
        <w:tc>
          <w:tcPr>
            <w:tcW w:type="dxa" w:w="4680"/>
          </w:tcPr>
          <w:p>
            <w:r>
              <w:t>Eventos no procesados</w:t>
            </w:r>
          </w:p>
        </w:tc>
        <w:tc>
          <w:tcPr>
            <w:tcW w:type="dxa" w:w="4680"/>
          </w:tcPr>
          <w:p>
            <w:r>
              <w:t>`/FailedEvents`</w:t>
            </w:r>
          </w:p>
        </w:tc>
      </w:tr>
      <w:tr>
        <w:tc>
          <w:tcPr>
            <w:tcW w:type="dxa" w:w="4680"/>
          </w:tcPr>
          <w:p>
            <w:r>
              <w:t>Error de autenticación</w:t>
            </w:r>
          </w:p>
        </w:tc>
        <w:tc>
          <w:tcPr>
            <w:tcW w:type="dxa" w:w="4680"/>
          </w:tcPr>
          <w:p>
            <w:r>
              <w:t>Admin revisa `/Users` y MFA</w:t>
            </w:r>
          </w:p>
        </w:tc>
      </w:tr>
      <w:tr>
        <w:tc>
          <w:tcPr>
            <w:tcW w:type="dxa" w:w="4680"/>
          </w:tcPr>
          <w:p>
            <w:r>
              <w:t>Datos incorrectos en 360</w:t>
            </w:r>
          </w:p>
        </w:tc>
        <w:tc>
          <w:tcPr>
            <w:tcW w:type="dxa" w:w="4680"/>
          </w:tcPr>
          <w:p>
            <w:r>
              <w:t>`/Audit` → filtrar por customerId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6. SLAs del sistema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6.1 SLAs comerciales (referencia para Support)</w:t>
      </w:r>
    </w:p>
    <w:p>
      <w:r>
        <w:rPr>
          <w:rFonts w:ascii="Segoe UI" w:hAnsi="Segoe UI" w:eastAsia="Segoe UI"/>
          <w:b w:val="0"/>
          <w:sz w:val="22"/>
        </w:rPr>
        <w:t>Aunque Support no gestiona leads directamente, debe conocer los SLAs que afectan al cliente: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SLA</w:t>
            </w:r>
          </w:p>
        </w:tc>
        <w:tc>
          <w:tcPr>
            <w:tcW w:type="dxa" w:w="2340"/>
          </w:tcPr>
          <w:p>
            <w:r>
              <w:t>Tarea</w:t>
            </w:r>
          </w:p>
        </w:tc>
        <w:tc>
          <w:tcPr>
            <w:tcW w:type="dxa" w:w="2340"/>
          </w:tcPr>
          <w:p>
            <w:r>
              <w:t>Plazo</w:t>
            </w:r>
          </w:p>
        </w:tc>
        <w:tc>
          <w:tcPr>
            <w:tcW w:type="dxa" w:w="2340"/>
          </w:tcPr>
          <w:p>
            <w:r>
              <w:t>Motor</w:t>
            </w:r>
          </w:p>
        </w:tc>
      </w:tr>
      <w:tr>
        <w:tc>
          <w:tcPr>
            <w:tcW w:type="dxa" w:w="2340"/>
          </w:tcPr>
          <w:p>
            <w:r>
              <w:t>Contacto lead</w:t>
            </w:r>
          </w:p>
        </w:tc>
        <w:tc>
          <w:tcPr>
            <w:tcW w:type="dxa" w:w="2340"/>
          </w:tcPr>
          <w:p>
            <w:r>
              <w:t>`SLA_LeadContact24h`</w:t>
            </w:r>
          </w:p>
        </w:tc>
        <w:tc>
          <w:tcPr>
            <w:tcW w:type="dxa" w:w="2340"/>
          </w:tcPr>
          <w:p>
            <w:r>
              <w:t>24h</w:t>
            </w:r>
          </w:p>
        </w:tc>
        <w:tc>
          <w:tcPr>
            <w:tcW w:type="dxa" w:w="2340"/>
          </w:tcPr>
          <w:p>
            <w:r>
              <w:t>`CommercialSlaEngine`</w:t>
            </w:r>
          </w:p>
        </w:tc>
      </w:tr>
      <w:tr>
        <w:tc>
          <w:tcPr>
            <w:tcW w:type="dxa" w:w="2340"/>
          </w:tcPr>
          <w:p>
            <w:r>
              <w:t>Post-calificación</w:t>
            </w:r>
          </w:p>
        </w:tc>
        <w:tc>
          <w:tcPr>
            <w:tcW w:type="dxa" w:w="2340"/>
          </w:tcPr>
          <w:p>
            <w:r>
              <w:t>`SLA_QualifiedFollowUp`</w:t>
            </w:r>
          </w:p>
        </w:tc>
        <w:tc>
          <w:tcPr>
            <w:tcW w:type="dxa" w:w="2340"/>
          </w:tcPr>
          <w:p>
            <w:r>
              <w:t>Automático</w:t>
            </w:r>
          </w:p>
        </w:tc>
        <w:tc>
          <w:tcPr>
            <w:tcW w:type="dxa" w:w="2340"/>
          </w:tcPr>
          <w:p>
            <w:r>
              <w:t>`RevenueAutomationEngine`</w:t>
            </w:r>
          </w:p>
        </w:tc>
      </w:tr>
      <w:tr>
        <w:tc>
          <w:tcPr>
            <w:tcW w:type="dxa" w:w="2340"/>
          </w:tcPr>
          <w:p>
            <w:r>
              <w:t>Deal en riesgo</w:t>
            </w:r>
          </w:p>
        </w:tc>
        <w:tc>
          <w:tcPr>
            <w:tcW w:type="dxa" w:w="2340"/>
          </w:tcPr>
          <w:p>
            <w:r>
              <w:t>`SLA_DealAtRisk`</w:t>
            </w:r>
          </w:p>
        </w:tc>
        <w:tc>
          <w:tcPr>
            <w:tcW w:type="dxa" w:w="2340"/>
          </w:tcPr>
          <w:p>
            <w:r>
              <w:t>Automático</w:t>
            </w:r>
          </w:p>
        </w:tc>
        <w:tc>
          <w:tcPr>
            <w:tcW w:type="dxa" w:w="2340"/>
          </w:tcPr>
          <w:p>
            <w:r>
              <w:t>`CommercialSlaEngine`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6.2 SLAs de Customer Success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Elemento</w:t>
            </w:r>
          </w:p>
        </w:tc>
        <w:tc>
          <w:tcPr>
            <w:tcW w:type="dxa" w:w="3120"/>
          </w:tcPr>
          <w:p>
            <w:r>
              <w:t>Plazo en código</w:t>
            </w:r>
          </w:p>
        </w:tc>
        <w:tc>
          <w:tcPr>
            <w:tcW w:type="dxa" w:w="3120"/>
          </w:tcPr>
          <w:p>
            <w:r>
              <w:t>Gestión</w:t>
            </w:r>
          </w:p>
        </w:tc>
      </w:tr>
      <w:tr>
        <w:tc>
          <w:tcPr>
            <w:tcW w:type="dxa" w:w="3120"/>
          </w:tcPr>
          <w:p>
            <w:r>
              <w:t>Ticket CS</w:t>
            </w:r>
          </w:p>
        </w:tc>
        <w:tc>
          <w:tcPr>
            <w:tcW w:type="dxa" w:w="3120"/>
          </w:tcPr>
          <w:p>
            <w:r>
              <w:t>3 días</w:t>
            </w:r>
          </w:p>
        </w:tc>
        <w:tc>
          <w:tcPr>
            <w:tcW w:type="dxa" w:w="3120"/>
          </w:tcPr>
          <w:p>
            <w:r>
              <w:t>Agente Support</w:t>
            </w:r>
          </w:p>
        </w:tc>
      </w:tr>
      <w:tr>
        <w:tc>
          <w:tcPr>
            <w:tcW w:type="dxa" w:w="3120"/>
          </w:tcPr>
          <w:p>
            <w:r>
              <w:t>Caso CS</w:t>
            </w:r>
          </w:p>
        </w:tc>
        <w:tc>
          <w:tcPr>
            <w:tcW w:type="dxa" w:w="3120"/>
          </w:tcPr>
          <w:p>
            <w:r>
              <w:t>7 días</w:t>
            </w:r>
          </w:p>
        </w:tc>
        <w:tc>
          <w:tcPr>
            <w:tcW w:type="dxa" w:w="3120"/>
          </w:tcPr>
          <w:p>
            <w:r>
              <w:t>Agente Support + playbook</w:t>
            </w:r>
          </w:p>
        </w:tc>
      </w:tr>
      <w:tr>
        <w:tc>
          <w:tcPr>
            <w:tcW w:type="dxa" w:w="3120"/>
          </w:tcPr>
          <w:p>
            <w:r>
              <w:t>Playbook Rescue — llamada</w:t>
            </w:r>
          </w:p>
        </w:tc>
        <w:tc>
          <w:tcPr>
            <w:tcW w:type="dxa" w:w="3120"/>
          </w:tcPr>
          <w:p>
            <w:r>
              <w:t>1 día</w:t>
            </w:r>
          </w:p>
        </w:tc>
        <w:tc>
          <w:tcPr>
            <w:tcW w:type="dxa" w:w="3120"/>
          </w:tcPr>
          <w:p>
            <w:r>
              <w:t>Urgent</w:t>
            </w:r>
          </w:p>
        </w:tc>
      </w:tr>
      <w:tr>
        <w:tc>
          <w:tcPr>
            <w:tcW w:type="dxa" w:w="3120"/>
          </w:tcPr>
          <w:p>
            <w:r>
              <w:t>Renovación 90/60/30 días</w:t>
            </w:r>
          </w:p>
        </w:tc>
        <w:tc>
          <w:tcPr>
            <w:tcW w:type="dxa" w:w="3120"/>
          </w:tcPr>
          <w:p>
            <w:r>
              <w:t>Automático</w:t>
            </w:r>
          </w:p>
        </w:tc>
        <w:tc>
          <w:tcPr>
            <w:tcW w:type="dxa" w:w="3120"/>
          </w:tcPr>
          <w:p>
            <w:r>
              <w:t>`RenewalEngine`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6.3 Tareas de renovación automáticas</w:t>
      </w:r>
    </w:p>
    <w:p>
      <w:r>
        <w:rPr>
          <w:rFonts w:ascii="Segoe UI" w:hAnsi="Segoe UI" w:eastAsia="Segoe UI"/>
          <w:b w:val="0"/>
          <w:sz w:val="22"/>
        </w:rPr>
        <w:t>CustomerSuccessConstants define tareas:</w:t>
      </w:r>
    </w:p>
    <w:p>
      <w:r>
        <w:rPr>
          <w:rFonts w:ascii="Segoe UI" w:hAnsi="Segoe UI" w:eastAsia="Segoe UI"/>
          <w:b w:val="0"/>
          <w:sz w:val="22"/>
        </w:rPr>
        <w:t>- Renewal_90d — alerta 90 días antes</w:t>
      </w:r>
    </w:p>
    <w:p>
      <w:r>
        <w:rPr>
          <w:rFonts w:ascii="Segoe UI" w:hAnsi="Segoe UI" w:eastAsia="Segoe UI"/>
          <w:b w:val="0"/>
          <w:sz w:val="22"/>
        </w:rPr>
        <w:t>- Renewal_60d — alerta 60 días</w:t>
      </w:r>
    </w:p>
    <w:p>
      <w:r>
        <w:rPr>
          <w:rFonts w:ascii="Segoe UI" w:hAnsi="Segoe UI" w:eastAsia="Segoe UI"/>
          <w:b w:val="0"/>
          <w:sz w:val="22"/>
        </w:rPr>
        <w:t>- Renewal_30d — alerta 30 días</w:t>
      </w:r>
    </w:p>
    <w:p>
      <w:r>
        <w:rPr>
          <w:rFonts w:ascii="Segoe UI" w:hAnsi="Segoe UI" w:eastAsia="Segoe UI"/>
          <w:b w:val="0"/>
          <w:sz w:val="22"/>
        </w:rPr>
        <w:t>Revisar en /customer-success panel de renovaciones próximas.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7. Paneles operativos de `/customer-success`</w:t>
      </w:r>
    </w:p>
    <w:p>
      <w:r>
        <w:rPr>
          <w:rFonts w:ascii="Segoe UI" w:hAnsi="Segoe UI" w:eastAsia="Segoe UI"/>
          <w:b w:val="0"/>
          <w:sz w:val="22"/>
        </w:rPr>
        <w:t>CustomerSuccessHomeDto consolida: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Panel</w:t>
            </w:r>
          </w:p>
        </w:tc>
        <w:tc>
          <w:tcPr>
            <w:tcW w:type="dxa" w:w="3120"/>
          </w:tcPr>
          <w:p>
            <w:r>
              <w:t>Fuente</w:t>
            </w:r>
          </w:p>
        </w:tc>
        <w:tc>
          <w:tcPr>
            <w:tcW w:type="dxa" w:w="3120"/>
          </w:tcPr>
          <w:p>
            <w:r>
              <w:t>Uso Support</w:t>
            </w:r>
          </w:p>
        </w:tc>
      </w:tr>
      <w:tr>
        <w:tc>
          <w:tcPr>
            <w:tcW w:type="dxa" w:w="3120"/>
          </w:tcPr>
          <w:p>
            <w:r>
              <w:t>KPIs CS</w:t>
            </w:r>
          </w:p>
        </w:tc>
        <w:tc>
          <w:tcPr>
            <w:tcW w:type="dxa" w:w="3120"/>
          </w:tcPr>
          <w:p>
            <w:r>
              <w:t>`ICustomerKpiService`</w:t>
            </w:r>
          </w:p>
        </w:tc>
        <w:tc>
          <w:tcPr>
            <w:tcW w:type="dxa" w:w="3120"/>
          </w:tcPr>
          <w:p>
            <w:r>
              <w:t>Salud general del portafolio</w:t>
            </w:r>
          </w:p>
        </w:tc>
      </w:tr>
      <w:tr>
        <w:tc>
          <w:tcPr>
            <w:tcW w:type="dxa" w:w="3120"/>
          </w:tcPr>
          <w:p>
            <w:r>
              <w:t>Señales de churn</w:t>
            </w:r>
          </w:p>
        </w:tc>
        <w:tc>
          <w:tcPr>
            <w:tcW w:type="dxa" w:w="3120"/>
          </w:tcPr>
          <w:p>
            <w:r>
              <w:t>`IChurnRiskEngine`</w:t>
            </w:r>
          </w:p>
        </w:tc>
        <w:tc>
          <w:tcPr>
            <w:tcW w:type="dxa" w:w="3120"/>
          </w:tcPr>
          <w:p>
            <w:r>
              <w:t>Priorizar intervenciones</w:t>
            </w:r>
          </w:p>
        </w:tc>
      </w:tr>
      <w:tr>
        <w:tc>
          <w:tcPr>
            <w:tcW w:type="dxa" w:w="3120"/>
          </w:tcPr>
          <w:p>
            <w:r>
              <w:t>Renovaciones próximas</w:t>
            </w:r>
          </w:p>
        </w:tc>
        <w:tc>
          <w:tcPr>
            <w:tcW w:type="dxa" w:w="3120"/>
          </w:tcPr>
          <w:p>
            <w:r>
              <w:t>`IRenewalEngine`</w:t>
            </w:r>
          </w:p>
        </w:tc>
        <w:tc>
          <w:tcPr>
            <w:tcW w:type="dxa" w:w="3120"/>
          </w:tcPr>
          <w:p>
            <w:r>
              <w:t>Planificar contacto</w:t>
            </w:r>
          </w:p>
        </w:tc>
      </w:tr>
      <w:tr>
        <w:tc>
          <w:tcPr>
            <w:tcW w:type="dxa" w:w="3120"/>
          </w:tcPr>
          <w:p>
            <w:r>
              <w:t>Tickets abiertos/cerrados</w:t>
            </w:r>
          </w:p>
        </w:tc>
        <w:tc>
          <w:tcPr>
            <w:tcW w:type="dxa" w:w="3120"/>
          </w:tcPr>
          <w:p>
            <w:r>
              <w:t>WorkflowTasks CS_Ticket</w:t>
            </w:r>
          </w:p>
        </w:tc>
        <w:tc>
          <w:tcPr>
            <w:tcW w:type="dxa" w:w="3120"/>
          </w:tcPr>
          <w:p>
            <w:r>
              <w:t>Cola de trabajo diaria</w:t>
            </w:r>
          </w:p>
        </w:tc>
      </w:tr>
      <w:tr>
        <w:tc>
          <w:tcPr>
            <w:tcW w:type="dxa" w:w="3120"/>
          </w:tcPr>
          <w:p>
            <w:r>
              <w:t>Oportunidades expansión</w:t>
            </w:r>
          </w:p>
        </w:tc>
        <w:tc>
          <w:tcPr>
            <w:tcW w:type="dxa" w:w="3120"/>
          </w:tcPr>
          <w:p>
            <w:r>
              <w:t>`IExpansionRevenueEngine`</w:t>
            </w:r>
          </w:p>
        </w:tc>
        <w:tc>
          <w:tcPr>
            <w:tcW w:type="dxa" w:w="3120"/>
          </w:tcPr>
          <w:p>
            <w:r>
              <w:t>Coordinar con Sales</w:t>
            </w:r>
          </w:p>
        </w:tc>
      </w:tr>
      <w:tr>
        <w:tc>
          <w:tcPr>
            <w:tcW w:type="dxa" w:w="3120"/>
          </w:tcPr>
          <w:p>
            <w:r>
              <w:t>Casos abiertos</w:t>
            </w:r>
          </w:p>
        </w:tc>
        <w:tc>
          <w:tcPr>
            <w:tcW w:type="dxa" w:w="3120"/>
          </w:tcPr>
          <w:p>
            <w:r>
              <w:t>WorkflowTasks CS_Case_*</w:t>
            </w:r>
          </w:p>
        </w:tc>
        <w:tc>
          <w:tcPr>
            <w:tcW w:type="dxa" w:w="3120"/>
          </w:tcPr>
          <w:p>
            <w:r>
              <w:t>Seguimiento estructurado</w:t>
            </w:r>
          </w:p>
        </w:tc>
      </w:tr>
      <w:tr>
        <w:tc>
          <w:tcPr>
            <w:tcW w:type="dxa" w:w="3120"/>
          </w:tcPr>
          <w:p>
            <w:r>
              <w:t>Health scores</w:t>
            </w:r>
          </w:p>
        </w:tc>
        <w:tc>
          <w:tcPr>
            <w:tcW w:type="dxa" w:w="3120"/>
          </w:tcPr>
          <w:p>
            <w:r>
              <w:t>`ICustomerHealthEngine`</w:t>
            </w:r>
          </w:p>
        </w:tc>
        <w:tc>
          <w:tcPr>
            <w:tcW w:type="dxa" w:w="3120"/>
          </w:tcPr>
          <w:p>
            <w:r>
              <w:t>Healthy / Warning / Critical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8. Rutina diaria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Hora</w:t>
            </w:r>
          </w:p>
        </w:tc>
        <w:tc>
          <w:tcPr>
            <w:tcW w:type="dxa" w:w="3120"/>
          </w:tcPr>
          <w:p>
            <w:r>
              <w:t>Acción</w:t>
            </w:r>
          </w:p>
        </w:tc>
        <w:tc>
          <w:tcPr>
            <w:tcW w:type="dxa" w:w="3120"/>
          </w:tcPr>
          <w:p>
            <w:r>
              <w:t>Ruta</w:t>
            </w:r>
          </w:p>
        </w:tc>
      </w:tr>
      <w:tr>
        <w:tc>
          <w:tcPr>
            <w:tcW w:type="dxa" w:w="3120"/>
          </w:tcPr>
          <w:p>
            <w:r>
              <w:t>Inicio</w:t>
            </w:r>
          </w:p>
        </w:tc>
        <w:tc>
          <w:tcPr>
            <w:tcW w:type="dxa" w:w="3120"/>
          </w:tcPr>
          <w:p>
            <w:r>
              <w:t>Revisar tickets abiertos y vencidos</w:t>
            </w:r>
          </w:p>
        </w:tc>
        <w:tc>
          <w:tcPr>
            <w:tcW w:type="dxa" w:w="3120"/>
          </w:tcPr>
          <w:p>
            <w:r>
              <w:t>`/customer-success`</w:t>
            </w:r>
          </w:p>
        </w:tc>
      </w:tr>
      <w:tr>
        <w:tc>
          <w:tcPr>
            <w:tcW w:type="dxa" w:w="3120"/>
          </w:tcPr>
          <w:p>
            <w:r>
              <w:t>09:00</w:t>
            </w:r>
          </w:p>
        </w:tc>
        <w:tc>
          <w:tcPr>
            <w:tcW w:type="dxa" w:w="3120"/>
          </w:tcPr>
          <w:p>
            <w:r>
              <w:t>Atender señales churn Critical</w:t>
            </w:r>
          </w:p>
        </w:tc>
        <w:tc>
          <w:tcPr>
            <w:tcW w:type="dxa" w:w="3120"/>
          </w:tcPr>
          <w:p>
            <w:r>
              <w:t>`/customer-success`</w:t>
            </w:r>
          </w:p>
        </w:tc>
      </w:tr>
      <w:tr>
        <w:tc>
          <w:tcPr>
            <w:tcW w:type="dxa" w:w="3120"/>
          </w:tcPr>
          <w:p>
            <w:r>
              <w:t>10:00</w:t>
            </w:r>
          </w:p>
        </w:tc>
        <w:tc>
          <w:tcPr>
            <w:tcW w:type="dxa" w:w="3120"/>
          </w:tcPr>
          <w:p>
            <w:r>
              <w:t>Revisar renovaciones 30/60/90 días</w:t>
            </w:r>
          </w:p>
        </w:tc>
        <w:tc>
          <w:tcPr>
            <w:tcW w:type="dxa" w:w="3120"/>
          </w:tcPr>
          <w:p>
            <w:r>
              <w:t>`/customer-success`</w:t>
            </w:r>
          </w:p>
        </w:tc>
      </w:tr>
      <w:tr>
        <w:tc>
          <w:tcPr>
            <w:tcW w:type="dxa" w:w="3120"/>
          </w:tcPr>
          <w:p>
            <w:r>
              <w:t>11:00</w:t>
            </w:r>
          </w:p>
        </w:tc>
        <w:tc>
          <w:tcPr>
            <w:tcW w:type="dxa" w:w="3120"/>
          </w:tcPr>
          <w:p>
            <w:r>
              <w:t>Customer 360 — clientes escalados</w:t>
            </w:r>
          </w:p>
        </w:tc>
        <w:tc>
          <w:tcPr>
            <w:tcW w:type="dxa" w:w="3120"/>
          </w:tcPr>
          <w:p>
            <w:r>
              <w:t>`/Customer360`</w:t>
            </w:r>
          </w:p>
        </w:tc>
      </w:tr>
      <w:tr>
        <w:tc>
          <w:tcPr>
            <w:tcW w:type="dxa" w:w="3120"/>
          </w:tcPr>
          <w:p>
            <w:r>
              <w:t>14:00</w:t>
            </w:r>
          </w:p>
        </w:tc>
        <w:tc>
          <w:tcPr>
            <w:tcW w:type="dxa" w:w="3120"/>
          </w:tcPr>
          <w:p>
            <w:r>
              <w:t>Cerrar tickets resueltos</w:t>
            </w:r>
          </w:p>
        </w:tc>
        <w:tc>
          <w:tcPr>
            <w:tcW w:type="dxa" w:w="3120"/>
          </w:tcPr>
          <w:p>
            <w:r>
              <w:t>`/customer-success`</w:t>
            </w:r>
          </w:p>
        </w:tc>
      </w:tr>
      <w:tr>
        <w:tc>
          <w:tcPr>
            <w:tcW w:type="dxa" w:w="3120"/>
          </w:tcPr>
          <w:p>
            <w:r>
              <w:t>17:00</w:t>
            </w:r>
          </w:p>
        </w:tc>
        <w:tc>
          <w:tcPr>
            <w:tcW w:type="dxa" w:w="3120"/>
          </w:tcPr>
          <w:p>
            <w:r>
              <w:t>Actualizar casos abiertos</w:t>
            </w:r>
          </w:p>
        </w:tc>
        <w:tc>
          <w:tcPr>
            <w:tcW w:type="dxa" w:w="3120"/>
          </w:tcPr>
          <w:p>
            <w:r>
              <w:t>`/customer-success`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9. Comunicación multicanal</w:t>
      </w:r>
    </w:p>
    <w:p>
      <w:r>
        <w:rPr>
          <w:rFonts w:ascii="Segoe UI" w:hAnsi="Segoe UI" w:eastAsia="Segoe UI"/>
          <w:b w:val="0"/>
          <w:sz w:val="22"/>
        </w:rPr>
        <w:t>El módulo CS incluye motores de comunicación (no ejecutables directamente por Support desde UI principal, pero generan tareas):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Canal</w:t>
            </w:r>
          </w:p>
        </w:tc>
        <w:tc>
          <w:tcPr>
            <w:tcW w:type="dxa" w:w="3120"/>
          </w:tcPr>
          <w:p>
            <w:r>
              <w:t>Constante</w:t>
            </w:r>
          </w:p>
        </w:tc>
        <w:tc>
          <w:tcPr>
            <w:tcW w:type="dxa" w:w="3120"/>
          </w:tcPr>
          <w:p>
            <w:r>
              <w:t>Motor</w:t>
            </w:r>
          </w:p>
        </w:tc>
      </w:tr>
      <w:tr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`ChannelEmail`</w:t>
            </w:r>
          </w:p>
        </w:tc>
        <w:tc>
          <w:tcPr>
            <w:tcW w:type="dxa" w:w="3120"/>
          </w:tcPr>
          <w:p>
            <w:r>
              <w:t>`IEmailAutomationEngine` (SendGrid)</w:t>
            </w:r>
          </w:p>
        </w:tc>
      </w:tr>
      <w:tr>
        <w:tc>
          <w:tcPr>
            <w:tcW w:type="dxa" w:w="3120"/>
          </w:tcPr>
          <w:p>
            <w:r>
              <w:t>WhatsApp</w:t>
            </w:r>
          </w:p>
        </w:tc>
        <w:tc>
          <w:tcPr>
            <w:tcW w:type="dxa" w:w="3120"/>
          </w:tcPr>
          <w:p>
            <w:r>
              <w:t>`ChannelWhatsApp`</w:t>
            </w:r>
          </w:p>
        </w:tc>
        <w:tc>
          <w:tcPr>
            <w:tcW w:type="dxa" w:w="3120"/>
          </w:tcPr>
          <w:p>
            <w:r>
              <w:t>`IWhatsAppAutomationEngine`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Las plantillas se disparan por eventos de retención (RetentionAutomationEngine). Support verifica resultado en tareas creadas.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10. 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Causa</w:t>
            </w:r>
          </w:p>
        </w:tc>
        <w:tc>
          <w:tcPr>
            <w:tcW w:type="dxa" w:w="3120"/>
          </w:tcPr>
          <w:p>
            <w:r>
              <w:t>Solución</w:t>
            </w:r>
          </w:p>
        </w:tc>
      </w:tr>
      <w:tr>
        <w:tc>
          <w:tcPr>
            <w:tcW w:type="dxa" w:w="3120"/>
          </w:tcPr>
          <w:p>
            <w:r>
              <w:t>&gt; **ADVERTENCIA** Access Denied al crear lead</w:t>
            </w:r>
          </w:p>
        </w:tc>
        <w:tc>
          <w:tcPr>
            <w:tcW w:type="dxa" w:w="3120"/>
          </w:tcPr>
          <w:p>
            <w:r>
              <w:t>Rol Support, middleware comercial</w:t>
            </w:r>
          </w:p>
        </w:tc>
        <w:tc>
          <w:tcPr>
            <w:tcW w:type="dxa" w:w="3120"/>
          </w:tcPr>
          <w:p>
            <w:r>
              <w:t>Escalar a Sales</w:t>
            </w:r>
          </w:p>
        </w:tc>
      </w:tr>
      <w:tr>
        <w:tc>
          <w:tcPr>
            <w:tcW w:type="dxa" w:w="3120"/>
          </w:tcPr>
          <w:p>
            <w:r>
              <w:t>Ticket no se cierra</w:t>
            </w:r>
          </w:p>
        </w:tc>
        <w:tc>
          <w:tcPr>
            <w:tcW w:type="dxa" w:w="3120"/>
          </w:tcPr>
          <w:p>
            <w:r>
              <w:t>ID incorrecto o no es CS_Ticket</w:t>
            </w:r>
          </w:p>
        </w:tc>
        <w:tc>
          <w:tcPr>
            <w:tcW w:type="dxa" w:w="3120"/>
          </w:tcPr>
          <w:p>
            <w:r>
              <w:t>Verificar en `/customer-success`</w:t>
            </w:r>
          </w:p>
        </w:tc>
      </w:tr>
      <w:tr>
        <w:tc>
          <w:tcPr>
            <w:tcW w:type="dxa" w:w="3120"/>
          </w:tcPr>
          <w:p>
            <w:r>
              <w:t>Cliente no aparece en búsqueda 360</w:t>
            </w:r>
          </w:p>
        </w:tc>
        <w:tc>
          <w:tcPr>
            <w:tcW w:type="dxa" w:w="3120"/>
          </w:tcPr>
          <w:p>
            <w:r>
              <w:t>Fuera de top 25 o sin datos</w:t>
            </w:r>
          </w:p>
        </w:tc>
        <w:tc>
          <w:tcPr>
            <w:tcW w:type="dxa" w:w="3120"/>
          </w:tcPr>
          <w:p>
            <w:r>
              <w:t>Refinar búsqueda en `/Customer360`</w:t>
            </w:r>
          </w:p>
        </w:tc>
      </w:tr>
      <w:tr>
        <w:tc>
          <w:tcPr>
            <w:tcW w:type="dxa" w:w="3120"/>
          </w:tcPr>
          <w:p>
            <w:r>
              <w:t>Health no actualizado</w:t>
            </w:r>
          </w:p>
        </w:tc>
        <w:tc>
          <w:tcPr>
            <w:tcW w:type="dxa" w:w="3120"/>
          </w:tcPr>
          <w:p>
            <w:r>
              <w:t>Cálculo batch pendiente</w:t>
            </w:r>
          </w:p>
        </w:tc>
        <w:tc>
          <w:tcPr>
            <w:tcW w:type="dxa" w:w="3120"/>
          </w:tcPr>
          <w:p>
            <w:r>
              <w:t>Ejecutar playbook o esperar worker</w:t>
            </w:r>
          </w:p>
        </w:tc>
      </w:tr>
      <w:tr>
        <w:tc>
          <w:tcPr>
            <w:tcW w:type="dxa" w:w="3120"/>
          </w:tcPr>
          <w:p>
            <w:r>
              <w:t>`/Support` página vacía</w:t>
            </w:r>
          </w:p>
        </w:tc>
        <w:tc>
          <w:tcPr>
            <w:tcW w:type="dxa" w:w="3120"/>
          </w:tcPr>
          <w:p>
            <w:r>
              <w:t>Redirect automático</w:t>
            </w:r>
          </w:p>
        </w:tc>
        <w:tc>
          <w:tcPr>
            <w:tcW w:type="dxa" w:w="3120"/>
          </w:tcPr>
          <w:p>
            <w:r>
              <w:t>Usar `/customer-success` directamente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11. Coordinación con otros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Rol</w:t>
            </w:r>
          </w:p>
        </w:tc>
        <w:tc>
          <w:tcPr>
            <w:tcW w:type="dxa" w:w="4680"/>
          </w:tcPr>
          <w:p>
            <w:r>
              <w:t>Interacción con Support</w:t>
            </w:r>
          </w:p>
        </w:tc>
      </w:tr>
      <w:tr>
        <w:tc>
          <w:tcPr>
            <w:tcW w:type="dxa" w:w="4680"/>
          </w:tcPr>
          <w:p>
            <w:r>
              <w:t>Sales</w:t>
            </w:r>
          </w:p>
        </w:tc>
        <w:tc>
          <w:tcPr>
            <w:tcW w:type="dxa" w:w="4680"/>
          </w:tcPr>
          <w:p>
            <w:r>
              <w:t>Handoff post-cierre, casos Expansion</w:t>
            </w:r>
          </w:p>
        </w:tc>
      </w:tr>
      <w:tr>
        <w:tc>
          <w:tcPr>
            <w:tcW w:type="dxa" w:w="4680"/>
          </w:tcPr>
          <w:p>
            <w:r>
              <w:t>Manager</w:t>
            </w:r>
          </w:p>
        </w:tc>
        <w:tc>
          <w:tcPr>
            <w:tcW w:type="dxa" w:w="4680"/>
          </w:tcPr>
          <w:p>
            <w:r>
              <w:t>Escalamiento L2/L3, aprobaciones Trust</w:t>
            </w:r>
          </w:p>
        </w:tc>
      </w:tr>
      <w:tr>
        <w:tc>
          <w:tcPr>
            <w:tcW w:type="dxa" w:w="4680"/>
          </w:tcPr>
          <w:p>
            <w:r>
              <w:t>Admin</w:t>
            </w:r>
          </w:p>
        </w:tc>
        <w:tc>
          <w:tcPr>
            <w:tcW w:type="dxa" w:w="4680"/>
          </w:tcPr>
          <w:p>
            <w:r>
              <w:t>Integraciones, usuarios, eventos fallidos</w:t>
            </w:r>
          </w:p>
        </w:tc>
      </w:tr>
      <w:tr>
        <w:tc>
          <w:tcPr>
            <w:tcW w:type="dxa" w:w="4680"/>
          </w:tcPr>
          <w:p>
            <w:r>
              <w:t>Viewer</w:t>
            </w:r>
          </w:p>
        </w:tc>
        <w:tc>
          <w:tcPr>
            <w:tcW w:type="dxa" w:w="4680"/>
          </w:tcPr>
          <w:p>
            <w:r>
              <w:t>Solo lectura — Support es operativo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*Documento basado en: Support.cshtml.cs, CustomerSuccess.cshtml.cs, Customer360.cshtml.cs, CustomerSuccessOsService.cs, CommercialWriteAuthorizationMiddleware.cs, RoleHomeRedirect.cs.*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3. Diagramas de referencia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Diagramas de referencia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Ciclo de vida del Lead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LR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A[Lead: Nuevo] --&gt; B[Contactado]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 C[Calificado]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D[Cliente + Oportunidad borrador]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 E[Pipeline]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E --&gt; F[Cierre ganado]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F --&gt; G[Retención y CS]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aprobación Trust Studio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flowchart TD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A[Decisión IA generada] --&gt; B{¿Requiere HITL?}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--&gt;|Sí| C[Trust Inbox]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C --&gt; D{Aprobación Manager/Admin}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--&gt;|Aprobar| E[Ejecutar decisión]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D --&gt;|Rechazar| F[Archivar con nota]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B --&gt;|No| E</w:t>
      </w:r>
    </w:p>
    <w:p>
      <w:pPr>
        <w:pStyle w:val="Heading3"/>
      </w:pPr>
      <w:r>
        <w:rPr>
          <w:rFonts w:ascii="Segoe UI" w:hAnsi="Segoe UI" w:eastAsia="Segoe UI"/>
          <w:b/>
          <w:sz w:val="24"/>
        </w:rPr>
        <w:t>Flujo de autenticación</w:t>
      </w:r>
    </w:p>
    <w:p>
      <w:r>
        <w:rPr>
          <w:rFonts w:ascii="Segoe UI" w:hAnsi="Segoe UI" w:eastAsia="Segoe UI"/>
          <w:b w:val="0"/>
          <w:color w:val="646464"/>
          <w:sz w:val="20"/>
        </w:rPr>
        <w:t>[Diagrama / bloque técnico — ver versión Markdown]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>sequenceDiagram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U as Usuario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L as Login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participant A as AutonomusCRM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U-&gt;&gt;L: Credenciales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L-&gt;&gt;A: Cookie/JWT + Roles</w:t>
      </w:r>
    </w:p>
    <w:p>
      <w:pPr>
        <w:ind w:left="432"/>
      </w:pPr>
      <w:r>
        <w:rPr>
          <w:rFonts w:ascii="Segoe UI" w:hAnsi="Segoe UI" w:eastAsia="Segoe UI"/>
          <w:b w:val="0"/>
          <w:sz w:val="18"/>
        </w:rPr>
        <w:t xml:space="preserve">    A-&gt;&gt;U: Redirección home por rol</w:t>
      </w:r>
    </w:p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4. Glosario corporativo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Glosario corporativo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Término</w:t>
            </w:r>
          </w:p>
        </w:tc>
        <w:tc>
          <w:tcPr>
            <w:tcW w:type="dxa" w:w="4680"/>
          </w:tcPr>
          <w:p>
            <w:r>
              <w:t>Definición</w:t>
            </w:r>
          </w:p>
        </w:tc>
      </w:tr>
      <w:tr>
        <w:tc>
          <w:tcPr>
            <w:tcW w:type="dxa" w:w="4680"/>
          </w:tcPr>
          <w:p>
            <w:r>
              <w:t>**CRM**</w:t>
            </w:r>
          </w:p>
        </w:tc>
        <w:tc>
          <w:tcPr>
            <w:tcW w:type="dxa" w:w="4680"/>
          </w:tcPr>
          <w:p>
            <w:r>
              <w:t>Customer Relationship Management — sistema para registrar y medir relaciones comerciales</w:t>
            </w:r>
          </w:p>
        </w:tc>
      </w:tr>
      <w:tr>
        <w:tc>
          <w:tcPr>
            <w:tcW w:type="dxa" w:w="4680"/>
          </w:tcPr>
          <w:p>
            <w:r>
              <w:t>**Lead**</w:t>
            </w:r>
          </w:p>
        </w:tc>
        <w:tc>
          <w:tcPr>
            <w:tcW w:type="dxa" w:w="4680"/>
          </w:tcPr>
          <w:p>
            <w:r>
              <w:t>Prospecto o contacto potencial; entidad inicial del embudo</w:t>
            </w:r>
          </w:p>
        </w:tc>
      </w:tr>
      <w:tr>
        <w:tc>
          <w:tcPr>
            <w:tcW w:type="dxa" w:w="4680"/>
          </w:tcPr>
          <w:p>
            <w:r>
              <w:t>**Customer**</w:t>
            </w:r>
          </w:p>
        </w:tc>
        <w:tc>
          <w:tcPr>
            <w:tcW w:type="dxa" w:w="4680"/>
          </w:tcPr>
          <w:p>
            <w:r>
              <w:t>Cuenta o cliente en el directorio del tenant</w:t>
            </w:r>
          </w:p>
        </w:tc>
      </w:tr>
      <w:tr>
        <w:tc>
          <w:tcPr>
            <w:tcW w:type="dxa" w:w="4680"/>
          </w:tcPr>
          <w:p>
            <w:r>
              <w:t>**Opportunity / Deal**</w:t>
            </w:r>
          </w:p>
        </w:tc>
        <w:tc>
          <w:tcPr>
            <w:tcW w:type="dxa" w:w="4680"/>
          </w:tcPr>
          <w:p>
            <w:r>
              <w:t>Oportunidad de venta con monto, etapa y probabilidad</w:t>
            </w:r>
          </w:p>
        </w:tc>
      </w:tr>
      <w:tr>
        <w:tc>
          <w:tcPr>
            <w:tcW w:type="dxa" w:w="4680"/>
          </w:tcPr>
          <w:p>
            <w:r>
              <w:t>**Pipeline**</w:t>
            </w:r>
          </w:p>
        </w:tc>
        <w:tc>
          <w:tcPr>
            <w:tcW w:type="dxa" w:w="4680"/>
          </w:tcPr>
          <w:p>
            <w:r>
              <w:t>Conjunto de oportunidades abiertas y sus etapas en `/Deals`</w:t>
            </w:r>
          </w:p>
        </w:tc>
      </w:tr>
      <w:tr>
        <w:tc>
          <w:tcPr>
            <w:tcW w:type="dxa" w:w="4680"/>
          </w:tcPr>
          <w:p>
            <w:r>
              <w:t>**Forecast**</w:t>
            </w:r>
          </w:p>
        </w:tc>
        <w:tc>
          <w:tcPr>
            <w:tcW w:type="dxa" w:w="4680"/>
          </w:tcPr>
          <w:p>
            <w:r>
              <w:t>Proyección ponderada: monto × probabilidad por ventana de cierre</w:t>
            </w:r>
          </w:p>
        </w:tc>
      </w:tr>
      <w:tr>
        <w:tc>
          <w:tcPr>
            <w:tcW w:type="dxa" w:w="4680"/>
          </w:tcPr>
          <w:p>
            <w:r>
              <w:t>**Workflow**</w:t>
            </w:r>
          </w:p>
        </w:tc>
        <w:tc>
          <w:tcPr>
            <w:tcW w:type="dxa" w:w="4680"/>
          </w:tcPr>
          <w:p>
            <w:r>
              <w:t>Automatización configurable: trigger + condiciones + acciones</w:t>
            </w:r>
          </w:p>
        </w:tc>
      </w:tr>
      <w:tr>
        <w:tc>
          <w:tcPr>
            <w:tcW w:type="dxa" w:w="4680"/>
          </w:tcPr>
          <w:p>
            <w:r>
              <w:t>**Tenant**</w:t>
            </w:r>
          </w:p>
        </w:tc>
        <w:tc>
          <w:tcPr>
            <w:tcW w:type="dxa" w:w="4680"/>
          </w:tcPr>
          <w:p>
            <w:r>
              <w:t>Organización aislada; todos los datos pertenecen a un TenantId</w:t>
            </w:r>
          </w:p>
        </w:tc>
      </w:tr>
      <w:tr>
        <w:tc>
          <w:tcPr>
            <w:tcW w:type="dxa" w:w="4680"/>
          </w:tcPr>
          <w:p>
            <w:r>
              <w:t>**Trust Studio**</w:t>
            </w:r>
          </w:p>
        </w:tc>
        <w:tc>
          <w:tcPr>
            <w:tcW w:type="dxa" w:w="4680"/>
          </w:tcPr>
          <w:p>
            <w:r>
              <w:t>Buzón HITL en `/TrustInbox` para aprobar decisiones de IA</w:t>
            </w:r>
          </w:p>
        </w:tc>
      </w:tr>
      <w:tr>
        <w:tc>
          <w:tcPr>
            <w:tcW w:type="dxa" w:w="4680"/>
          </w:tcPr>
          <w:p>
            <w:r>
              <w:t>**Revenue OS**</w:t>
            </w:r>
          </w:p>
        </w:tc>
        <w:tc>
          <w:tcPr>
            <w:tcW w:type="dxa" w:w="4680"/>
          </w:tcPr>
          <w:p>
            <w:r>
              <w:t>Módulo de ingresos en `/revenue` — priorización y fugas</w:t>
            </w:r>
          </w:p>
        </w:tc>
      </w:tr>
      <w:tr>
        <w:tc>
          <w:tcPr>
            <w:tcW w:type="dxa" w:w="4680"/>
          </w:tcPr>
          <w:p>
            <w:r>
              <w:t>**Executive OS**</w:t>
            </w:r>
          </w:p>
        </w:tc>
        <w:tc>
          <w:tcPr>
            <w:tcW w:type="dxa" w:w="4680"/>
          </w:tcPr>
          <w:p>
            <w:r>
              <w:t>Tablero ejecutivo en `/executive`</w:t>
            </w:r>
          </w:p>
        </w:tc>
      </w:tr>
      <w:tr>
        <w:tc>
          <w:tcPr>
            <w:tcW w:type="dxa" w:w="4680"/>
          </w:tcPr>
          <w:p>
            <w:r>
              <w:t>**MFA**</w:t>
            </w:r>
          </w:p>
        </w:tc>
        <w:tc>
          <w:tcPr>
            <w:tcW w:type="dxa" w:w="4680"/>
          </w:tcPr>
          <w:p>
            <w:r>
              <w:t>Autenticación multifactor configurable en Settings</w:t>
            </w:r>
          </w:p>
        </w:tc>
      </w:tr>
      <w:tr>
        <w:tc>
          <w:tcPr>
            <w:tcW w:type="dxa" w:w="4680"/>
          </w:tcPr>
          <w:p>
            <w:r>
              <w:t>**ABAC**</w:t>
            </w:r>
          </w:p>
        </w:tc>
        <w:tc>
          <w:tcPr>
            <w:tcW w:type="dxa" w:w="4680"/>
          </w:tcPr>
          <w:p>
            <w:r>
              <w:t>Attribute-Based Access Control — políticas en `/Policies` (no sustituye RBAC)</w:t>
            </w:r>
          </w:p>
        </w:tc>
      </w:tr>
      <w:tr>
        <w:tc>
          <w:tcPr>
            <w:tcW w:type="dxa" w:w="4680"/>
          </w:tcPr>
          <w:p>
            <w:r>
              <w:t>**Customer Success**</w:t>
            </w:r>
          </w:p>
        </w:tc>
        <w:tc>
          <w:tcPr>
            <w:tcW w:type="dxa" w:w="4680"/>
          </w:tcPr>
          <w:p>
            <w:r>
              <w:t>Módulo post-venta en `/customer-success` (no es un rol)</w:t>
            </w:r>
          </w:p>
        </w:tc>
      </w:tr>
      <w:tr>
        <w:tc>
          <w:tcPr>
            <w:tcW w:type="dxa" w:w="4680"/>
          </w:tcPr>
          <w:p>
            <w:r>
              <w:t>**Churn**</w:t>
            </w:r>
          </w:p>
        </w:tc>
        <w:tc>
          <w:tcPr>
            <w:tcW w:type="dxa" w:w="4680"/>
          </w:tcPr>
          <w:p>
            <w:r>
              <w:t>Abandono del cliente; predicción ML en Customer 360</w:t>
            </w:r>
          </w:p>
        </w:tc>
      </w:tr>
      <w:tr>
        <w:tc>
          <w:tcPr>
            <w:tcW w:type="dxa" w:w="4680"/>
          </w:tcPr>
          <w:p>
            <w:r>
              <w:t>**LTV**</w:t>
            </w:r>
          </w:p>
        </w:tc>
        <w:tc>
          <w:tcPr>
            <w:tcW w:type="dxa" w:w="4680"/>
          </w:tcPr>
          <w:p>
            <w:r>
              <w:t>Lifetime Value — valor acumulado del cliente</w:t>
            </w:r>
          </w:p>
        </w:tc>
      </w:tr>
      <w:tr>
        <w:tc>
          <w:tcPr>
            <w:tcW w:type="dxa" w:w="4680"/>
          </w:tcPr>
          <w:p>
            <w:r>
              <w:t>**Upsell**</w:t>
            </w:r>
          </w:p>
        </w:tc>
        <w:tc>
          <w:tcPr>
            <w:tcW w:type="dxa" w:w="4680"/>
          </w:tcPr>
          <w:p>
            <w:r>
              <w:t>Venta adicional al mismo cliente (expansión)</w:t>
            </w:r>
          </w:p>
        </w:tc>
      </w:tr>
      <w:tr>
        <w:tc>
          <w:tcPr>
            <w:tcW w:type="dxa" w:w="4680"/>
          </w:tcPr>
          <w:p>
            <w:r>
              <w:t>**Cross-Sell**</w:t>
            </w:r>
          </w:p>
        </w:tc>
        <w:tc>
          <w:tcPr>
            <w:tcW w:type="dxa" w:w="4680"/>
          </w:tcPr>
          <w:p>
            <w:r>
              <w:t>Venta de productos complementarios</w:t>
            </w:r>
          </w:p>
        </w:tc>
      </w:tr>
      <w:tr>
        <w:tc>
          <w:tcPr>
            <w:tcW w:type="dxa" w:w="4680"/>
          </w:tcPr>
          <w:p>
            <w:r>
              <w:t>**Playbook**</w:t>
            </w:r>
          </w:p>
        </w:tc>
        <w:tc>
          <w:tcPr>
            <w:tcW w:type="dxa" w:w="4680"/>
          </w:tcPr>
          <w:p>
            <w:r>
              <w:t>Secuencia automatizada: onboarding, rescue, re-engagement</w:t>
            </w:r>
          </w:p>
        </w:tc>
      </w:tr>
      <w:tr>
        <w:tc>
          <w:tcPr>
            <w:tcW w:type="dxa" w:w="4680"/>
          </w:tcPr>
          <w:p>
            <w:r>
              <w:t>**AI Agent**</w:t>
            </w:r>
          </w:p>
        </w:tc>
        <w:tc>
          <w:tcPr>
            <w:tcW w:type="dxa" w:w="4680"/>
          </w:tcPr>
          <w:p>
            <w:r>
              <w:t>Agente autónomo en `/Agents` (LeadIntelligence, Communication, etc.)</w:t>
            </w:r>
          </w:p>
        </w:tc>
      </w:tr>
      <w:tr>
        <w:tc>
          <w:tcPr>
            <w:tcW w:type="dxa" w:w="4680"/>
          </w:tcPr>
          <w:p>
            <w:r>
              <w:t>**Semantic Memory**</w:t>
            </w:r>
          </w:p>
        </w:tc>
        <w:tc>
          <w:tcPr>
            <w:tcW w:type="dxa" w:w="4680"/>
          </w:tcPr>
          <w:p>
            <w:r>
              <w:t>Memoria empresarial en `/Memory`</w:t>
            </w:r>
          </w:p>
        </w:tc>
      </w:tr>
      <w:tr>
        <w:tc>
          <w:tcPr>
            <w:tcW w:type="dxa" w:w="4680"/>
          </w:tcPr>
          <w:p>
            <w:r>
              <w:t>**Outcome Fabric**</w:t>
            </w:r>
          </w:p>
        </w:tc>
        <w:tc>
          <w:tcPr>
            <w:tcW w:type="dxa" w:w="4680"/>
          </w:tcPr>
          <w:p>
            <w:r>
              <w:t>Atribución de resultados en `/command/outcomes`</w:t>
            </w:r>
          </w:p>
        </w:tc>
      </w:tr>
      <w:tr>
        <w:tc>
          <w:tcPr>
            <w:tcW w:type="dxa" w:w="4680"/>
          </w:tcPr>
          <w:p>
            <w:r>
              <w:t>**HITL**</w:t>
            </w:r>
          </w:p>
        </w:tc>
        <w:tc>
          <w:tcPr>
            <w:tcW w:type="dxa" w:w="4680"/>
          </w:tcPr>
          <w:p>
            <w:r>
              <w:t>Human-in-the-Loop — supervisión humana de decisiones IA</w:t>
            </w:r>
          </w:p>
        </w:tc>
      </w:tr>
      <w:tr>
        <w:tc>
          <w:tcPr>
            <w:tcW w:type="dxa" w:w="4680"/>
          </w:tcPr>
          <w:p>
            <w:r>
              <w:t>**SLA**</w:t>
            </w:r>
          </w:p>
        </w:tc>
        <w:tc>
          <w:tcPr>
            <w:tcW w:type="dxa" w:w="4680"/>
          </w:tcPr>
          <w:p>
            <w:r>
              <w:t>Acuerdo de nivel de servicio (ej. contacto lead en 24 h)</w:t>
            </w:r>
          </w:p>
        </w:tc>
      </w:tr>
      <w:tr>
        <w:tc>
          <w:tcPr>
            <w:tcW w:type="dxa" w:w="4680"/>
          </w:tcPr>
          <w:p>
            <w:r>
              <w:t>**DLQ**</w:t>
            </w:r>
          </w:p>
        </w:tc>
        <w:tc>
          <w:tcPr>
            <w:tcW w:type="dxa" w:w="4680"/>
          </w:tcPr>
          <w:p>
            <w:r>
              <w:t>Dead Letter Queue — eventos fallidos en `/FailedEvents`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pPr>
        <w:pStyle w:val="Heading1"/>
      </w:pPr>
      <w:r>
        <w:rPr>
          <w:rFonts w:ascii="Segoe UI" w:hAnsi="Segoe UI" w:eastAsia="Segoe UI"/>
          <w:b/>
          <w:sz w:val="32"/>
        </w:rPr>
        <w:t>5. Apéndices</w:t>
      </w:r>
    </w:p>
    <w:p>
      <w:pPr>
        <w:pStyle w:val="Heading2"/>
      </w:pPr>
      <w:r>
        <w:rPr>
          <w:rFonts w:ascii="Segoe UI" w:hAnsi="Segoe UI" w:eastAsia="Segoe UI"/>
          <w:b/>
          <w:sz w:val="28"/>
        </w:rPr>
        <w:t>5.1 Referencias cruzadas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Documento</w:t>
            </w:r>
          </w:p>
        </w:tc>
        <w:tc>
          <w:tcPr>
            <w:tcW w:type="dxa" w:w="4680"/>
          </w:tcPr>
          <w:p>
            <w:r>
              <w:t>Ubicación</w:t>
            </w:r>
          </w:p>
        </w:tc>
      </w:tr>
      <w:tr>
        <w:tc>
          <w:tcPr>
            <w:tcW w:type="dxa" w:w="4680"/>
          </w:tcPr>
          <w:p>
            <w:r>
              <w:t>Matriz de permisos</w:t>
            </w:r>
          </w:p>
        </w:tc>
        <w:tc>
          <w:tcPr>
            <w:tcW w:type="dxa" w:w="4680"/>
          </w:tcPr>
          <w:p>
            <w:r>
              <w:t>`Documentation/ROLE_PERMISSION_MATRIX.md`</w:t>
            </w:r>
          </w:p>
        </w:tc>
      </w:tr>
      <w:tr>
        <w:tc>
          <w:tcPr>
            <w:tcW w:type="dxa" w:w="4680"/>
          </w:tcPr>
          <w:p>
            <w:r>
              <w:t>Descubrimiento de roles</w:t>
            </w:r>
          </w:p>
        </w:tc>
        <w:tc>
          <w:tcPr>
            <w:tcW w:type="dxa" w:w="4680"/>
          </w:tcPr>
          <w:p>
            <w:r>
              <w:t>`Documentation/ROLE_DISCOVERY_REPORT.md`</w:t>
            </w:r>
          </w:p>
        </w:tc>
      </w:tr>
      <w:tr>
        <w:tc>
          <w:tcPr>
            <w:tcW w:type="dxa" w:w="4680"/>
          </w:tcPr>
          <w:p>
            <w:r>
              <w:t>Manual maestro</w:t>
            </w:r>
          </w:p>
        </w:tc>
        <w:tc>
          <w:tcPr>
            <w:tcW w:type="dxa" w:w="4680"/>
          </w:tcPr>
          <w:p>
            <w:r>
              <w:t>`docs/manual-empresarial-autonomuscrm/`</w:t>
            </w:r>
          </w:p>
        </w:tc>
      </w:tr>
    </w:tbl>
    <w:p>
      <w:pPr>
        <w:pStyle w:val="Heading2"/>
      </w:pPr>
      <w:r>
        <w:rPr>
          <w:rFonts w:ascii="Segoe UI" w:hAnsi="Segoe UI" w:eastAsia="Segoe UI"/>
          <w:b/>
          <w:sz w:val="28"/>
        </w:rPr>
        <w:t>5.2 Pie de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Campo</w:t>
            </w:r>
          </w:p>
        </w:tc>
        <w:tc>
          <w:tcPr>
            <w:tcW w:type="dxa" w:w="4680"/>
          </w:tcPr>
          <w:p>
            <w:r>
              <w:t>Valor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AutonomusCRM</w:t>
            </w:r>
          </w:p>
        </w:tc>
      </w:tr>
      <w:tr>
        <w:tc>
          <w:tcPr>
            <w:tcW w:type="dxa" w:w="4680"/>
          </w:tcPr>
          <w:p>
            <w:r>
              <w:t>Versión documento</w:t>
            </w:r>
          </w:p>
        </w:tc>
        <w:tc>
          <w:tcPr>
            <w:tcW w:type="dxa" w:w="4680"/>
          </w:tcPr>
          <w:p>
            <w:r>
              <w:t>2.0.0</w:t>
            </w:r>
          </w:p>
        </w:tc>
      </w:tr>
      <w:tr>
        <w:tc>
          <w:tcPr>
            <w:tcW w:type="dxa" w:w="4680"/>
          </w:tcPr>
          <w:p>
            <w:r>
              <w:t>Clasificación</w:t>
            </w:r>
          </w:p>
        </w:tc>
        <w:tc>
          <w:tcPr>
            <w:tcW w:type="dxa" w:w="4680"/>
          </w:tcPr>
          <w:p>
            <w:r>
              <w:t>Confidencial — Uso interno y clientes autorizados</w:t>
            </w:r>
          </w:p>
        </w:tc>
      </w:tr>
      <w:tr>
        <w:tc>
          <w:tcPr>
            <w:tcW w:type="dxa" w:w="4680"/>
          </w:tcPr>
          <w:p>
            <w:r>
              <w:t>Fuente</w:t>
            </w:r>
          </w:p>
        </w:tc>
        <w:tc>
          <w:tcPr>
            <w:tcW w:type="dxa" w:w="4680"/>
          </w:tcPr>
          <w:p>
            <w:r>
              <w:t>Código verificado — sin funcionalidades inventadas</w:t>
            </w:r>
          </w:p>
        </w:tc>
      </w:tr>
    </w:tbl>
    <w:p>
      <w:r>
        <w:rPr>
          <w:rFonts w:ascii="Segoe UI" w:hAnsi="Segoe UI" w:eastAsia="Segoe UI"/>
          <w:b w:val="0"/>
          <w:sz w:val="22"/>
        </w:rPr>
        <w:t>---</w:t>
      </w:r>
    </w:p>
    <w:p>
      <w:r>
        <w:rPr>
          <w:rFonts w:ascii="Segoe UI" w:hAnsi="Segoe UI" w:eastAsia="Segoe UI"/>
          <w:b w:val="0"/>
          <w:sz w:val="22"/>
        </w:rPr>
        <w:t>*© AutonomusCRM — Documentación Enterprise. Listo para impresión PDF y capacitación corporativa.*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sz w:val="16"/>
      </w:rPr>
      <w:t xml:space="preserve">SUPPORT OPERATIONS GUIDE  |  v2.0.0  |  Confidencial — Uso interno y clientes autorizados  |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egoe UI" w:hAnsi="Segoe UI" w:eastAsia="Segoe UI"/>
        <w:b/>
        <w:color w:val="0078D4"/>
        <w:sz w:val="18"/>
      </w:rPr>
      <w:t>AutonomusCRM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