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c1e12a06a92d48b8" /><Relationship Type="http://schemas.openxmlformats.org/package/2006/relationships/metadata/core-properties" Target="package/services/metadata/core-properties/a51c89ce89384997882ae6066ed16c95.psmdcp" Id="R83286cab186c44c1"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12F0D589" w:rsidRDefault="00000000" w14:paraId="00000001" wp14:textId="77777777">
      <w:pPr>
        <w:pStyle w:val="Heading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275" w:lineRule="auto"/>
        <w:rPr>
          <w:rFonts w:ascii="Google Sans" w:hAnsi="Google Sans" w:eastAsia="Google Sans" w:cs="Google Sans"/>
          <w:lang w:val="en-US"/>
        </w:rPr>
      </w:pPr>
      <w:r w:rsidRPr="12F0D589" w:rsidR="12F0D589">
        <w:rPr>
          <w:rFonts w:ascii="Google Sans" w:hAnsi="Google Sans" w:eastAsia="Google Sans" w:cs="Google Sans"/>
          <w:lang w:val="en-US"/>
        </w:rPr>
        <w:t>Revisión de Literatura: Fundamentos Científicos y Tecnológicos para el Desarrollo de un Índice Dinámico de Riesgo en Rutas de Senderismo</w:t>
      </w:r>
    </w:p>
    <w:p xmlns:wp14="http://schemas.microsoft.com/office/word/2010/wordml" w:rsidP="12F0D589" w:rsidRDefault="00000000" w14:paraId="00000002"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275" w:lineRule="auto"/>
        <w:rPr>
          <w:rFonts w:ascii="Google Sans" w:hAnsi="Google Sans" w:eastAsia="Google Sans" w:cs="Google Sans"/>
          <w:lang w:val="en-US"/>
        </w:rPr>
      </w:pPr>
      <w:r w:rsidRPr="12F0D589" w:rsidR="12F0D589">
        <w:rPr>
          <w:rFonts w:ascii="Google Sans" w:hAnsi="Google Sans" w:eastAsia="Google Sans" w:cs="Google Sans"/>
          <w:lang w:val="en-US"/>
        </w:rPr>
        <w:t>Introducción al Análisis Predictivo en Sistemas de Información Geográfica y Ciencias del Deporte</w:t>
      </w:r>
    </w:p>
    <w:p xmlns:wp14="http://schemas.microsoft.com/office/word/2010/wordml" w:rsidP="12F0D589" w:rsidRDefault="00000000" w14:paraId="0000000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La conceptualización, diseño y despliegue de un "Índice Dinámico de Riesgo" para entornos naturales agrestes exige la convergencia de múltiples disciplinas científicas. Tradicionalmente, la planificación de rutas de senderismo y la estimación de tiempos de marcha se han fundamentado en heurísticas estáticas extraídas de mapas topográficos bidimensionales. Sin embargo, la navegación en terrenos irregulares, especialmente en regiones de alta complejidad orográfica y climática, impone demandas fisiológicas y biomecánicas que varían de forma no lineal. El análisis predictivo moderno supera la topografía estática al integrar Modelos Digitales de Elevación (DEM), bases de datos espaciales con topología de red y flujos de datos meteorológicos en tiempo real</w:t>
      </w:r>
      <w:r w:rsidRPr="12F0D589" w:rsidR="12F0D589">
        <w:rPr>
          <w:rFonts w:ascii="Google Sans" w:hAnsi="Google Sans" w:eastAsia="Google Sans" w:cs="Google Sans"/>
          <w:sz w:val="24"/>
          <w:szCs w:val="24"/>
          <w:vertAlign w:val="superscript"/>
          <w:lang w:val="en-US"/>
        </w:rPr>
        <w:t>1</w:t>
      </w:r>
      <w:r w:rsidRPr="12F0D589" w:rsidR="12F0D589">
        <w:rPr>
          <w:rFonts w:ascii="Google Sans" w:hAnsi="Google Sans" w:eastAsia="Google Sans" w:cs="Google Sans"/>
          <w:lang w:val="en-US"/>
        </w:rPr>
        <w:t>.</w:t>
      </w:r>
    </w:p>
    <w:p xmlns:wp14="http://schemas.microsoft.com/office/word/2010/wordml" w:rsidP="12F0D589" w:rsidRDefault="00000000" w14:paraId="0000000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El desarrollo de un índice de riesgo requiere modelar el agotamiento humano como una función dinámica. Los modelos de estimación de esfuerzo físico, que históricamente dependían de promedios de velocidad lineal, han evolucionado hacia algoritmos exponenciales y polinomiales que calculan el costo metabólico exacto de la locomoción en función del gradiente y el tipo de superficie</w:t>
      </w:r>
      <w:r w:rsidRPr="12F0D589" w:rsidR="12F0D589">
        <w:rPr>
          <w:rFonts w:ascii="Google Sans" w:hAnsi="Google Sans" w:eastAsia="Google Sans" w:cs="Google Sans"/>
          <w:sz w:val="24"/>
          <w:szCs w:val="24"/>
          <w:vertAlign w:val="superscript"/>
          <w:lang w:val="en-US"/>
        </w:rPr>
        <w:t>4</w:t>
      </w:r>
      <w:r w:rsidRPr="12F0D589" w:rsidR="12F0D589">
        <w:rPr>
          <w:rFonts w:ascii="Google Sans" w:hAnsi="Google Sans" w:eastAsia="Google Sans" w:cs="Google Sans"/>
          <w:lang w:val="en-US"/>
        </w:rPr>
        <w:t>. Al trasladar estos modelos teóricos a entornos tropicales o neotropicales, las suposiciones de laboratorio a menudo se desmoronan frente a la severidad del estrés térmico. Las altas temperaturas, combinadas con una elevada humedad absoluta, desencadenan una cascada de alteraciones fisiológicas, documentadas primariamente a través de la deriva cardiovascular, donde la disipación del calor compromete la eficiencia circulatoria e induce fatiga prematura</w:t>
      </w:r>
      <w:r w:rsidRPr="12F0D589" w:rsidR="12F0D589">
        <w:rPr>
          <w:rFonts w:ascii="Google Sans" w:hAnsi="Google Sans" w:eastAsia="Google Sans" w:cs="Google Sans"/>
          <w:sz w:val="24"/>
          <w:szCs w:val="24"/>
          <w:vertAlign w:val="superscript"/>
          <w:lang w:val="en-US"/>
        </w:rPr>
        <w:t>7</w:t>
      </w:r>
      <w:r w:rsidRPr="12F0D589" w:rsidR="12F0D589">
        <w:rPr>
          <w:rFonts w:ascii="Google Sans" w:hAnsi="Google Sans" w:eastAsia="Google Sans" w:cs="Google Sans"/>
          <w:lang w:val="en-US"/>
        </w:rPr>
        <w:t>.</w:t>
      </w:r>
    </w:p>
    <w:p xmlns:wp14="http://schemas.microsoft.com/office/word/2010/wordml" w:rsidP="12F0D589" w:rsidRDefault="00000000" w14:paraId="0000000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A medida que se instaura la fatiga, la biomecánica de la marcha se degrada. Las alteraciones cinemáticas en la longitud del paso, la frecuencia de la zancada y el control del centro de masa incrementan exponencialmente el riesgo de inestabilidad postural, resbalones y caídas, transformando un sendero moderado en un entorno de alto riesgo</w:t>
      </w:r>
      <w:r w:rsidRPr="12F0D589" w:rsidR="12F0D589">
        <w:rPr>
          <w:rFonts w:ascii="Google Sans" w:hAnsi="Google Sans" w:eastAsia="Google Sans" w:cs="Google Sans"/>
          <w:sz w:val="24"/>
          <w:szCs w:val="24"/>
          <w:vertAlign w:val="superscript"/>
          <w:lang w:val="en-US"/>
        </w:rPr>
        <w:t>10</w:t>
      </w:r>
      <w:r w:rsidRPr="12F0D589" w:rsidR="12F0D589">
        <w:rPr>
          <w:rFonts w:ascii="Google Sans" w:hAnsi="Google Sans" w:eastAsia="Google Sans" w:cs="Google Sans"/>
          <w:lang w:val="en-US"/>
        </w:rPr>
        <w:t>. Para evaluar estas condiciones dinámicamente, las infraestructuras tecnológicas contemporáneas emplean Sistemas de Información Geográfica (SIG) avanzados. Motores como PostgreSQL equipados con PostGIS y pgRouting permiten recalcular los pesos o "costos" de una red espacial casi en tiempo real, asimilando datos de interfaces de programación de aplicaciones (APIs) meteorológicas para redefinir el nivel de peligro de un trayecto minuto a minuto</w:t>
      </w:r>
      <w:r w:rsidRPr="12F0D589" w:rsidR="12F0D589">
        <w:rPr>
          <w:rFonts w:ascii="Google Sans" w:hAnsi="Google Sans" w:eastAsia="Google Sans" w:cs="Google Sans"/>
          <w:sz w:val="24"/>
          <w:szCs w:val="24"/>
          <w:vertAlign w:val="superscript"/>
          <w:lang w:val="en-US"/>
        </w:rPr>
        <w:t>1</w:t>
      </w:r>
      <w:r w:rsidRPr="12F0D589" w:rsidR="12F0D589">
        <w:rPr>
          <w:rFonts w:ascii="Google Sans" w:hAnsi="Google Sans" w:eastAsia="Google Sans" w:cs="Google Sans"/>
          <w:lang w:val="en-US"/>
        </w:rPr>
        <w:t>.</w:t>
      </w:r>
    </w:p>
    <w:p xmlns:wp14="http://schemas.microsoft.com/office/word/2010/wordml" w:rsidP="12F0D589" w:rsidRDefault="00000000" w14:paraId="0000000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El presente informe estructura una revisión exhaustiva de los antecedentes científicos disponibles, desglosando los modelos matemáticos de esfuerzo físico, la influencia del clima tropical en la termorregulación y la biomecánica, la arquitectura de las bases de datos espaciales orientadas a rutas dinámicas y, finalmente, las aplicaciones metodológicas consolidadas en el ecoturismo y la gestión de parques nacionales en América Latina. Esta síntesis establece los cimientos teóricos y algorítmicos necesarios para la estructuración de una arquitectura backend de alto rendimiento orientada a la seguridad en montaña.</w:t>
      </w:r>
    </w:p>
    <w:p xmlns:wp14="http://schemas.microsoft.com/office/word/2010/wordml" w:rsidP="12F0D589" w:rsidRDefault="00000000" w14:paraId="00000007"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275" w:lineRule="auto"/>
        <w:rPr>
          <w:rFonts w:ascii="Google Sans" w:hAnsi="Google Sans" w:eastAsia="Google Sans" w:cs="Google Sans"/>
          <w:lang w:val="en-US"/>
        </w:rPr>
      </w:pPr>
      <w:r w:rsidRPr="12F0D589" w:rsidR="12F0D589">
        <w:rPr>
          <w:rFonts w:ascii="Google Sans" w:hAnsi="Google Sans" w:eastAsia="Google Sans" w:cs="Google Sans"/>
          <w:lang w:val="en-US"/>
        </w:rPr>
        <w:t>Modelos y Algoritmos de Esfuerzo Físico: De la Heurística Espacial al Costo Metabólico</w:t>
      </w:r>
    </w:p>
    <w:p xmlns:wp14="http://schemas.microsoft.com/office/word/2010/wordml" w:rsidP="12F0D589" w:rsidRDefault="00000000" w14:paraId="0000000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La cuantificación del costo de desplazamiento peatonal es la piedra angular de cualquier índice de riesgo. La transición histórica de heurísticas simples a modelos de fricción espacial tridimensional evidencia el esfuerzo de la comunidad científica por capturar la asimetría de la locomoción humana en pendientes.</w:t>
      </w:r>
    </w:p>
    <w:p xmlns:wp14="http://schemas.microsoft.com/office/word/2010/wordml" w:rsidP="12F0D589" w:rsidRDefault="00000000" w14:paraId="00000009"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275" w:lineRule="auto"/>
        <w:rPr>
          <w:rFonts w:ascii="Google Sans" w:hAnsi="Google Sans" w:eastAsia="Google Sans" w:cs="Google Sans"/>
          <w:lang w:val="en-US"/>
        </w:rPr>
      </w:pPr>
      <w:r w:rsidRPr="12F0D589" w:rsidR="12F0D589">
        <w:rPr>
          <w:rFonts w:ascii="Google Sans" w:hAnsi="Google Sans" w:eastAsia="Google Sans" w:cs="Google Sans"/>
          <w:lang w:val="en-US"/>
        </w:rPr>
        <w:t>Reglas Heurísticas y Estimación Lineal: La Base Histórica</w:t>
      </w:r>
    </w:p>
    <w:p xmlns:wp14="http://schemas.microsoft.com/office/word/2010/wordml" w:rsidP="12F0D589" w:rsidRDefault="00000000" w14:paraId="0000000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Las primeras estandarizaciones en la estimación de tiempos de marcha provienen de la Regla de Naismith, concebida en 1892 por el montañista escocés William Naismith. El postulado original dicta una velocidad base de 5 km/h en terreno llano, agregando una penalización estricta de una hora adicional por cada 600 metros de ascenso vertical (equivalente a 1 hora por cada 3 millas y 1 hora por cada 2,000 pies de elevación)</w:t>
      </w:r>
      <w:r w:rsidRPr="12F0D589" w:rsidR="12F0D589">
        <w:rPr>
          <w:rFonts w:ascii="Google Sans" w:hAnsi="Google Sans" w:eastAsia="Google Sans" w:cs="Google Sans"/>
          <w:sz w:val="24"/>
          <w:szCs w:val="24"/>
          <w:vertAlign w:val="superscript"/>
          <w:lang w:val="en-US"/>
        </w:rPr>
        <w:t>4</w:t>
      </w:r>
      <w:r w:rsidRPr="12F0D589" w:rsidR="12F0D589">
        <w:rPr>
          <w:rFonts w:ascii="Google Sans" w:hAnsi="Google Sans" w:eastAsia="Google Sans" w:cs="Google Sans"/>
          <w:lang w:val="en-US"/>
        </w:rPr>
        <w:t>. La aplicabilidad de esta regla en el desarrollo de software radica en su simplicidad computacional, permitiendo la derivación de "distancias planas equivalentes". Mediante el factor de equivalencia de Scarf, la regla de Naismith postula que 7.92 unidades de distancia plana equivalen en esfuerzo temporal a 1 unidad de escalada vertical (frecuentemente simplificado a una relación 8:1)</w:t>
      </w:r>
      <w:r w:rsidRPr="12F0D589" w:rsidR="12F0D589">
        <w:rPr>
          <w:rFonts w:ascii="Google Sans" w:hAnsi="Google Sans" w:eastAsia="Google Sans" w:cs="Google Sans"/>
          <w:sz w:val="24"/>
          <w:szCs w:val="24"/>
          <w:vertAlign w:val="superscript"/>
          <w:lang w:val="en-US"/>
        </w:rPr>
        <w:t>15</w:t>
      </w:r>
      <w:r w:rsidRPr="12F0D589" w:rsidR="12F0D589">
        <w:rPr>
          <w:rFonts w:ascii="Google Sans" w:hAnsi="Google Sans" w:eastAsia="Google Sans" w:cs="Google Sans"/>
          <w:lang w:val="en-US"/>
        </w:rPr>
        <w:t>.</w:t>
      </w:r>
    </w:p>
    <w:p xmlns:wp14="http://schemas.microsoft.com/office/word/2010/wordml" w:rsidP="12F0D589" w:rsidRDefault="00000000" w14:paraId="0000000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Sin embargo, el modelo de Naismith presenta una limitación crítica: asume erróneamente que la velocidad de descenso es idéntica a la velocidad en terreno plano, ignorando la aceleración natural en pendientes suaves y la necesidad de frenado en declives pronunciados</w:t>
      </w:r>
      <w:r w:rsidRPr="12F0D589" w:rsidR="12F0D589">
        <w:rPr>
          <w:rFonts w:ascii="Google Sans" w:hAnsi="Google Sans" w:eastAsia="Google Sans" w:cs="Google Sans"/>
          <w:sz w:val="24"/>
          <w:szCs w:val="24"/>
          <w:vertAlign w:val="superscript"/>
          <w:lang w:val="en-US"/>
        </w:rPr>
        <w:t>16</w:t>
      </w:r>
      <w:r w:rsidRPr="12F0D589" w:rsidR="12F0D589">
        <w:rPr>
          <w:rFonts w:ascii="Google Sans" w:hAnsi="Google Sans" w:eastAsia="Google Sans" w:cs="Google Sans"/>
          <w:lang w:val="en-US"/>
        </w:rPr>
        <w:t>. Para mitigar estas fallas empíricas, Langmuir introdujo correcciones específicas para los descensos, restando 10 minutos por cada 300 metros de descenso en pendientes suaves (5 a 12 grados) y sumando 10 minutos por cada 300 metros en descensos abruptos (superiores a 12 grados)</w:t>
      </w:r>
      <w:r w:rsidRPr="12F0D589" w:rsidR="12F0D589">
        <w:rPr>
          <w:rFonts w:ascii="Google Sans" w:hAnsi="Google Sans" w:eastAsia="Google Sans" w:cs="Google Sans"/>
          <w:sz w:val="24"/>
          <w:szCs w:val="24"/>
          <w:vertAlign w:val="superscript"/>
          <w:lang w:val="en-US"/>
        </w:rPr>
        <w:t>4</w:t>
      </w:r>
      <w:r w:rsidRPr="12F0D589" w:rsidR="12F0D589">
        <w:rPr>
          <w:rFonts w:ascii="Google Sans" w:hAnsi="Google Sans" w:eastAsia="Google Sans" w:cs="Google Sans"/>
          <w:lang w:val="en-US"/>
        </w:rPr>
        <w:t>. Autores posteriores, como Aitken y Tranter, refinaron aún más la fórmula integrando multiplicadores que penalizan el tránsito fuera de pista (reduciendo la velocidad base a 4 km/h) y ajustan la estimación según la fatiga acumulada o la condición física del individuo</w:t>
      </w:r>
      <w:r w:rsidRPr="12F0D589" w:rsidR="12F0D589">
        <w:rPr>
          <w:rFonts w:ascii="Google Sans" w:hAnsi="Google Sans" w:eastAsia="Google Sans" w:cs="Google Sans"/>
          <w:sz w:val="24"/>
          <w:szCs w:val="24"/>
          <w:vertAlign w:val="superscript"/>
          <w:lang w:val="en-US"/>
        </w:rPr>
        <w:t>16</w:t>
      </w:r>
      <w:r w:rsidRPr="12F0D589" w:rsidR="12F0D589">
        <w:rPr>
          <w:rFonts w:ascii="Google Sans" w:hAnsi="Google Sans" w:eastAsia="Google Sans" w:cs="Google Sans"/>
          <w:lang w:val="en-US"/>
        </w:rPr>
        <w:t>.</w:t>
      </w:r>
    </w:p>
    <w:p xmlns:wp14="http://schemas.microsoft.com/office/word/2010/wordml" w:rsidP="12F0D589" w:rsidRDefault="00000000" w14:paraId="0000000C"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275" w:lineRule="auto"/>
        <w:rPr>
          <w:rFonts w:ascii="Google Sans" w:hAnsi="Google Sans" w:eastAsia="Google Sans" w:cs="Google Sans"/>
          <w:lang w:val="en-US"/>
        </w:rPr>
      </w:pPr>
      <w:r w:rsidRPr="12F0D589" w:rsidR="12F0D589">
        <w:rPr>
          <w:rFonts w:ascii="Google Sans" w:hAnsi="Google Sans" w:eastAsia="Google Sans" w:cs="Google Sans"/>
          <w:lang w:val="en-US"/>
        </w:rPr>
        <w:t>Modelado Exponencial y Fricción Espacial: La Función de Tobler y sus Variantes</w:t>
      </w:r>
    </w:p>
    <w:p xmlns:wp14="http://schemas.microsoft.com/office/word/2010/wordml" w:rsidP="12F0D589" w:rsidRDefault="00000000" w14:paraId="0000000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El modelado cartográfico moderno experimentó una revolución con la introducción de la "Función de Excursionismo de Tobler" (Tobler's Hiking Function) en 1993, elaborada por Waldo Tobler a partir de datos empíricos de marchas militares suizas recopilados por Eduard Imhof</w:t>
      </w:r>
      <w:r w:rsidRPr="12F0D589" w:rsidR="12F0D589">
        <w:rPr>
          <w:rFonts w:ascii="Google Sans" w:hAnsi="Google Sans" w:eastAsia="Google Sans" w:cs="Google Sans"/>
          <w:sz w:val="24"/>
          <w:szCs w:val="24"/>
          <w:vertAlign w:val="superscript"/>
          <w:lang w:val="en-US"/>
        </w:rPr>
        <w:t>4</w:t>
      </w:r>
      <w:r w:rsidRPr="12F0D589" w:rsidR="12F0D589">
        <w:rPr>
          <w:rFonts w:ascii="Google Sans" w:hAnsi="Google Sans" w:eastAsia="Google Sans" w:cs="Google Sans"/>
          <w:lang w:val="en-US"/>
        </w:rPr>
        <w:t>. A diferencia de los enfoques lineales por segmentos, Tobler conceptualizó la velocidad de caminata como una función exponencial matemática y continua del gradiente topográfico.</w:t>
      </w:r>
    </w:p>
    <w:p xmlns:wp14="http://schemas.microsoft.com/office/word/2010/wordml" w:rsidP="12F0D589" w:rsidRDefault="00000000" w14:paraId="0000000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 xml:space="preserve">La función se expresa de la siguiente manera, donde </w:t>
      </w:r>
      <w:r w:rsidR="12F0D589">
        <w:drawing>
          <wp:inline xmlns:wp14="http://schemas.microsoft.com/office/word/2010/wordprocessingDrawing" wp14:editId="20930439" wp14:anchorId="7040433D">
            <wp:extent cx="212090" cy="250652"/>
            <wp:effectExtent l="0" t="0" r="0" b="0"/>
            <wp:docPr id="11" name="image5.png"/>
            <wp:cNvGraphicFramePr/>
            <a:graphic>
              <a:graphicData xmlns:a="http://schemas.openxmlformats.org/drawingml/2006/main" uri="http://schemas.openxmlformats.org/drawingml/2006/picture">
                <pic:pic xmlns:pic="http://schemas.openxmlformats.org/drawingml/2006/picture">
                  <pic:nvPicPr>
                    <pic:cNvPr id="0" name="image5.png"/>
                    <pic:cNvPicPr preferRelativeResize="0"/>
                  </pic:nvPicPr>
                  <pic:blipFill>
                    <a:blip xmlns:r="http://schemas.openxmlformats.org/officeDocument/2006/relationships" r:embed="rId6"/>
                    <a:srcRect l="0" t="0" r="0" b="0"/>
                    <a:stretch>
                      <a:fillRect/>
                    </a:stretch>
                  </pic:blipFill>
                  <pic:spPr>
                    <a:xfrm>
                      <a:off x="0" y="0"/>
                      <a:ext cx="212090" cy="250652"/>
                    </a:xfrm>
                    <a:prstGeom prst="rect"/>
                    <a:ln/>
                  </pic:spPr>
                </pic:pic>
              </a:graphicData>
            </a:graphic>
          </wp:inline>
        </w:drawing>
      </w:r>
      <w:r w:rsidRPr="12F0D589" w:rsidR="12F0D589">
        <w:rPr>
          <w:rFonts w:ascii="Google Sans" w:hAnsi="Google Sans" w:eastAsia="Google Sans" w:cs="Google Sans"/>
          <w:lang w:val="en-US"/>
        </w:rPr>
        <w:t xml:space="preserve"> representa la velocidad de marcha en km/h y </w:t>
      </w:r>
      <w:r w:rsidR="12F0D589">
        <w:drawing>
          <wp:inline xmlns:wp14="http://schemas.microsoft.com/office/word/2010/wordprocessingDrawing" wp14:editId="6BDC3429" wp14:anchorId="62D1EF87">
            <wp:extent cx="131286" cy="243817"/>
            <wp:effectExtent l="0" t="0" r="0" b="0"/>
            <wp:docPr id="13" name="image20.png"/>
            <wp:cNvGraphicFramePr/>
            <a:graphic>
              <a:graphicData xmlns:a="http://schemas.openxmlformats.org/drawingml/2006/main" uri="http://schemas.openxmlformats.org/drawingml/2006/picture">
                <pic:pic xmlns:pic="http://schemas.openxmlformats.org/drawingml/2006/picture">
                  <pic:nvPicPr>
                    <pic:cNvPr id="0" name="image20.png"/>
                    <pic:cNvPicPr preferRelativeResize="0"/>
                  </pic:nvPicPr>
                  <pic:blipFill>
                    <a:blip xmlns:r="http://schemas.openxmlformats.org/officeDocument/2006/relationships" r:embed="rId7"/>
                    <a:srcRect l="0" t="0" r="0" b="0"/>
                    <a:stretch>
                      <a:fillRect/>
                    </a:stretch>
                  </pic:blipFill>
                  <pic:spPr>
                    <a:xfrm>
                      <a:off x="0" y="0"/>
                      <a:ext cx="131286" cy="243817"/>
                    </a:xfrm>
                    <a:prstGeom prst="rect"/>
                    <a:ln/>
                  </pic:spPr>
                </pic:pic>
              </a:graphicData>
            </a:graphic>
          </wp:inline>
        </w:drawing>
      </w:r>
      <w:r w:rsidRPr="12F0D589" w:rsidR="12F0D589">
        <w:rPr>
          <w:rFonts w:ascii="Google Sans" w:hAnsi="Google Sans" w:eastAsia="Google Sans" w:cs="Google Sans"/>
          <w:lang w:val="en-US"/>
        </w:rPr>
        <w:t xml:space="preserve"> representa la pendiente expresada como el diferencial de elevación sobre la distancia horizontal (</w:t>
      </w:r>
      <w:r w:rsidR="12F0D589">
        <w:drawing>
          <wp:inline xmlns:wp14="http://schemas.microsoft.com/office/word/2010/wordprocessingDrawing" wp14:editId="254BB2EE" wp14:anchorId="3A352C23">
            <wp:extent cx="526732" cy="249001"/>
            <wp:effectExtent l="0" t="0" r="0" b="0"/>
            <wp:docPr id="12" name="image17.png"/>
            <wp:cNvGraphicFramePr/>
            <a:graphic>
              <a:graphicData xmlns:a="http://schemas.openxmlformats.org/drawingml/2006/main" uri="http://schemas.openxmlformats.org/drawingml/2006/picture">
                <pic:pic xmlns:pic="http://schemas.openxmlformats.org/drawingml/2006/picture">
                  <pic:nvPicPr>
                    <pic:cNvPr id="0" name="image17.png"/>
                    <pic:cNvPicPr preferRelativeResize="0"/>
                  </pic:nvPicPr>
                  <pic:blipFill>
                    <a:blip xmlns:r="http://schemas.openxmlformats.org/officeDocument/2006/relationships" r:embed="rId8"/>
                    <a:srcRect l="0" t="0" r="0" b="0"/>
                    <a:stretch>
                      <a:fillRect/>
                    </a:stretch>
                  </pic:blipFill>
                  <pic:spPr>
                    <a:xfrm>
                      <a:off x="0" y="0"/>
                      <a:ext cx="526732" cy="249001"/>
                    </a:xfrm>
                    <a:prstGeom prst="rect"/>
                    <a:ln/>
                  </pic:spPr>
                </pic:pic>
              </a:graphicData>
            </a:graphic>
          </wp:inline>
        </w:drawing>
      </w:r>
      <w:r w:rsidRPr="12F0D589" w:rsidR="12F0D589">
        <w:rPr>
          <w:rFonts w:ascii="Google Sans" w:hAnsi="Google Sans" w:eastAsia="Google Sans" w:cs="Google Sans"/>
          <w:lang w:val="en-US"/>
        </w:rPr>
        <w:t>):</w:t>
      </w:r>
    </w:p>
    <w:p xmlns:wp14="http://schemas.microsoft.com/office/word/2010/wordml" w:rsidRDefault="00000000" w14:paraId="0000000F" wp14:textId="77777777">
      <w:pPr>
        <w:pBdr>
          <w:top w:val="nil" w:sz="0" w:space="0"/>
          <w:left w:val="nil" w:sz="0" w:space="0"/>
          <w:bottom w:val="nil" w:sz="0" w:space="0"/>
          <w:right w:val="nil" w:sz="0" w:space="0"/>
          <w:between w:val="nil" w:sz="0" w:space="0"/>
        </w:pBdr>
        <w:shd w:val="clear" w:fill="auto"/>
        <w:spacing w:line="275.9999942779541" w:lineRule="auto"/>
        <w:rPr>
          <w:rFonts w:ascii="Google Sans" w:hAnsi="Google Sans" w:eastAsia="Google Sans" w:cs="Google Sans"/>
        </w:rPr>
      </w:pPr>
      <w:r>
        <w:rPr>
          <w:rFonts w:ascii="Google Sans" w:hAnsi="Google Sans" w:eastAsia="Google Sans" w:cs="Google Sans"/>
        </w:rPr>
        <w:drawing>
          <wp:inline xmlns:wp14="http://schemas.microsoft.com/office/word/2010/wordprocessingDrawing" distT="19050" distB="19050" distL="19050" distR="19050" wp14:anchorId="2F17CCDE" wp14:editId="7777777">
            <wp:extent cx="5905500" cy="708660"/>
            <wp:effectExtent l="0" t="0" r="0" b="0"/>
            <wp:docPr id="15" name="image24.png"/>
            <a:graphic>
              <a:graphicData uri="http://schemas.openxmlformats.org/drawingml/2006/picture">
                <pic:pic>
                  <pic:nvPicPr>
                    <pic:cNvPr id="0" name="image24.png"/>
                    <pic:cNvPicPr preferRelativeResize="0"/>
                  </pic:nvPicPr>
                  <pic:blipFill>
                    <a:blip r:embed="rId9"/>
                    <a:srcRect l="0" t="0" r="0" b="0"/>
                    <a:stretch>
                      <a:fillRect/>
                    </a:stretch>
                  </pic:blipFill>
                  <pic:spPr>
                    <a:xfrm>
                      <a:off x="0" y="0"/>
                      <a:ext cx="5905500" cy="708660"/>
                    </a:xfrm>
                    <a:prstGeom prst="rect"/>
                    <a:ln/>
                  </pic:spPr>
                </pic:pic>
              </a:graphicData>
            </a:graphic>
          </wp:inline>
        </w:drawing>
      </w:r>
      <w:r>
        <w:rPr>
          <w:rtl w:val="0"/>
        </w:rPr>
      </w:r>
    </w:p>
    <w:p xmlns:wp14="http://schemas.microsoft.com/office/word/2010/wordml" w:rsidP="12F0D589" w:rsidRDefault="00000000" w14:paraId="0000001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El análisis de la derivada de esta función revela que la máxima eficiencia cinética del ser humano no ocurre en un terreno plano (</w:t>
      </w:r>
      <w:r w:rsidR="12F0D589">
        <w:drawing>
          <wp:inline xmlns:wp14="http://schemas.microsoft.com/office/word/2010/wordprocessingDrawing" wp14:editId="23B4A6C9" wp14:anchorId="7A667A2D">
            <wp:extent cx="490538" cy="245269"/>
            <wp:effectExtent l="0" t="0" r="0" b="0"/>
            <wp:docPr id="14" name="image9.png"/>
            <wp:cNvGraphicFramePr/>
            <a:graphic>
              <a:graphicData xmlns:a="http://schemas.openxmlformats.org/drawingml/2006/main" uri="http://schemas.openxmlformats.org/drawingml/2006/picture">
                <pic:pic xmlns:pic="http://schemas.openxmlformats.org/drawingml/2006/picture">
                  <pic:nvPicPr>
                    <pic:cNvPr id="0" name="image9.png"/>
                    <pic:cNvPicPr preferRelativeResize="0"/>
                  </pic:nvPicPr>
                  <pic:blipFill>
                    <a:blip xmlns:r="http://schemas.openxmlformats.org/officeDocument/2006/relationships" r:embed="rId10"/>
                    <a:srcRect l="0" t="0" r="0" b="0"/>
                    <a:stretch>
                      <a:fillRect/>
                    </a:stretch>
                  </pic:blipFill>
                  <pic:spPr>
                    <a:xfrm>
                      <a:off x="0" y="0"/>
                      <a:ext cx="490538" cy="245269"/>
                    </a:xfrm>
                    <a:prstGeom prst="rect"/>
                    <a:ln/>
                  </pic:spPr>
                </pic:pic>
              </a:graphicData>
            </a:graphic>
          </wp:inline>
        </w:drawing>
      </w:r>
      <w:r w:rsidRPr="12F0D589" w:rsidR="12F0D589">
        <w:rPr>
          <w:rFonts w:ascii="Google Sans" w:hAnsi="Google Sans" w:eastAsia="Google Sans" w:cs="Google Sans"/>
          <w:lang w:val="en-US"/>
        </w:rPr>
        <w:t>), sino en un ligero descenso de aproximadamente -5% (o -2.86 grados), donde la velocidad pico alcanza teóricamente los 6 km/h. Conforme la pendiente aumenta positivamente o desciende de forma más pronunciada que el umbral del -5%, la velocidad decrece de manera exponencial</w:t>
      </w:r>
      <w:r w:rsidRPr="12F0D589" w:rsidR="12F0D589">
        <w:rPr>
          <w:rFonts w:ascii="Google Sans" w:hAnsi="Google Sans" w:eastAsia="Google Sans" w:cs="Google Sans"/>
          <w:sz w:val="24"/>
          <w:szCs w:val="24"/>
          <w:vertAlign w:val="superscript"/>
          <w:lang w:val="en-US"/>
        </w:rPr>
        <w:t>4</w:t>
      </w:r>
      <w:r w:rsidRPr="12F0D589" w:rsidR="12F0D589">
        <w:rPr>
          <w:rFonts w:ascii="Google Sans" w:hAnsi="Google Sans" w:eastAsia="Google Sans" w:cs="Google Sans"/>
          <w:lang w:val="en-US"/>
        </w:rPr>
        <w:t>. Para adaptar la función a entornos no consolidados (off-path), Tobler recomendó aplicar un factor reductor de 0.6 sobre el resultado final</w:t>
      </w:r>
      <w:r w:rsidRPr="12F0D589" w:rsidR="12F0D589">
        <w:rPr>
          <w:rFonts w:ascii="Google Sans" w:hAnsi="Google Sans" w:eastAsia="Google Sans" w:cs="Google Sans"/>
          <w:sz w:val="24"/>
          <w:szCs w:val="24"/>
          <w:vertAlign w:val="superscript"/>
          <w:lang w:val="en-US"/>
        </w:rPr>
        <w:t>16</w:t>
      </w:r>
      <w:r w:rsidRPr="12F0D589" w:rsidR="12F0D589">
        <w:rPr>
          <w:rFonts w:ascii="Google Sans" w:hAnsi="Google Sans" w:eastAsia="Google Sans" w:cs="Google Sans"/>
          <w:lang w:val="en-US"/>
        </w:rPr>
        <w:t>.</w:t>
      </w:r>
    </w:p>
    <w:p xmlns:wp14="http://schemas.microsoft.com/office/word/2010/wordml" w:rsidP="12F0D589" w:rsidRDefault="00000000" w14:paraId="0000001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El avance en tecnologías de detección remota, particularmente LiDAR (Light Detection and Ranging), ha permitido a los investigadores cuestionar la dependencia exclusiva de la pendiente. Estudios recientes mediante algoritmos de Random Forest explican que más del 77% de la varianza en la velocidad de viaje campo a través se determina por la interacción tridimensional de la pendiente, la densidad de la vegetación y la rugosidad de la superficie</w:t>
      </w:r>
      <w:r w:rsidRPr="12F0D589" w:rsidR="12F0D589">
        <w:rPr>
          <w:rFonts w:ascii="Google Sans" w:hAnsi="Google Sans" w:eastAsia="Google Sans" w:cs="Google Sans"/>
          <w:sz w:val="24"/>
          <w:szCs w:val="24"/>
          <w:vertAlign w:val="superscript"/>
          <w:lang w:val="en-US"/>
        </w:rPr>
        <w:t>23</w:t>
      </w:r>
      <w:r w:rsidRPr="12F0D589" w:rsidR="12F0D589">
        <w:rPr>
          <w:rFonts w:ascii="Google Sans" w:hAnsi="Google Sans" w:eastAsia="Google Sans" w:cs="Google Sans"/>
          <w:lang w:val="en-US"/>
        </w:rPr>
        <w:t>. Se ha demostrado que la densidad de la vegetación ejerce una influencia no lineal, reduciendo la velocidad de forma mucho más aguda que la rugosidad del suelo, incluso en ausencia de pendiente</w:t>
      </w:r>
      <w:r w:rsidRPr="12F0D589" w:rsidR="12F0D589">
        <w:rPr>
          <w:rFonts w:ascii="Google Sans" w:hAnsi="Google Sans" w:eastAsia="Google Sans" w:cs="Google Sans"/>
          <w:sz w:val="24"/>
          <w:szCs w:val="24"/>
          <w:vertAlign w:val="superscript"/>
          <w:lang w:val="en-US"/>
        </w:rPr>
        <w:t>23</w:t>
      </w:r>
      <w:r w:rsidRPr="12F0D589" w:rsidR="12F0D589">
        <w:rPr>
          <w:rFonts w:ascii="Google Sans" w:hAnsi="Google Sans" w:eastAsia="Google Sans" w:cs="Google Sans"/>
          <w:lang w:val="en-US"/>
        </w:rPr>
        <w:t>.</w:t>
      </w:r>
    </w:p>
    <w:p xmlns:wp14="http://schemas.microsoft.com/office/word/2010/wordml" w:rsidP="12F0D589" w:rsidRDefault="00000000" w14:paraId="0000001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A partir de conjuntos de datos GPS y mediciones biomecánicas de alta resolución, investigadores como Irmischer y Clarke (2018) formularon optimizaciones a la curva de Tobler, sustituyendo el decaimiento exponencial simple por funciones gaussianas dependientes del género y del tipo de vía</w:t>
      </w:r>
      <w:r w:rsidRPr="12F0D589" w:rsidR="12F0D589">
        <w:rPr>
          <w:rFonts w:ascii="Google Sans" w:hAnsi="Google Sans" w:eastAsia="Google Sans" w:cs="Google Sans"/>
          <w:sz w:val="24"/>
          <w:szCs w:val="24"/>
          <w:vertAlign w:val="superscript"/>
          <w:lang w:val="en-US"/>
        </w:rPr>
        <w:t>21</w:t>
      </w:r>
      <w:r w:rsidRPr="12F0D589" w:rsidR="12F0D589">
        <w:rPr>
          <w:rFonts w:ascii="Google Sans" w:hAnsi="Google Sans" w:eastAsia="Google Sans" w:cs="Google Sans"/>
          <w:lang w:val="en-US"/>
        </w:rPr>
        <w:t xml:space="preserve">. La formulación gaussiana propuesta por Irmischer y Clarke para hombres en senderos estructurados (on-path) se modela de la siguiente forma (donde la velocidad </w:t>
      </w:r>
      <w:r w:rsidR="12F0D589">
        <w:drawing>
          <wp:inline xmlns:wp14="http://schemas.microsoft.com/office/word/2010/wordprocessingDrawing" wp14:editId="41FB9574" wp14:anchorId="2C24F38E">
            <wp:extent cx="101917" cy="240896"/>
            <wp:effectExtent l="0" t="0" r="0" b="0"/>
            <wp:docPr id="17" name="image27.png"/>
            <wp:cNvGraphicFramePr/>
            <a:graphic>
              <a:graphicData xmlns:a="http://schemas.openxmlformats.org/drawingml/2006/main" uri="http://schemas.openxmlformats.org/drawingml/2006/picture">
                <pic:pic xmlns:pic="http://schemas.openxmlformats.org/drawingml/2006/picture">
                  <pic:nvPicPr>
                    <pic:cNvPr id="0" name="image27.png"/>
                    <pic:cNvPicPr preferRelativeResize="0"/>
                  </pic:nvPicPr>
                  <pic:blipFill>
                    <a:blip xmlns:r="http://schemas.openxmlformats.org/officeDocument/2006/relationships" r:embed="rId11"/>
                    <a:srcRect l="0" t="0" r="0" b="0"/>
                    <a:stretch>
                      <a:fillRect/>
                    </a:stretch>
                  </pic:blipFill>
                  <pic:spPr>
                    <a:xfrm>
                      <a:off x="0" y="0"/>
                      <a:ext cx="101917" cy="240896"/>
                    </a:xfrm>
                    <a:prstGeom prst="rect"/>
                    <a:ln/>
                  </pic:spPr>
                </pic:pic>
              </a:graphicData>
            </a:graphic>
          </wp:inline>
        </w:drawing>
      </w:r>
      <w:r w:rsidRPr="12F0D589" w:rsidR="12F0D589">
        <w:rPr>
          <w:rFonts w:ascii="Google Sans" w:hAnsi="Google Sans" w:eastAsia="Google Sans" w:cs="Google Sans"/>
          <w:lang w:val="en-US"/>
        </w:rPr>
        <w:t xml:space="preserve"> se extrae en m/s y se multiplica por 3.6 para obtener km/h, y </w:t>
      </w:r>
      <w:r w:rsidR="12F0D589">
        <w:drawing>
          <wp:inline xmlns:wp14="http://schemas.microsoft.com/office/word/2010/wordprocessingDrawing" wp14:editId="5389D896" wp14:anchorId="1699A5A5">
            <wp:extent cx="131286" cy="243817"/>
            <wp:effectExtent l="0" t="0" r="0" b="0"/>
            <wp:docPr id="16" name="image20.png"/>
            <wp:cNvGraphicFramePr/>
            <a:graphic>
              <a:graphicData xmlns:a="http://schemas.openxmlformats.org/drawingml/2006/main" uri="http://schemas.openxmlformats.org/drawingml/2006/picture">
                <pic:pic xmlns:pic="http://schemas.openxmlformats.org/drawingml/2006/picture">
                  <pic:nvPicPr>
                    <pic:cNvPr id="0" name="image20.png"/>
                    <pic:cNvPicPr preferRelativeResize="0"/>
                  </pic:nvPicPr>
                  <pic:blipFill>
                    <a:blip xmlns:r="http://schemas.openxmlformats.org/officeDocument/2006/relationships" r:embed="rId7"/>
                    <a:srcRect l="0" t="0" r="0" b="0"/>
                    <a:stretch>
                      <a:fillRect/>
                    </a:stretch>
                  </pic:blipFill>
                  <pic:spPr>
                    <a:xfrm>
                      <a:off x="0" y="0"/>
                      <a:ext cx="131286" cy="243817"/>
                    </a:xfrm>
                    <a:prstGeom prst="rect"/>
                    <a:ln/>
                  </pic:spPr>
                </pic:pic>
              </a:graphicData>
            </a:graphic>
          </wp:inline>
        </w:drawing>
      </w:r>
      <w:r w:rsidRPr="12F0D589" w:rsidR="12F0D589">
        <w:rPr>
          <w:rFonts w:ascii="Google Sans" w:hAnsi="Google Sans" w:eastAsia="Google Sans" w:cs="Google Sans"/>
          <w:lang w:val="en-US"/>
        </w:rPr>
        <w:t xml:space="preserve"> representa el gradiente en porcentaje):</w:t>
      </w:r>
    </w:p>
    <w:p xmlns:wp14="http://schemas.microsoft.com/office/word/2010/wordml" w:rsidRDefault="00000000" w14:paraId="00000013" wp14:textId="77777777">
      <w:pPr>
        <w:pBdr>
          <w:top w:val="nil" w:sz="0" w:space="0"/>
          <w:left w:val="nil" w:sz="0" w:space="0"/>
          <w:bottom w:val="nil" w:sz="0" w:space="0"/>
          <w:right w:val="nil" w:sz="0" w:space="0"/>
          <w:between w:val="nil" w:sz="0" w:space="0"/>
        </w:pBdr>
        <w:shd w:val="clear" w:fill="auto"/>
        <w:spacing w:line="275.9999942779541" w:lineRule="auto"/>
        <w:rPr>
          <w:rFonts w:ascii="Google Sans" w:hAnsi="Google Sans" w:eastAsia="Google Sans" w:cs="Google Sans"/>
        </w:rPr>
      </w:pPr>
      <w:r>
        <w:rPr>
          <w:rFonts w:ascii="Google Sans" w:hAnsi="Google Sans" w:eastAsia="Google Sans" w:cs="Google Sans"/>
        </w:rPr>
        <w:drawing>
          <wp:inline xmlns:wp14="http://schemas.microsoft.com/office/word/2010/wordprocessingDrawing" distT="19050" distB="19050" distL="19050" distR="19050" wp14:anchorId="035B606F" wp14:editId="7777777">
            <wp:extent cx="5905500" cy="972136"/>
            <wp:effectExtent l="0" t="0" r="0" b="0"/>
            <wp:docPr id="21" name="image15.png"/>
            <a:graphic>
              <a:graphicData uri="http://schemas.openxmlformats.org/drawingml/2006/picture">
                <pic:pic>
                  <pic:nvPicPr>
                    <pic:cNvPr id="0" name="image15.png"/>
                    <pic:cNvPicPr preferRelativeResize="0"/>
                  </pic:nvPicPr>
                  <pic:blipFill>
                    <a:blip r:embed="rId12"/>
                    <a:srcRect l="0" t="0" r="0" b="0"/>
                    <a:stretch>
                      <a:fillRect/>
                    </a:stretch>
                  </pic:blipFill>
                  <pic:spPr>
                    <a:xfrm>
                      <a:off x="0" y="0"/>
                      <a:ext cx="5905500" cy="972136"/>
                    </a:xfrm>
                    <a:prstGeom prst="rect"/>
                    <a:ln/>
                  </pic:spPr>
                </pic:pic>
              </a:graphicData>
            </a:graphic>
          </wp:inline>
        </w:drawing>
      </w:r>
      <w:r>
        <w:rPr>
          <w:rtl w:val="0"/>
        </w:rPr>
      </w:r>
    </w:p>
    <w:p xmlns:wp14="http://schemas.microsoft.com/office/word/2010/wordml" w:rsidP="12F0D589" w:rsidRDefault="00000000" w14:paraId="0000001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Estas formulaciones gaussianas, al igual que los ajustes de Márquez-Pérez, corrigen anomalías teóricas del modelo original, evitando la estimación de velocidades irreales en ángulos de inclinación extremos y proporcionando curvas de desaceleración mucho más apegadas a la locomoción de excursionistas contemporáneos y ecoturistas</w:t>
      </w:r>
      <w:r w:rsidRPr="12F0D589" w:rsidR="12F0D589">
        <w:rPr>
          <w:rFonts w:ascii="Google Sans" w:hAnsi="Google Sans" w:eastAsia="Google Sans" w:cs="Google Sans"/>
          <w:sz w:val="24"/>
          <w:szCs w:val="24"/>
          <w:vertAlign w:val="superscript"/>
          <w:lang w:val="en-US"/>
        </w:rPr>
        <w:t>25</w:t>
      </w:r>
      <w:r w:rsidRPr="12F0D589" w:rsidR="12F0D589">
        <w:rPr>
          <w:rFonts w:ascii="Google Sans" w:hAnsi="Google Sans" w:eastAsia="Google Sans" w:cs="Google Sans"/>
          <w:lang w:val="en-US"/>
        </w:rPr>
        <w:t>. Alternativamente, Campbell et al. (2019) utilizaron datos de telemetría de la plataforma Strava para procesar 421,247 actividades, determinando que funciones de Lorentz asimétricas representan el mejor ajuste poblacional cuando se divide la muestra en percentiles de condición física, validando que el riesgo temporal varía intrínsecamente según la capacidad atlética</w:t>
      </w:r>
      <w:r w:rsidRPr="12F0D589" w:rsidR="12F0D589">
        <w:rPr>
          <w:rFonts w:ascii="Google Sans" w:hAnsi="Google Sans" w:eastAsia="Google Sans" w:cs="Google Sans"/>
          <w:sz w:val="24"/>
          <w:szCs w:val="24"/>
          <w:vertAlign w:val="superscript"/>
          <w:lang w:val="en-US"/>
        </w:rPr>
        <w:t>24</w:t>
      </w:r>
      <w:r w:rsidRPr="12F0D589" w:rsidR="12F0D589">
        <w:rPr>
          <w:rFonts w:ascii="Google Sans" w:hAnsi="Google Sans" w:eastAsia="Google Sans" w:cs="Google Sans"/>
          <w:lang w:val="en-US"/>
        </w:rPr>
        <w:t>.</w:t>
      </w:r>
    </w:p>
    <w:p xmlns:wp14="http://schemas.microsoft.com/office/word/2010/wordml" w:rsidP="12F0D589" w:rsidRDefault="00000000" w14:paraId="00000015"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275" w:lineRule="auto"/>
        <w:rPr>
          <w:rFonts w:ascii="Google Sans" w:hAnsi="Google Sans" w:eastAsia="Google Sans" w:cs="Google Sans"/>
          <w:lang w:val="en-US"/>
        </w:rPr>
      </w:pPr>
      <w:r w:rsidRPr="12F0D589" w:rsidR="12F0D589">
        <w:rPr>
          <w:rFonts w:ascii="Google Sans" w:hAnsi="Google Sans" w:eastAsia="Google Sans" w:cs="Google Sans"/>
          <w:lang w:val="en-US"/>
        </w:rPr>
        <w:t>Costo Metabólico y Ecuaciones de Transporte Energético</w:t>
      </w:r>
    </w:p>
    <w:p xmlns:wp14="http://schemas.microsoft.com/office/word/2010/wordml" w:rsidP="12F0D589" w:rsidRDefault="00000000" w14:paraId="0000001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La estimación de tiempo es una métrica indirecta de la fatiga. Para un Índice Dinámico de Riesgo predictivo, el parámetro vital es el Costo Metabólico de Transporte (CoT), medido en julios por kilogramo por metro (J/(kg·m)). Este valor representa la energía requerida para desplazar una unidad de masa corporal a lo largo de una distancia específica</w:t>
      </w:r>
      <w:r w:rsidRPr="12F0D589" w:rsidR="12F0D589">
        <w:rPr>
          <w:rFonts w:ascii="Google Sans" w:hAnsi="Google Sans" w:eastAsia="Google Sans" w:cs="Google Sans"/>
          <w:sz w:val="24"/>
          <w:szCs w:val="24"/>
          <w:vertAlign w:val="superscript"/>
          <w:lang w:val="en-US"/>
        </w:rPr>
        <w:t>30</w:t>
      </w:r>
      <w:r w:rsidRPr="12F0D589" w:rsidR="12F0D589">
        <w:rPr>
          <w:rFonts w:ascii="Google Sans" w:hAnsi="Google Sans" w:eastAsia="Google Sans" w:cs="Google Sans"/>
          <w:lang w:val="en-US"/>
        </w:rPr>
        <w:t>.</w:t>
      </w:r>
    </w:p>
    <w:p xmlns:wp14="http://schemas.microsoft.com/office/word/2010/wordml" w:rsidP="12F0D589" w:rsidRDefault="00000000" w14:paraId="0000001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El trabajo canónico en la fisiología de la locomoción inclinada pertenece a Minetti et al. (2002), quienes evaluaron a corredores de montaña en cintas de correr a gradientes extremos de entre -0.45 y +0.45. La investigación reveló que la relación entre el costo metabólico y la pendiente no es lineal, sino que conforma una curva parabólica asimétrica en forma de "J"</w:t>
      </w:r>
      <w:r w:rsidRPr="12F0D589" w:rsidR="12F0D589">
        <w:rPr>
          <w:rFonts w:ascii="Google Sans" w:hAnsi="Google Sans" w:eastAsia="Google Sans" w:cs="Google Sans"/>
          <w:sz w:val="24"/>
          <w:szCs w:val="24"/>
          <w:vertAlign w:val="superscript"/>
          <w:lang w:val="en-US"/>
        </w:rPr>
        <w:t>5</w:t>
      </w:r>
      <w:r w:rsidRPr="12F0D589" w:rsidR="12F0D589">
        <w:rPr>
          <w:rFonts w:ascii="Google Sans" w:hAnsi="Google Sans" w:eastAsia="Google Sans" w:cs="Google Sans"/>
          <w:lang w:val="en-US"/>
        </w:rPr>
        <w:t>. En terreno nivelado, el costo mínimo de caminar (</w:t>
      </w:r>
      <w:r w:rsidR="12F0D589">
        <w:drawing>
          <wp:inline xmlns:wp14="http://schemas.microsoft.com/office/word/2010/wordprocessingDrawing" wp14:editId="1B880738" wp14:anchorId="04182C75">
            <wp:extent cx="251777" cy="251777"/>
            <wp:effectExtent l="0" t="0" r="0" b="0"/>
            <wp:docPr id="19" name="image2.png"/>
            <wp:cNvGraphicFramePr/>
            <a:graphic>
              <a:graphicData xmlns:a="http://schemas.openxmlformats.org/drawingml/2006/main" uri="http://schemas.openxmlformats.org/drawingml/2006/picture">
                <pic:pic xmlns:pic="http://schemas.openxmlformats.org/drawingml/2006/picture">
                  <pic:nvPicPr>
                    <pic:cNvPr id="0" name="image2.png"/>
                    <pic:cNvPicPr preferRelativeResize="0"/>
                  </pic:nvPicPr>
                  <pic:blipFill>
                    <a:blip xmlns:r="http://schemas.openxmlformats.org/officeDocument/2006/relationships" r:embed="rId13"/>
                    <a:srcRect l="0" t="0" r="0" b="0"/>
                    <a:stretch>
                      <a:fillRect/>
                    </a:stretch>
                  </pic:blipFill>
                  <pic:spPr>
                    <a:xfrm>
                      <a:off x="0" y="0"/>
                      <a:ext cx="251777" cy="251777"/>
                    </a:xfrm>
                    <a:prstGeom prst="rect"/>
                    <a:ln/>
                  </pic:spPr>
                </pic:pic>
              </a:graphicData>
            </a:graphic>
          </wp:inline>
        </w:drawing>
      </w:r>
      <w:r w:rsidRPr="12F0D589" w:rsidR="12F0D589">
        <w:rPr>
          <w:rFonts w:ascii="Google Sans" w:hAnsi="Google Sans" w:eastAsia="Google Sans" w:cs="Google Sans"/>
          <w:lang w:val="en-US"/>
        </w:rPr>
        <w:t xml:space="preserve">) es aproximadamente </w:t>
      </w:r>
      <w:r w:rsidR="12F0D589">
        <w:drawing>
          <wp:inline xmlns:wp14="http://schemas.microsoft.com/office/word/2010/wordprocessingDrawing" wp14:editId="385398FD" wp14:anchorId="19129ADD">
            <wp:extent cx="935990" cy="238773"/>
            <wp:effectExtent l="0" t="0" r="0" b="0"/>
            <wp:docPr id="26" name="image23.png"/>
            <wp:cNvGraphicFramePr/>
            <a:graphic>
              <a:graphicData xmlns:a="http://schemas.openxmlformats.org/drawingml/2006/main" uri="http://schemas.openxmlformats.org/drawingml/2006/picture">
                <pic:pic xmlns:pic="http://schemas.openxmlformats.org/drawingml/2006/picture">
                  <pic:nvPicPr>
                    <pic:cNvPr id="0" name="image23.png"/>
                    <pic:cNvPicPr preferRelativeResize="0"/>
                  </pic:nvPicPr>
                  <pic:blipFill>
                    <a:blip xmlns:r="http://schemas.openxmlformats.org/officeDocument/2006/relationships" r:embed="rId14"/>
                    <a:srcRect l="0" t="0" r="0" b="0"/>
                    <a:stretch>
                      <a:fillRect/>
                    </a:stretch>
                  </pic:blipFill>
                  <pic:spPr>
                    <a:xfrm>
                      <a:off x="0" y="0"/>
                      <a:ext cx="935990" cy="238773"/>
                    </a:xfrm>
                    <a:prstGeom prst="rect"/>
                    <a:ln/>
                  </pic:spPr>
                </pic:pic>
              </a:graphicData>
            </a:graphic>
          </wp:inline>
        </w:drawing>
      </w:r>
      <w:r w:rsidRPr="12F0D589" w:rsidR="12F0D589">
        <w:rPr>
          <w:rFonts w:ascii="Google Sans" w:hAnsi="Google Sans" w:eastAsia="Google Sans" w:cs="Google Sans"/>
          <w:lang w:val="en-US"/>
        </w:rPr>
        <w:t xml:space="preserve"> J/(kg·m) a una velocidad de 1 m/s. Minetti consolidó sus hallazgos en un polinomio de quinto grado, en el cual el costo metabólico de la marcha depende estrictamente del gradiente (</w:t>
      </w:r>
      <w:r w:rsidR="12F0D589">
        <w:drawing>
          <wp:inline xmlns:wp14="http://schemas.microsoft.com/office/word/2010/wordprocessingDrawing" wp14:editId="0A89DA80" wp14:anchorId="253EEB6A">
            <wp:extent cx="67628" cy="251188"/>
            <wp:effectExtent l="0" t="0" r="0" b="0"/>
            <wp:docPr id="22" name="image12.png"/>
            <wp:cNvGraphicFramePr/>
            <a:graphic>
              <a:graphicData xmlns:a="http://schemas.openxmlformats.org/drawingml/2006/main" uri="http://schemas.openxmlformats.org/drawingml/2006/picture">
                <pic:pic xmlns:pic="http://schemas.openxmlformats.org/drawingml/2006/picture">
                  <pic:nvPicPr>
                    <pic:cNvPr id="0" name="image12.png"/>
                    <pic:cNvPicPr preferRelativeResize="0"/>
                  </pic:nvPicPr>
                  <pic:blipFill>
                    <a:blip xmlns:r="http://schemas.openxmlformats.org/officeDocument/2006/relationships" r:embed="rId15"/>
                    <a:srcRect l="0" t="0" r="0" b="0"/>
                    <a:stretch>
                      <a:fillRect/>
                    </a:stretch>
                  </pic:blipFill>
                  <pic:spPr>
                    <a:xfrm>
                      <a:off x="0" y="0"/>
                      <a:ext cx="67628" cy="251188"/>
                    </a:xfrm>
                    <a:prstGeom prst="rect"/>
                    <a:ln/>
                  </pic:spPr>
                </pic:pic>
              </a:graphicData>
            </a:graphic>
          </wp:inline>
        </w:drawing>
      </w:r>
      <w:r w:rsidRPr="12F0D589" w:rsidR="12F0D589">
        <w:rPr>
          <w:rFonts w:ascii="Google Sans" w:hAnsi="Google Sans" w:eastAsia="Google Sans" w:cs="Google Sans"/>
          <w:lang w:val="en-US"/>
        </w:rPr>
        <w:t>):</w:t>
      </w:r>
    </w:p>
    <w:p xmlns:wp14="http://schemas.microsoft.com/office/word/2010/wordml" w:rsidRDefault="00000000" w14:paraId="00000018" wp14:textId="77777777">
      <w:pPr>
        <w:pBdr>
          <w:top w:val="nil" w:sz="0" w:space="0"/>
          <w:left w:val="nil" w:sz="0" w:space="0"/>
          <w:bottom w:val="nil" w:sz="0" w:space="0"/>
          <w:right w:val="nil" w:sz="0" w:space="0"/>
          <w:between w:val="nil" w:sz="0" w:space="0"/>
        </w:pBdr>
        <w:shd w:val="clear" w:fill="auto"/>
        <w:spacing w:line="275.9999942779541" w:lineRule="auto"/>
        <w:rPr>
          <w:rFonts w:ascii="Google Sans" w:hAnsi="Google Sans" w:eastAsia="Google Sans" w:cs="Google Sans"/>
        </w:rPr>
      </w:pPr>
      <w:r>
        <w:rPr>
          <w:rFonts w:ascii="Google Sans" w:hAnsi="Google Sans" w:eastAsia="Google Sans" w:cs="Google Sans"/>
        </w:rPr>
        <w:drawing>
          <wp:inline xmlns:wp14="http://schemas.microsoft.com/office/word/2010/wordprocessingDrawing" distT="19050" distB="19050" distL="19050" distR="19050" wp14:anchorId="48871177" wp14:editId="7777777">
            <wp:extent cx="5905500" cy="708660"/>
            <wp:effectExtent l="0" t="0" r="0" b="0"/>
            <wp:docPr id="24" name="image16.png"/>
            <a:graphic>
              <a:graphicData uri="http://schemas.openxmlformats.org/drawingml/2006/picture">
                <pic:pic>
                  <pic:nvPicPr>
                    <pic:cNvPr id="0" name="image16.png"/>
                    <pic:cNvPicPr preferRelativeResize="0"/>
                  </pic:nvPicPr>
                  <pic:blipFill>
                    <a:blip r:embed="rId16"/>
                    <a:srcRect l="0" t="0" r="0" b="0"/>
                    <a:stretch>
                      <a:fillRect/>
                    </a:stretch>
                  </pic:blipFill>
                  <pic:spPr>
                    <a:xfrm>
                      <a:off x="0" y="0"/>
                      <a:ext cx="5905500" cy="708660"/>
                    </a:xfrm>
                    <a:prstGeom prst="rect"/>
                    <a:ln/>
                  </pic:spPr>
                </pic:pic>
              </a:graphicData>
            </a:graphic>
          </wp:inline>
        </w:drawing>
      </w:r>
      <w:r>
        <w:rPr>
          <w:rtl w:val="0"/>
        </w:rPr>
      </w:r>
    </w:p>
    <w:p xmlns:wp14="http://schemas.microsoft.com/office/word/2010/wordml" w:rsidP="12F0D589" w:rsidRDefault="00000000" w14:paraId="0000001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 xml:space="preserve">Los hallazgos de Minetti demuestran que en pendientes positivas, el costo aumenta dramáticamente, alcanzando </w:t>
      </w:r>
      <w:r w:rsidR="12F0D589">
        <w:drawing>
          <wp:inline xmlns:wp14="http://schemas.microsoft.com/office/word/2010/wordprocessingDrawing" wp14:editId="46C9E12D" wp14:anchorId="33CC3167">
            <wp:extent cx="1033939" cy="237142"/>
            <wp:effectExtent l="0" t="0" r="0" b="0"/>
            <wp:docPr id="27" name="image21.png"/>
            <wp:cNvGraphicFramePr/>
            <a:graphic>
              <a:graphicData xmlns:a="http://schemas.openxmlformats.org/drawingml/2006/main" uri="http://schemas.openxmlformats.org/drawingml/2006/picture">
                <pic:pic xmlns:pic="http://schemas.openxmlformats.org/drawingml/2006/picture">
                  <pic:nvPicPr>
                    <pic:cNvPr id="0" name="image21.png"/>
                    <pic:cNvPicPr preferRelativeResize="0"/>
                  </pic:nvPicPr>
                  <pic:blipFill>
                    <a:blip xmlns:r="http://schemas.openxmlformats.org/officeDocument/2006/relationships" r:embed="rId17"/>
                    <a:srcRect l="0" t="0" r="0" b="0"/>
                    <a:stretch>
                      <a:fillRect/>
                    </a:stretch>
                  </pic:blipFill>
                  <pic:spPr>
                    <a:xfrm>
                      <a:off x="0" y="0"/>
                      <a:ext cx="1033939" cy="237142"/>
                    </a:xfrm>
                    <a:prstGeom prst="rect"/>
                    <a:ln/>
                  </pic:spPr>
                </pic:pic>
              </a:graphicData>
            </a:graphic>
          </wp:inline>
        </w:drawing>
      </w:r>
      <w:r w:rsidRPr="12F0D589" w:rsidR="12F0D589">
        <w:rPr>
          <w:rFonts w:ascii="Google Sans" w:hAnsi="Google Sans" w:eastAsia="Google Sans" w:cs="Google Sans"/>
          <w:lang w:val="en-US"/>
        </w:rPr>
        <w:t xml:space="preserve"> J/(kg·m) a un gradiente de +0.45. Sorprendentemente, en los descensos, la eficiencia mecánica mejora drásticamente debido a la conversión de la energía potencial en energía cinética, alcanzando el mínimo absoluto de </w:t>
      </w:r>
      <w:r w:rsidR="12F0D589">
        <w:drawing>
          <wp:inline xmlns:wp14="http://schemas.microsoft.com/office/word/2010/wordprocessingDrawing" wp14:editId="5FC08C03" wp14:anchorId="40E99056">
            <wp:extent cx="935990" cy="238773"/>
            <wp:effectExtent l="0" t="0" r="0" b="0"/>
            <wp:docPr id="28" name="image18.png"/>
            <wp:cNvGraphicFramePr/>
            <a:graphic>
              <a:graphicData xmlns:a="http://schemas.openxmlformats.org/drawingml/2006/main" uri="http://schemas.openxmlformats.org/drawingml/2006/picture">
                <pic:pic xmlns:pic="http://schemas.openxmlformats.org/drawingml/2006/picture">
                  <pic:nvPicPr>
                    <pic:cNvPr id="0" name="image18.png"/>
                    <pic:cNvPicPr preferRelativeResize="0"/>
                  </pic:nvPicPr>
                  <pic:blipFill>
                    <a:blip xmlns:r="http://schemas.openxmlformats.org/officeDocument/2006/relationships" r:embed="rId18"/>
                    <a:srcRect l="0" t="0" r="0" b="0"/>
                    <a:stretch>
                      <a:fillRect/>
                    </a:stretch>
                  </pic:blipFill>
                  <pic:spPr>
                    <a:xfrm>
                      <a:off x="0" y="0"/>
                      <a:ext cx="935990" cy="238773"/>
                    </a:xfrm>
                    <a:prstGeom prst="rect"/>
                    <a:ln/>
                  </pic:spPr>
                </pic:pic>
              </a:graphicData>
            </a:graphic>
          </wp:inline>
        </w:drawing>
      </w:r>
      <w:r w:rsidRPr="12F0D589" w:rsidR="12F0D589">
        <w:rPr>
          <w:rFonts w:ascii="Google Sans" w:hAnsi="Google Sans" w:eastAsia="Google Sans" w:cs="Google Sans"/>
          <w:lang w:val="en-US"/>
        </w:rPr>
        <w:t xml:space="preserve"> J/(kg·m) a un gradiente de -0.10 (aprox. -5.7 grados)</w:t>
      </w:r>
      <w:r w:rsidRPr="12F0D589" w:rsidR="12F0D589">
        <w:rPr>
          <w:rFonts w:ascii="Google Sans" w:hAnsi="Google Sans" w:eastAsia="Google Sans" w:cs="Google Sans"/>
          <w:sz w:val="24"/>
          <w:szCs w:val="24"/>
          <w:vertAlign w:val="superscript"/>
          <w:lang w:val="en-US"/>
        </w:rPr>
        <w:t>5</w:t>
      </w:r>
      <w:r w:rsidRPr="12F0D589" w:rsidR="12F0D589">
        <w:rPr>
          <w:rFonts w:ascii="Google Sans" w:hAnsi="Google Sans" w:eastAsia="Google Sans" w:cs="Google Sans"/>
          <w:lang w:val="en-US"/>
        </w:rPr>
        <w:t xml:space="preserve">. Sin embargo, a medida que la pendiente negativa se vuelve más pronunciada que -0.10, el costo metabólico se incrementa nuevamente de forma paradójica. A un gradiente de -0.45, el costo sube a </w:t>
      </w:r>
      <w:r w:rsidR="12F0D589">
        <w:drawing>
          <wp:inline xmlns:wp14="http://schemas.microsoft.com/office/word/2010/wordprocessingDrawing" wp14:editId="166A30F3" wp14:anchorId="6D459398">
            <wp:extent cx="935990" cy="238773"/>
            <wp:effectExtent l="0" t="0" r="0" b="0"/>
            <wp:docPr id="29" name="image19.png"/>
            <wp:cNvGraphicFramePr/>
            <a:graphic>
              <a:graphicData xmlns:a="http://schemas.openxmlformats.org/drawingml/2006/main" uri="http://schemas.openxmlformats.org/drawingml/2006/picture">
                <pic:pic xmlns:pic="http://schemas.openxmlformats.org/drawingml/2006/picture">
                  <pic:nvPicPr>
                    <pic:cNvPr id="0" name="image19.png"/>
                    <pic:cNvPicPr preferRelativeResize="0"/>
                  </pic:nvPicPr>
                  <pic:blipFill>
                    <a:blip xmlns:r="http://schemas.openxmlformats.org/officeDocument/2006/relationships" r:embed="rId19"/>
                    <a:srcRect l="0" t="0" r="0" b="0"/>
                    <a:stretch>
                      <a:fillRect/>
                    </a:stretch>
                  </pic:blipFill>
                  <pic:spPr>
                    <a:xfrm>
                      <a:off x="0" y="0"/>
                      <a:ext cx="935990" cy="238773"/>
                    </a:xfrm>
                    <a:prstGeom prst="rect"/>
                    <a:ln/>
                  </pic:spPr>
                </pic:pic>
              </a:graphicData>
            </a:graphic>
          </wp:inline>
        </w:drawing>
      </w:r>
      <w:r w:rsidRPr="12F0D589" w:rsidR="12F0D589">
        <w:rPr>
          <w:rFonts w:ascii="Google Sans" w:hAnsi="Google Sans" w:eastAsia="Google Sans" w:cs="Google Sans"/>
          <w:lang w:val="en-US"/>
        </w:rPr>
        <w:t xml:space="preserve"> J/(kg·m)</w:t>
      </w:r>
      <w:r w:rsidRPr="12F0D589" w:rsidR="12F0D589">
        <w:rPr>
          <w:rFonts w:ascii="Google Sans" w:hAnsi="Google Sans" w:eastAsia="Google Sans" w:cs="Google Sans"/>
          <w:sz w:val="24"/>
          <w:szCs w:val="24"/>
          <w:vertAlign w:val="superscript"/>
          <w:lang w:val="en-US"/>
        </w:rPr>
        <w:t>5</w:t>
      </w:r>
      <w:r w:rsidRPr="12F0D589" w:rsidR="12F0D589">
        <w:rPr>
          <w:rFonts w:ascii="Google Sans" w:hAnsi="Google Sans" w:eastAsia="Google Sans" w:cs="Google Sans"/>
          <w:lang w:val="en-US"/>
        </w:rPr>
        <w:t>. Este fenómeno ocurre porque descensos extremos requieren fuertes contracciones musculares excéntricas en los cuádriceps y extensores de la cadera para absorber la energía mecánica y prevenir caídas</w:t>
      </w:r>
      <w:r w:rsidRPr="12F0D589" w:rsidR="12F0D589">
        <w:rPr>
          <w:rFonts w:ascii="Google Sans" w:hAnsi="Google Sans" w:eastAsia="Google Sans" w:cs="Google Sans"/>
          <w:sz w:val="24"/>
          <w:szCs w:val="24"/>
          <w:vertAlign w:val="superscript"/>
          <w:lang w:val="en-US"/>
        </w:rPr>
        <w:t>5</w:t>
      </w:r>
      <w:r w:rsidRPr="12F0D589" w:rsidR="12F0D589">
        <w:rPr>
          <w:rFonts w:ascii="Google Sans" w:hAnsi="Google Sans" w:eastAsia="Google Sans" w:cs="Google Sans"/>
          <w:lang w:val="en-US"/>
        </w:rPr>
        <w:t>.</w:t>
      </w:r>
    </w:p>
    <w:tbl>
      <w:tblPr>
        <w:tblStyle w:val="Table1"/>
        <w:tblW w:w="9360" w:type="dxa"/>
        <w:jc w:val="left"/>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Layout w:type="fixed"/>
        <w:tblLook w:val="0600"/>
        <w:tblPrChange w:author="" w:id="455995062">
          <w:tblPr/>
        </w:tblPrChange>
      </w:tblPr>
      <w:tblGrid>
        <w:gridCol w:w="1872"/>
        <w:gridCol w:w="1872"/>
        <w:gridCol w:w="1872"/>
        <w:gridCol w:w="1872"/>
        <w:gridCol w:w="1872"/>
      </w:tblGrid>
      <w:tr xmlns:wp14="http://schemas.microsoft.com/office/word/2010/wordml" w:rsidTr="12F0D589" w14:paraId="3B870A1A" wp14:textId="77777777">
        <w:trPr>
          <w:cantSplit w:val="0"/>
          <w:tblHeader w:val="0"/>
        </w:trPr>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1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b w:val="1"/>
                <w:bCs w:val="1"/>
                <w:lang w:val="en-US"/>
              </w:rPr>
            </w:pPr>
            <w:r w:rsidRPr="12F0D589" w:rsidR="12F0D589">
              <w:rPr>
                <w:rFonts w:ascii="Google Sans" w:hAnsi="Google Sans" w:eastAsia="Google Sans" w:cs="Google Sans"/>
                <w:b w:val="1"/>
                <w:bCs w:val="1"/>
                <w:lang w:val="en-US"/>
              </w:rPr>
              <w:t>Característica Biomecánica</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1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b w:val="1"/>
                <w:bCs w:val="1"/>
                <w:lang w:val="en-US"/>
              </w:rPr>
            </w:pPr>
            <w:r w:rsidRPr="12F0D589" w:rsidR="12F0D589">
              <w:rPr>
                <w:rFonts w:ascii="Google Sans" w:hAnsi="Google Sans" w:eastAsia="Google Sans" w:cs="Google Sans"/>
                <w:b w:val="1"/>
                <w:bCs w:val="1"/>
                <w:lang w:val="en-US"/>
              </w:rPr>
              <w:t>Pendiente Plana (0%)</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RDefault="00000000" w14:paraId="0000001C" wp14:textId="77777777">
            <w:pPr>
              <w:pBdr>
                <w:top w:val="nil" w:sz="0" w:space="0"/>
                <w:left w:val="nil" w:sz="0" w:space="0"/>
                <w:bottom w:val="nil" w:sz="0" w:space="0"/>
                <w:right w:val="nil" w:sz="0" w:space="0"/>
                <w:between w:val="nil" w:sz="0" w:space="0"/>
              </w:pBdr>
              <w:shd w:val="clear" w:fill="auto"/>
              <w:spacing w:before="120" w:after="120" w:line="275.9999942779541" w:lineRule="auto"/>
              <w:rPr>
                <w:rFonts w:ascii="Google Sans" w:hAnsi="Google Sans" w:eastAsia="Google Sans" w:cs="Google Sans"/>
                <w:b w:val="1"/>
                <w:bCs w:val="1"/>
              </w:rPr>
            </w:pPr>
            <w:r>
              <w:rPr>
                <w:rFonts w:ascii="Google Sans" w:hAnsi="Google Sans" w:eastAsia="Google Sans" w:cs="Google Sans"/>
                <w:b w:val="1"/>
                <w:bCs w:val="1"/>
                <w:rtl w:val="0"/>
              </w:rPr>
              <w:t xml:space="preserve">Descenso Óptimo (-10%)</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1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b w:val="1"/>
                <w:bCs w:val="1"/>
                <w:lang w:val="en-US"/>
              </w:rPr>
            </w:pPr>
            <w:r w:rsidRPr="12F0D589" w:rsidR="12F0D589">
              <w:rPr>
                <w:rFonts w:ascii="Google Sans" w:hAnsi="Google Sans" w:eastAsia="Google Sans" w:cs="Google Sans"/>
                <w:b w:val="1"/>
                <w:bCs w:val="1"/>
                <w:lang w:val="en-US"/>
              </w:rPr>
              <w:t>Descenso Extremo (-45%)</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RDefault="00000000" w14:paraId="0000001E" wp14:textId="77777777">
            <w:pPr>
              <w:pBdr>
                <w:top w:val="nil" w:sz="0" w:space="0"/>
                <w:left w:val="nil" w:sz="0" w:space="0"/>
                <w:bottom w:val="nil" w:sz="0" w:space="0"/>
                <w:right w:val="nil" w:sz="0" w:space="0"/>
                <w:between w:val="nil" w:sz="0" w:space="0"/>
              </w:pBdr>
              <w:shd w:val="clear" w:fill="auto"/>
              <w:spacing w:before="120" w:after="120" w:line="275.9999942779541" w:lineRule="auto"/>
              <w:rPr>
                <w:rFonts w:ascii="Google Sans" w:hAnsi="Google Sans" w:eastAsia="Google Sans" w:cs="Google Sans"/>
                <w:b w:val="1"/>
                <w:bCs w:val="1"/>
              </w:rPr>
            </w:pPr>
            <w:r>
              <w:rPr>
                <w:rFonts w:ascii="Google Sans" w:hAnsi="Google Sans" w:eastAsia="Google Sans" w:cs="Google Sans"/>
                <w:b w:val="1"/>
                <w:bCs w:val="1"/>
                <w:rtl w:val="0"/>
              </w:rPr>
              <w:t xml:space="preserve">Ascenso Extremo (+45%)</w:t>
            </w:r>
          </w:p>
        </w:tc>
      </w:tr>
      <w:tr xmlns:wp14="http://schemas.microsoft.com/office/word/2010/wordml" w:rsidTr="12F0D589" w14:paraId="317320D4" wp14:textId="77777777">
        <w:trPr>
          <w:cantSplit w:val="0"/>
          <w:tblHeader w:val="0"/>
        </w:trPr>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1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b w:val="1"/>
                <w:bCs w:val="1"/>
                <w:lang w:val="en-US"/>
              </w:rPr>
            </w:pPr>
            <w:r w:rsidRPr="12F0D589" w:rsidR="12F0D589">
              <w:rPr>
                <w:rFonts w:ascii="Google Sans" w:hAnsi="Google Sans" w:eastAsia="Google Sans" w:cs="Google Sans"/>
                <w:b w:val="1"/>
                <w:bCs w:val="1"/>
                <w:lang w:val="en-US"/>
              </w:rPr>
              <w:t>Costo Energético (Jw/(kg·m))</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RDefault="00000000" w14:paraId="00000020" wp14:textId="77777777">
            <w:pPr>
              <w:pBdr>
                <w:top w:val="nil" w:sz="0" w:space="0"/>
                <w:left w:val="nil" w:sz="0" w:space="0"/>
                <w:bottom w:val="nil" w:sz="0" w:space="0"/>
                <w:right w:val="nil" w:sz="0" w:space="0"/>
                <w:between w:val="nil" w:sz="0" w:space="0"/>
              </w:pBdr>
              <w:shd w:val="clear" w:fill="auto"/>
              <w:spacing w:before="120" w:after="120" w:line="275.9999942779541" w:lineRule="auto"/>
              <w:rPr>
                <w:rFonts w:ascii="Google Sans" w:hAnsi="Google Sans" w:eastAsia="Google Sans" w:cs="Google Sans"/>
              </w:rPr>
            </w:pPr>
            <w:r>
              <w:rPr>
                <w:rFonts w:ascii="Google Sans" w:hAnsi="Google Sans" w:eastAsia="Google Sans" w:cs="Google Sans"/>
                <w:rtl w:val="0"/>
              </w:rPr>
              <w:t xml:space="preserve">~ 1.64</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RDefault="00000000" w14:paraId="00000021" wp14:textId="77777777">
            <w:pPr>
              <w:pBdr>
                <w:top w:val="nil" w:sz="0" w:space="0"/>
                <w:left w:val="nil" w:sz="0" w:space="0"/>
                <w:bottom w:val="nil" w:sz="0" w:space="0"/>
                <w:right w:val="nil" w:sz="0" w:space="0"/>
                <w:between w:val="nil" w:sz="0" w:space="0"/>
              </w:pBdr>
              <w:shd w:val="clear" w:fill="auto"/>
              <w:spacing w:before="120" w:after="120" w:line="275.9999942779541" w:lineRule="auto"/>
              <w:rPr>
                <w:rFonts w:ascii="Google Sans" w:hAnsi="Google Sans" w:eastAsia="Google Sans" w:cs="Google Sans"/>
              </w:rPr>
            </w:pPr>
            <w:r>
              <w:rPr>
                <w:rFonts w:ascii="Google Sans" w:hAnsi="Google Sans" w:eastAsia="Google Sans" w:cs="Google Sans"/>
                <w:rtl w:val="0"/>
              </w:rPr>
              <w:t xml:space="preserve">~ 0.81</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RDefault="00000000" w14:paraId="00000022" wp14:textId="77777777">
            <w:pPr>
              <w:pBdr>
                <w:top w:val="nil" w:sz="0" w:space="0"/>
                <w:left w:val="nil" w:sz="0" w:space="0"/>
                <w:bottom w:val="nil" w:sz="0" w:space="0"/>
                <w:right w:val="nil" w:sz="0" w:space="0"/>
                <w:between w:val="nil" w:sz="0" w:space="0"/>
              </w:pBdr>
              <w:shd w:val="clear" w:fill="auto"/>
              <w:spacing w:before="120" w:after="120" w:line="275.9999942779541" w:lineRule="auto"/>
              <w:rPr>
                <w:rFonts w:ascii="Google Sans" w:hAnsi="Google Sans" w:eastAsia="Google Sans" w:cs="Google Sans"/>
              </w:rPr>
            </w:pPr>
            <w:r>
              <w:rPr>
                <w:rFonts w:ascii="Google Sans" w:hAnsi="Google Sans" w:eastAsia="Google Sans" w:cs="Google Sans"/>
                <w:rtl w:val="0"/>
              </w:rPr>
              <w:t xml:space="preserve">~ 3.46</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RDefault="00000000" w14:paraId="00000023" wp14:textId="77777777">
            <w:pPr>
              <w:pBdr>
                <w:top w:val="nil" w:sz="0" w:space="0"/>
                <w:left w:val="nil" w:sz="0" w:space="0"/>
                <w:bottom w:val="nil" w:sz="0" w:space="0"/>
                <w:right w:val="nil" w:sz="0" w:space="0"/>
                <w:between w:val="nil" w:sz="0" w:space="0"/>
              </w:pBdr>
              <w:shd w:val="clear" w:fill="auto"/>
              <w:spacing w:before="120" w:after="120" w:line="275.9999942779541" w:lineRule="auto"/>
              <w:rPr>
                <w:rFonts w:ascii="Google Sans" w:hAnsi="Google Sans" w:eastAsia="Google Sans" w:cs="Google Sans"/>
              </w:rPr>
            </w:pPr>
            <w:r>
              <w:rPr>
                <w:rFonts w:ascii="Google Sans" w:hAnsi="Google Sans" w:eastAsia="Google Sans" w:cs="Google Sans"/>
                <w:rtl w:val="0"/>
              </w:rPr>
              <w:t xml:space="preserve">~ 17.33</w:t>
            </w:r>
          </w:p>
        </w:tc>
      </w:tr>
      <w:tr xmlns:wp14="http://schemas.microsoft.com/office/word/2010/wordml" w:rsidTr="12F0D589" w14:paraId="32146AC8" wp14:textId="77777777">
        <w:trPr>
          <w:cantSplit w:val="0"/>
          <w:tblHeader w:val="0"/>
        </w:trPr>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2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b w:val="1"/>
                <w:bCs w:val="1"/>
                <w:lang w:val="en-US"/>
              </w:rPr>
            </w:pPr>
            <w:r w:rsidRPr="12F0D589" w:rsidR="12F0D589">
              <w:rPr>
                <w:rFonts w:ascii="Google Sans" w:hAnsi="Google Sans" w:eastAsia="Google Sans" w:cs="Google Sans"/>
                <w:b w:val="1"/>
                <w:bCs w:val="1"/>
                <w:lang w:val="en-US"/>
              </w:rPr>
              <w:t>Contracción Muscular Predominante</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2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lang w:val="en-US"/>
              </w:rPr>
            </w:pPr>
            <w:r w:rsidRPr="12F0D589" w:rsidR="12F0D589">
              <w:rPr>
                <w:rFonts w:ascii="Google Sans" w:hAnsi="Google Sans" w:eastAsia="Google Sans" w:cs="Google Sans"/>
                <w:lang w:val="en-US"/>
              </w:rPr>
              <w:t>Concéntrica baja</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2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lang w:val="en-US"/>
              </w:rPr>
            </w:pPr>
            <w:r w:rsidRPr="12F0D589" w:rsidR="12F0D589">
              <w:rPr>
                <w:rFonts w:ascii="Google Sans" w:hAnsi="Google Sans" w:eastAsia="Google Sans" w:cs="Google Sans"/>
                <w:lang w:val="en-US"/>
              </w:rPr>
              <w:t>Concéntrica/Excéntrica</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2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lang w:val="en-US"/>
              </w:rPr>
            </w:pPr>
            <w:r w:rsidRPr="12F0D589" w:rsidR="12F0D589">
              <w:rPr>
                <w:rFonts w:ascii="Google Sans" w:hAnsi="Google Sans" w:eastAsia="Google Sans" w:cs="Google Sans"/>
                <w:lang w:val="en-US"/>
              </w:rPr>
              <w:t>Excéntrica (frenado)</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2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lang w:val="en-US"/>
              </w:rPr>
            </w:pPr>
            <w:r w:rsidRPr="12F0D589" w:rsidR="12F0D589">
              <w:rPr>
                <w:rFonts w:ascii="Google Sans" w:hAnsi="Google Sans" w:eastAsia="Google Sans" w:cs="Google Sans"/>
                <w:lang w:val="en-US"/>
              </w:rPr>
              <w:t>Concéntrica (propulsión)</w:t>
            </w:r>
          </w:p>
        </w:tc>
      </w:tr>
      <w:tr xmlns:wp14="http://schemas.microsoft.com/office/word/2010/wordml" w:rsidTr="12F0D589" w14:paraId="681BBE68" wp14:textId="77777777">
        <w:trPr>
          <w:cantSplit w:val="0"/>
          <w:tblHeader w:val="0"/>
        </w:trPr>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2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b w:val="1"/>
                <w:bCs w:val="1"/>
                <w:lang w:val="en-US"/>
              </w:rPr>
            </w:pPr>
            <w:r w:rsidRPr="12F0D589" w:rsidR="12F0D589">
              <w:rPr>
                <w:rFonts w:ascii="Google Sans" w:hAnsi="Google Sans" w:eastAsia="Google Sans" w:cs="Google Sans"/>
                <w:b w:val="1"/>
                <w:bCs w:val="1"/>
                <w:lang w:val="en-US"/>
              </w:rPr>
              <w:t>Fatiga Predominante</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2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lang w:val="en-US"/>
              </w:rPr>
            </w:pPr>
            <w:r w:rsidRPr="12F0D589" w:rsidR="12F0D589">
              <w:rPr>
                <w:rFonts w:ascii="Google Sans" w:hAnsi="Google Sans" w:eastAsia="Google Sans" w:cs="Google Sans"/>
                <w:lang w:val="en-US"/>
              </w:rPr>
              <w:t>Sistémica aeróbica</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2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lang w:val="en-US"/>
              </w:rPr>
            </w:pPr>
            <w:r w:rsidRPr="12F0D589" w:rsidR="12F0D589">
              <w:rPr>
                <w:rFonts w:ascii="Google Sans" w:hAnsi="Google Sans" w:eastAsia="Google Sans" w:cs="Google Sans"/>
                <w:lang w:val="en-US"/>
              </w:rPr>
              <w:t>Mínima</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2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lang w:val="en-US"/>
              </w:rPr>
            </w:pPr>
            <w:r w:rsidRPr="12F0D589" w:rsidR="12F0D589">
              <w:rPr>
                <w:rFonts w:ascii="Google Sans" w:hAnsi="Google Sans" w:eastAsia="Google Sans" w:cs="Google Sans"/>
                <w:lang w:val="en-US"/>
              </w:rPr>
              <w:t>Localizada (daño tisular)</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2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lang w:val="en-US"/>
              </w:rPr>
            </w:pPr>
            <w:r w:rsidRPr="12F0D589" w:rsidR="12F0D589">
              <w:rPr>
                <w:rFonts w:ascii="Google Sans" w:hAnsi="Google Sans" w:eastAsia="Google Sans" w:cs="Google Sans"/>
                <w:lang w:val="en-US"/>
              </w:rPr>
              <w:t>Metabólica severa</w:t>
            </w:r>
          </w:p>
        </w:tc>
      </w:tr>
    </w:tbl>
    <w:p xmlns:wp14="http://schemas.microsoft.com/office/word/2010/wordml" w:rsidP="12F0D589" w:rsidRDefault="00000000" w14:paraId="0000002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80" w:line="275" w:lineRule="auto"/>
        <w:rPr>
          <w:rFonts w:ascii="Google Sans" w:hAnsi="Google Sans" w:eastAsia="Google Sans" w:cs="Google Sans"/>
          <w:lang w:val="en-US"/>
        </w:rPr>
      </w:pPr>
      <w:r w:rsidRPr="12F0D589" w:rsidR="12F0D589">
        <w:rPr>
          <w:rFonts w:ascii="Google Sans" w:hAnsi="Google Sans" w:eastAsia="Google Sans" w:cs="Google Sans"/>
          <w:lang w:val="en-US"/>
        </w:rPr>
        <w:t>Para excursionistas que transportan equipo pesado (mochilas de expedición), la ecuación polinomial pura subestima el riesgo. En la fisiología militar y deportiva, se acude a la Ecuación de Pandolf (1977), posteriormente adaptada por Santee, que calcula el consumo metabólico (</w:t>
      </w:r>
      <w:r w:rsidR="12F0D589">
        <w:drawing>
          <wp:inline xmlns:wp14="http://schemas.microsoft.com/office/word/2010/wordprocessingDrawing" wp14:editId="2D542F39" wp14:anchorId="0337D232">
            <wp:extent cx="301783" cy="245199"/>
            <wp:effectExtent l="0" t="0" r="0" b="0"/>
            <wp:docPr id="30" name="image13.png"/>
            <wp:cNvGraphicFramePr/>
            <a:graphic>
              <a:graphicData xmlns:a="http://schemas.openxmlformats.org/drawingml/2006/main" uri="http://schemas.openxmlformats.org/drawingml/2006/picture">
                <pic:pic xmlns:pic="http://schemas.openxmlformats.org/drawingml/2006/picture">
                  <pic:nvPicPr>
                    <pic:cNvPr id="0" name="image13.png"/>
                    <pic:cNvPicPr preferRelativeResize="0"/>
                  </pic:nvPicPr>
                  <pic:blipFill>
                    <a:blip xmlns:r="http://schemas.openxmlformats.org/officeDocument/2006/relationships" r:embed="rId20"/>
                    <a:srcRect l="0" t="0" r="0" b="0"/>
                    <a:stretch>
                      <a:fillRect/>
                    </a:stretch>
                  </pic:blipFill>
                  <pic:spPr>
                    <a:xfrm>
                      <a:off x="0" y="0"/>
                      <a:ext cx="301783" cy="245199"/>
                    </a:xfrm>
                    <a:prstGeom prst="rect"/>
                    <a:ln/>
                  </pic:spPr>
                </pic:pic>
              </a:graphicData>
            </a:graphic>
          </wp:inline>
        </w:drawing>
      </w:r>
      <w:r w:rsidRPr="12F0D589" w:rsidR="12F0D589">
        <w:rPr>
          <w:rFonts w:ascii="Google Sans" w:hAnsi="Google Sans" w:eastAsia="Google Sans" w:cs="Google Sans"/>
          <w:lang w:val="en-US"/>
        </w:rPr>
        <w:t xml:space="preserve"> en vatios) integrando variables de peso corporal (</w:t>
      </w:r>
      <w:r w:rsidR="12F0D589">
        <w:drawing>
          <wp:inline xmlns:wp14="http://schemas.microsoft.com/office/word/2010/wordprocessingDrawing" wp14:editId="3B17EC3B" wp14:anchorId="6E3287B5">
            <wp:extent cx="212090" cy="250652"/>
            <wp:effectExtent l="0" t="0" r="0" b="0"/>
            <wp:docPr id="31" name="image5.png"/>
            <wp:cNvGraphicFramePr/>
            <a:graphic>
              <a:graphicData xmlns:a="http://schemas.openxmlformats.org/drawingml/2006/main" uri="http://schemas.openxmlformats.org/drawingml/2006/picture">
                <pic:pic xmlns:pic="http://schemas.openxmlformats.org/drawingml/2006/picture">
                  <pic:nvPicPr>
                    <pic:cNvPr id="0" name="image5.png"/>
                    <pic:cNvPicPr preferRelativeResize="0"/>
                  </pic:nvPicPr>
                  <pic:blipFill>
                    <a:blip xmlns:r="http://schemas.openxmlformats.org/officeDocument/2006/relationships" r:embed="rId6"/>
                    <a:srcRect l="0" t="0" r="0" b="0"/>
                    <a:stretch>
                      <a:fillRect/>
                    </a:stretch>
                  </pic:blipFill>
                  <pic:spPr>
                    <a:xfrm>
                      <a:off x="0" y="0"/>
                      <a:ext cx="212090" cy="250652"/>
                    </a:xfrm>
                    <a:prstGeom prst="rect"/>
                    <a:ln/>
                  </pic:spPr>
                </pic:pic>
              </a:graphicData>
            </a:graphic>
          </wp:inline>
        </w:drawing>
      </w:r>
      <w:r w:rsidRPr="12F0D589" w:rsidR="12F0D589">
        <w:rPr>
          <w:rFonts w:ascii="Google Sans" w:hAnsi="Google Sans" w:eastAsia="Google Sans" w:cs="Google Sans"/>
          <w:lang w:val="en-US"/>
        </w:rPr>
        <w:t>), carga externa (</w:t>
      </w:r>
      <w:r w:rsidR="12F0D589">
        <w:drawing>
          <wp:inline xmlns:wp14="http://schemas.microsoft.com/office/word/2010/wordprocessingDrawing" wp14:editId="48634843" wp14:anchorId="354AE5A1">
            <wp:extent cx="133350" cy="247650"/>
            <wp:effectExtent l="0" t="0" r="0" b="0"/>
            <wp:docPr id="32" name="image25.png"/>
            <wp:cNvGraphicFramePr/>
            <a:graphic>
              <a:graphicData xmlns:a="http://schemas.openxmlformats.org/drawingml/2006/main" uri="http://schemas.openxmlformats.org/drawingml/2006/picture">
                <pic:pic xmlns:pic="http://schemas.openxmlformats.org/drawingml/2006/picture">
                  <pic:nvPicPr>
                    <pic:cNvPr id="0" name="image25.png"/>
                    <pic:cNvPicPr preferRelativeResize="0"/>
                  </pic:nvPicPr>
                  <pic:blipFill>
                    <a:blip xmlns:r="http://schemas.openxmlformats.org/officeDocument/2006/relationships" r:embed="rId21"/>
                    <a:srcRect l="0" t="0" r="0" b="0"/>
                    <a:stretch>
                      <a:fillRect/>
                    </a:stretch>
                  </pic:blipFill>
                  <pic:spPr>
                    <a:xfrm>
                      <a:off x="0" y="0"/>
                      <a:ext cx="133350" cy="247650"/>
                    </a:xfrm>
                    <a:prstGeom prst="rect"/>
                    <a:ln/>
                  </pic:spPr>
                </pic:pic>
              </a:graphicData>
            </a:graphic>
          </wp:inline>
        </w:drawing>
      </w:r>
      <w:r w:rsidRPr="12F0D589" w:rsidR="12F0D589">
        <w:rPr>
          <w:rFonts w:ascii="Google Sans" w:hAnsi="Google Sans" w:eastAsia="Google Sans" w:cs="Google Sans"/>
          <w:lang w:val="en-US"/>
        </w:rPr>
        <w:t>), velocidad (</w:t>
      </w:r>
      <w:r w:rsidR="12F0D589">
        <w:drawing>
          <wp:inline xmlns:wp14="http://schemas.microsoft.com/office/word/2010/wordprocessingDrawing" wp14:editId="3227F0F1" wp14:anchorId="762D37CC">
            <wp:extent cx="157639" cy="241095"/>
            <wp:effectExtent l="0" t="0" r="0" b="0"/>
            <wp:docPr id="33" name="image26.png"/>
            <wp:cNvGraphicFramePr/>
            <a:graphic>
              <a:graphicData xmlns:a="http://schemas.openxmlformats.org/drawingml/2006/main" uri="http://schemas.openxmlformats.org/drawingml/2006/picture">
                <pic:pic xmlns:pic="http://schemas.openxmlformats.org/drawingml/2006/picture">
                  <pic:nvPicPr>
                    <pic:cNvPr id="0" name="image26.png"/>
                    <pic:cNvPicPr preferRelativeResize="0"/>
                  </pic:nvPicPr>
                  <pic:blipFill>
                    <a:blip xmlns:r="http://schemas.openxmlformats.org/officeDocument/2006/relationships" r:embed="rId22"/>
                    <a:srcRect l="0" t="0" r="0" b="0"/>
                    <a:stretch>
                      <a:fillRect/>
                    </a:stretch>
                  </pic:blipFill>
                  <pic:spPr>
                    <a:xfrm>
                      <a:off x="0" y="0"/>
                      <a:ext cx="157639" cy="241095"/>
                    </a:xfrm>
                    <a:prstGeom prst="rect"/>
                    <a:ln/>
                  </pic:spPr>
                </pic:pic>
              </a:graphicData>
            </a:graphic>
          </wp:inline>
        </w:drawing>
      </w:r>
      <w:r w:rsidRPr="12F0D589" w:rsidR="12F0D589">
        <w:rPr>
          <w:rFonts w:ascii="Google Sans" w:hAnsi="Google Sans" w:eastAsia="Google Sans" w:cs="Google Sans"/>
          <w:lang w:val="en-US"/>
        </w:rPr>
        <w:t>), pendiente (</w:t>
      </w:r>
      <w:r w:rsidR="12F0D589">
        <w:drawing>
          <wp:inline xmlns:wp14="http://schemas.microsoft.com/office/word/2010/wordprocessingDrawing" wp14:editId="5F760675" wp14:anchorId="31185379">
            <wp:extent cx="153988" cy="250230"/>
            <wp:effectExtent l="0" t="0" r="0" b="0"/>
            <wp:docPr id="34" name="image28.png"/>
            <wp:cNvGraphicFramePr/>
            <a:graphic>
              <a:graphicData xmlns:a="http://schemas.openxmlformats.org/drawingml/2006/main" uri="http://schemas.openxmlformats.org/drawingml/2006/picture">
                <pic:pic xmlns:pic="http://schemas.openxmlformats.org/drawingml/2006/picture">
                  <pic:nvPicPr>
                    <pic:cNvPr id="0" name="image28.png"/>
                    <pic:cNvPicPr preferRelativeResize="0"/>
                  </pic:nvPicPr>
                  <pic:blipFill>
                    <a:blip xmlns:r="http://schemas.openxmlformats.org/officeDocument/2006/relationships" r:embed="rId23"/>
                    <a:srcRect l="0" t="0" r="0" b="0"/>
                    <a:stretch>
                      <a:fillRect/>
                    </a:stretch>
                  </pic:blipFill>
                  <pic:spPr>
                    <a:xfrm>
                      <a:off x="0" y="0"/>
                      <a:ext cx="153988" cy="250230"/>
                    </a:xfrm>
                    <a:prstGeom prst="rect"/>
                    <a:ln/>
                  </pic:spPr>
                </pic:pic>
              </a:graphicData>
            </a:graphic>
          </wp:inline>
        </w:drawing>
      </w:r>
      <w:r w:rsidRPr="12F0D589" w:rsidR="12F0D589">
        <w:rPr>
          <w:rFonts w:ascii="Google Sans" w:hAnsi="Google Sans" w:eastAsia="Google Sans" w:cs="Google Sans"/>
          <w:lang w:val="en-US"/>
        </w:rPr>
        <w:t xml:space="preserve"> en porcentaje) y un coeficiente empírico de terreno (</w:t>
      </w:r>
      <w:r w:rsidR="12F0D589">
        <w:drawing>
          <wp:inline xmlns:wp14="http://schemas.microsoft.com/office/word/2010/wordprocessingDrawing" wp14:editId="4B054642" wp14:anchorId="09F51B51">
            <wp:extent cx="104299" cy="246524"/>
            <wp:effectExtent l="0" t="0" r="0" b="0"/>
            <wp:docPr id="1" name="image8.png"/>
            <wp:cNvGraphicFramePr/>
            <a:graphic>
              <a:graphicData xmlns:a="http://schemas.openxmlformats.org/drawingml/2006/main" uri="http://schemas.openxmlformats.org/drawingml/2006/picture">
                <pic:pic xmlns:pic="http://schemas.openxmlformats.org/drawingml/2006/picture">
                  <pic:nvPicPr>
                    <pic:cNvPr id="0" name="image8.png"/>
                    <pic:cNvPicPr preferRelativeResize="0"/>
                  </pic:nvPicPr>
                  <pic:blipFill>
                    <a:blip xmlns:r="http://schemas.openxmlformats.org/officeDocument/2006/relationships" r:embed="rId24"/>
                    <a:srcRect l="0" t="0" r="0" b="0"/>
                    <a:stretch>
                      <a:fillRect/>
                    </a:stretch>
                  </pic:blipFill>
                  <pic:spPr>
                    <a:xfrm>
                      <a:off x="0" y="0"/>
                      <a:ext cx="104299" cy="246524"/>
                    </a:xfrm>
                    <a:prstGeom prst="rect"/>
                    <a:ln/>
                  </pic:spPr>
                </pic:pic>
              </a:graphicData>
            </a:graphic>
          </wp:inline>
        </w:drawing>
      </w:r>
      <w:r w:rsidRPr="12F0D589" w:rsidR="12F0D589">
        <w:rPr>
          <w:rFonts w:ascii="Google Sans" w:hAnsi="Google Sans" w:eastAsia="Google Sans" w:cs="Google Sans"/>
          <w:lang w:val="en-US"/>
        </w:rPr>
        <w:t>)</w:t>
      </w:r>
      <w:r w:rsidRPr="12F0D589" w:rsidR="12F0D589">
        <w:rPr>
          <w:rFonts w:ascii="Google Sans" w:hAnsi="Google Sans" w:eastAsia="Google Sans" w:cs="Google Sans"/>
          <w:sz w:val="24"/>
          <w:szCs w:val="24"/>
          <w:vertAlign w:val="superscript"/>
          <w:lang w:val="en-US"/>
        </w:rPr>
        <w:t>34</w:t>
      </w:r>
      <w:r w:rsidRPr="12F0D589" w:rsidR="12F0D589">
        <w:rPr>
          <w:rFonts w:ascii="Google Sans" w:hAnsi="Google Sans" w:eastAsia="Google Sans" w:cs="Google Sans"/>
          <w:lang w:val="en-US"/>
        </w:rPr>
        <w:t>:</w:t>
      </w:r>
    </w:p>
    <w:p xmlns:wp14="http://schemas.microsoft.com/office/word/2010/wordml" w:rsidRDefault="00000000" w14:paraId="0000002F" wp14:textId="77777777">
      <w:pPr>
        <w:pBdr>
          <w:top w:val="nil" w:sz="0" w:space="0"/>
          <w:left w:val="nil" w:sz="0" w:space="0"/>
          <w:bottom w:val="nil" w:sz="0" w:space="0"/>
          <w:right w:val="nil" w:sz="0" w:space="0"/>
          <w:between w:val="nil" w:sz="0" w:space="0"/>
        </w:pBdr>
        <w:shd w:val="clear" w:fill="auto"/>
        <w:spacing w:line="275.9999942779541" w:lineRule="auto"/>
        <w:rPr>
          <w:rFonts w:ascii="Google Sans" w:hAnsi="Google Sans" w:eastAsia="Google Sans" w:cs="Google Sans"/>
        </w:rPr>
      </w:pPr>
      <w:r>
        <w:rPr>
          <w:rFonts w:ascii="Google Sans" w:hAnsi="Google Sans" w:eastAsia="Google Sans" w:cs="Google Sans"/>
        </w:rPr>
        <w:drawing>
          <wp:inline xmlns:wp14="http://schemas.microsoft.com/office/word/2010/wordprocessingDrawing" distT="19050" distB="19050" distL="19050" distR="19050" wp14:anchorId="791321BD" wp14:editId="7777777">
            <wp:extent cx="5905500" cy="1008478"/>
            <wp:effectExtent l="0" t="0" r="0" b="0"/>
            <wp:docPr id="2" name="image11.png"/>
            <a:graphic>
              <a:graphicData uri="http://schemas.openxmlformats.org/drawingml/2006/picture">
                <pic:pic>
                  <pic:nvPicPr>
                    <pic:cNvPr id="0" name="image11.png"/>
                    <pic:cNvPicPr preferRelativeResize="0"/>
                  </pic:nvPicPr>
                  <pic:blipFill>
                    <a:blip r:embed="rId25"/>
                    <a:srcRect l="0" t="0" r="0" b="0"/>
                    <a:stretch>
                      <a:fillRect/>
                    </a:stretch>
                  </pic:blipFill>
                  <pic:spPr>
                    <a:xfrm>
                      <a:off x="0" y="0"/>
                      <a:ext cx="5905500" cy="1008478"/>
                    </a:xfrm>
                    <a:prstGeom prst="rect"/>
                    <a:ln/>
                  </pic:spPr>
                </pic:pic>
              </a:graphicData>
            </a:graphic>
          </wp:inline>
        </w:drawing>
      </w:r>
      <w:r>
        <w:rPr>
          <w:rtl w:val="0"/>
        </w:rPr>
      </w:r>
    </w:p>
    <w:p xmlns:wp14="http://schemas.microsoft.com/office/word/2010/wordml" w:rsidP="12F0D589" w:rsidRDefault="00000000" w14:paraId="0000003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 xml:space="preserve">El factor topográfico </w:t>
      </w:r>
      <w:r w:rsidR="12F0D589">
        <w:drawing>
          <wp:inline xmlns:wp14="http://schemas.microsoft.com/office/word/2010/wordprocessingDrawing" wp14:editId="6656E524" wp14:anchorId="78275E5A">
            <wp:extent cx="104299" cy="246524"/>
            <wp:effectExtent l="0" t="0" r="0" b="0"/>
            <wp:docPr id="3" name="image8.png"/>
            <wp:cNvGraphicFramePr/>
            <a:graphic>
              <a:graphicData xmlns:a="http://schemas.openxmlformats.org/drawingml/2006/main" uri="http://schemas.openxmlformats.org/drawingml/2006/picture">
                <pic:pic xmlns:pic="http://schemas.openxmlformats.org/drawingml/2006/picture">
                  <pic:nvPicPr>
                    <pic:cNvPr id="0" name="image8.png"/>
                    <pic:cNvPicPr preferRelativeResize="0"/>
                  </pic:nvPicPr>
                  <pic:blipFill>
                    <a:blip xmlns:r="http://schemas.openxmlformats.org/officeDocument/2006/relationships" r:embed="rId24"/>
                    <a:srcRect l="0" t="0" r="0" b="0"/>
                    <a:stretch>
                      <a:fillRect/>
                    </a:stretch>
                  </pic:blipFill>
                  <pic:spPr>
                    <a:xfrm>
                      <a:off x="0" y="0"/>
                      <a:ext cx="104299" cy="246524"/>
                    </a:xfrm>
                    <a:prstGeom prst="rect"/>
                    <a:ln/>
                  </pic:spPr>
                </pic:pic>
              </a:graphicData>
            </a:graphic>
          </wp:inline>
        </w:drawing>
      </w:r>
      <w:r w:rsidRPr="12F0D589" w:rsidR="12F0D589">
        <w:rPr>
          <w:rFonts w:ascii="Google Sans" w:hAnsi="Google Sans" w:eastAsia="Google Sans" w:cs="Google Sans"/>
          <w:lang w:val="en-US"/>
        </w:rPr>
        <w:t xml:space="preserve"> escala la dificultad multiplicando la respuesta energética; asume valores de 1.0 para asfalto, 1.2 para caminos de tierra ligera, 1.5 para maleza pesada, y hasta 2.1 para arena suelta</w:t>
      </w:r>
      <w:r w:rsidRPr="12F0D589" w:rsidR="12F0D589">
        <w:rPr>
          <w:rFonts w:ascii="Google Sans" w:hAnsi="Google Sans" w:eastAsia="Google Sans" w:cs="Google Sans"/>
          <w:sz w:val="24"/>
          <w:szCs w:val="24"/>
          <w:vertAlign w:val="superscript"/>
          <w:lang w:val="en-US"/>
        </w:rPr>
        <w:t>35</w:t>
      </w:r>
      <w:r w:rsidRPr="12F0D589" w:rsidR="12F0D589">
        <w:rPr>
          <w:rFonts w:ascii="Google Sans" w:hAnsi="Google Sans" w:eastAsia="Google Sans" w:cs="Google Sans"/>
          <w:lang w:val="en-US"/>
        </w:rPr>
        <w:t>. La suma integral de la función de Tobler/Irmischer para proyectar velocidad, ajustada al costo metabólico polinomial de Minetti y la sobrecarga de Pandolf, proporciona el núcleo lógico perfecto para un motor backend que dimensione estocásticamente el desgaste energético por cada metro de terreno ruteado.</w:t>
      </w:r>
    </w:p>
    <w:p xmlns:wp14="http://schemas.microsoft.com/office/word/2010/wordml" w:rsidP="12F0D589" w:rsidRDefault="00000000" w14:paraId="00000031"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275" w:lineRule="auto"/>
        <w:rPr>
          <w:rFonts w:ascii="Google Sans" w:hAnsi="Google Sans" w:eastAsia="Google Sans" w:cs="Google Sans"/>
          <w:lang w:val="en-US"/>
        </w:rPr>
      </w:pPr>
      <w:r w:rsidRPr="12F0D589" w:rsidR="12F0D589">
        <w:rPr>
          <w:rFonts w:ascii="Google Sans" w:hAnsi="Google Sans" w:eastAsia="Google Sans" w:cs="Google Sans"/>
          <w:lang w:val="en-US"/>
        </w:rPr>
        <w:t>Impacto del Clima Tropical en la Biomecánica, Fatiga y Riesgo de Lesiones</w:t>
      </w:r>
    </w:p>
    <w:p xmlns:wp14="http://schemas.microsoft.com/office/word/2010/wordml" w:rsidP="12F0D589" w:rsidRDefault="00000000" w14:paraId="0000003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Las ecuaciones matemáticas expuestas predicen el comportamiento biomecánico asumiendo condiciones homeostáticas estables. No obstante, al someter a un individuo a la dinámica de los ecosistemas neotropicales —que combinan altas temperaturas ambientales con hiperhumedad constante— la capacidad aeróbica y la integridad neuromotora se deterioran aceleradamente, introduciendo variables de riesgo que invalidan las proyecciones de velocidad estática</w:t>
      </w:r>
      <w:r w:rsidRPr="12F0D589" w:rsidR="12F0D589">
        <w:rPr>
          <w:rFonts w:ascii="Google Sans" w:hAnsi="Google Sans" w:eastAsia="Google Sans" w:cs="Google Sans"/>
          <w:sz w:val="24"/>
          <w:szCs w:val="24"/>
          <w:vertAlign w:val="superscript"/>
          <w:lang w:val="en-US"/>
        </w:rPr>
        <w:t>7</w:t>
      </w:r>
      <w:r w:rsidRPr="12F0D589" w:rsidR="12F0D589">
        <w:rPr>
          <w:rFonts w:ascii="Google Sans" w:hAnsi="Google Sans" w:eastAsia="Google Sans" w:cs="Google Sans"/>
          <w:lang w:val="en-US"/>
        </w:rPr>
        <w:t>.</w:t>
      </w:r>
    </w:p>
    <w:p xmlns:wp14="http://schemas.microsoft.com/office/word/2010/wordml" w:rsidP="12F0D589" w:rsidRDefault="00000000" w14:paraId="00000033"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275" w:lineRule="auto"/>
        <w:rPr>
          <w:rFonts w:ascii="Google Sans" w:hAnsi="Google Sans" w:eastAsia="Google Sans" w:cs="Google Sans"/>
          <w:lang w:val="en-US"/>
        </w:rPr>
      </w:pPr>
      <w:r w:rsidRPr="12F0D589" w:rsidR="12F0D589">
        <w:rPr>
          <w:rFonts w:ascii="Google Sans" w:hAnsi="Google Sans" w:eastAsia="Google Sans" w:cs="Google Sans"/>
          <w:lang w:val="en-US"/>
        </w:rPr>
        <w:t>Deriva Cardiovascular y Fallo Termorregulatorio</w:t>
      </w:r>
    </w:p>
    <w:p xmlns:wp14="http://schemas.microsoft.com/office/word/2010/wordml" w:rsidP="12F0D589" w:rsidRDefault="00000000" w14:paraId="0000003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El mecanismo primordial que acelera la fatiga sistémica en caminatas calurosas es la "Deriva Cardiovascular" (Cardiovascular Drift o CV drift). Se caracteriza por un aumento progresivo en la Frecuencia Cardíaca (HR) asociado a una disminución concomitante del Volumen Sistólico (SV), manifestándose sistemáticamente tras 10 a 20 minutos de ejercicio submáximo sostenido, incluso cuando la carga externa (velocidad de marcha y gradiente topográfico) se mantiene constante</w:t>
      </w:r>
      <w:r w:rsidRPr="12F0D589" w:rsidR="12F0D589">
        <w:rPr>
          <w:rFonts w:ascii="Google Sans" w:hAnsi="Google Sans" w:eastAsia="Google Sans" w:cs="Google Sans"/>
          <w:sz w:val="24"/>
          <w:szCs w:val="24"/>
          <w:vertAlign w:val="superscript"/>
          <w:lang w:val="en-US"/>
        </w:rPr>
        <w:t>8</w:t>
      </w:r>
      <w:r w:rsidRPr="12F0D589" w:rsidR="12F0D589">
        <w:rPr>
          <w:rFonts w:ascii="Google Sans" w:hAnsi="Google Sans" w:eastAsia="Google Sans" w:cs="Google Sans"/>
          <w:lang w:val="en-US"/>
        </w:rPr>
        <w:t>.</w:t>
      </w:r>
    </w:p>
    <w:p xmlns:wp14="http://schemas.microsoft.com/office/word/2010/wordml" w:rsidP="12F0D589" w:rsidRDefault="00000000" w14:paraId="0000003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Fisiológicamente, este desacoplamiento es el resultado de un conflicto de intereses en la distribución del gasto cardíaco. La hipótesis vascular tradicional (Rowell) expone que, ante el ascenso de la temperatura corporal central provocado por el ejercicio aeróbico, el sistema nervioso autónomo desencadena una vasodilatación cutánea masiva para forzar la disipación convectiva y evaporativa del calor. Esta redistribución sanguínea eleva el volumen venoso cutáneo, reduciendo la presión venosa central y disminuyendo el volumen telediastólico del ventrículo izquierdo, lo que se traduce en una caída directa del volumen sistólico</w:t>
      </w:r>
      <w:r w:rsidRPr="12F0D589" w:rsidR="12F0D589">
        <w:rPr>
          <w:rFonts w:ascii="Google Sans" w:hAnsi="Google Sans" w:eastAsia="Google Sans" w:cs="Google Sans"/>
          <w:sz w:val="24"/>
          <w:szCs w:val="24"/>
          <w:vertAlign w:val="superscript"/>
          <w:lang w:val="en-US"/>
        </w:rPr>
        <w:t>8</w:t>
      </w:r>
      <w:r w:rsidRPr="12F0D589" w:rsidR="12F0D589">
        <w:rPr>
          <w:rFonts w:ascii="Google Sans" w:hAnsi="Google Sans" w:eastAsia="Google Sans" w:cs="Google Sans"/>
          <w:lang w:val="en-US"/>
        </w:rPr>
        <w:t>. Estudios recientes introducen la hipótesis concurrente de que la taquicardia inducida por la hipertermia acorta inherentemente el tiempo de llenado ventricular, amplificando el déficit del volumen por latido independientemente de la dilatación cutánea</w:t>
      </w:r>
      <w:r w:rsidRPr="12F0D589" w:rsidR="12F0D589">
        <w:rPr>
          <w:rFonts w:ascii="Google Sans" w:hAnsi="Google Sans" w:eastAsia="Google Sans" w:cs="Google Sans"/>
          <w:sz w:val="24"/>
          <w:szCs w:val="24"/>
          <w:vertAlign w:val="superscript"/>
          <w:lang w:val="en-US"/>
        </w:rPr>
        <w:t>8</w:t>
      </w:r>
      <w:r w:rsidRPr="12F0D589" w:rsidR="12F0D589">
        <w:rPr>
          <w:rFonts w:ascii="Google Sans" w:hAnsi="Google Sans" w:eastAsia="Google Sans" w:cs="Google Sans"/>
          <w:lang w:val="en-US"/>
        </w:rPr>
        <w:t>.</w:t>
      </w:r>
    </w:p>
    <w:p xmlns:wp14="http://schemas.microsoft.com/office/word/2010/wordml" w:rsidP="12F0D589" w:rsidRDefault="00000000" w14:paraId="0000003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El clima tropical exacerba esta condición de forma dramática debido a la presión de vapor. Investigaciones de Maughan, Wingo y Coyle confirman que el factor limitante principal no es la humedad relativa, sino la humedad absoluta del aire</w:t>
      </w:r>
      <w:r w:rsidRPr="12F0D589" w:rsidR="12F0D589">
        <w:rPr>
          <w:rFonts w:ascii="Google Sans" w:hAnsi="Google Sans" w:eastAsia="Google Sans" w:cs="Google Sans"/>
          <w:sz w:val="24"/>
          <w:szCs w:val="24"/>
          <w:vertAlign w:val="superscript"/>
          <w:lang w:val="en-US"/>
        </w:rPr>
        <w:t>7</w:t>
      </w:r>
      <w:r w:rsidRPr="12F0D589" w:rsidR="12F0D589">
        <w:rPr>
          <w:rFonts w:ascii="Google Sans" w:hAnsi="Google Sans" w:eastAsia="Google Sans" w:cs="Google Sans"/>
          <w:lang w:val="en-US"/>
        </w:rPr>
        <w:t>. Dado que el enfriamiento primario durante el senderismo ocurre por la evaporación del sudor, un microclima con una presión de vapor superior a la de la piel inhibe la vaporización. El sudor gotea sin extraer energía térmica (calor latente de vaporización), obligando al cuerpo a perder fluidos sin obtener un beneficio termorregulatorio</w:t>
      </w:r>
      <w:r w:rsidRPr="12F0D589" w:rsidR="12F0D589">
        <w:rPr>
          <w:rFonts w:ascii="Google Sans" w:hAnsi="Google Sans" w:eastAsia="Google Sans" w:cs="Google Sans"/>
          <w:sz w:val="24"/>
          <w:szCs w:val="24"/>
          <w:vertAlign w:val="superscript"/>
          <w:lang w:val="en-US"/>
        </w:rPr>
        <w:t>7</w:t>
      </w:r>
      <w:r w:rsidRPr="12F0D589" w:rsidR="12F0D589">
        <w:rPr>
          <w:rFonts w:ascii="Google Sans" w:hAnsi="Google Sans" w:eastAsia="Google Sans" w:cs="Google Sans"/>
          <w:lang w:val="en-US"/>
        </w:rPr>
        <w:t>.</w:t>
      </w:r>
    </w:p>
    <w:p xmlns:wp14="http://schemas.microsoft.com/office/word/2010/wordml" w:rsidP="12F0D589" w:rsidRDefault="00000000" w14:paraId="0000003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Este entorno hiperhúmedo no solo eleva la temperatura central (con incrementos mayores a 0.5 °C/h) sino que el déficit de deshidratación interactúa de forma aditiva con la hipertermia</w:t>
      </w:r>
      <w:r w:rsidRPr="12F0D589" w:rsidR="12F0D589">
        <w:rPr>
          <w:rFonts w:ascii="Google Sans" w:hAnsi="Google Sans" w:eastAsia="Google Sans" w:cs="Google Sans"/>
          <w:sz w:val="24"/>
          <w:szCs w:val="24"/>
          <w:vertAlign w:val="superscript"/>
          <w:lang w:val="en-US"/>
        </w:rPr>
        <w:t>7</w:t>
      </w:r>
      <w:r w:rsidRPr="12F0D589" w:rsidR="12F0D589">
        <w:rPr>
          <w:rFonts w:ascii="Google Sans" w:hAnsi="Google Sans" w:eastAsia="Google Sans" w:cs="Google Sans"/>
          <w:lang w:val="en-US"/>
        </w:rPr>
        <w:t>. Si se transita una zona tropical abierta bajo exposición solar directa (incremento del estrés por radiación), la deshidratación agrava el CV drift y disminuye el volumen máximo de oxígeno asimilable (</w:t>
      </w:r>
      <w:r w:rsidR="12F0D589">
        <w:drawing>
          <wp:inline xmlns:wp14="http://schemas.microsoft.com/office/word/2010/wordprocessingDrawing" wp14:editId="39CD6F7A" wp14:anchorId="239B05AE">
            <wp:extent cx="657066" cy="247590"/>
            <wp:effectExtent l="0" t="0" r="0" b="0"/>
            <wp:docPr id="4" name="image7.png"/>
            <wp:cNvGraphicFramePr/>
            <a:graphic>
              <a:graphicData xmlns:a="http://schemas.openxmlformats.org/drawingml/2006/main" uri="http://schemas.openxmlformats.org/drawingml/2006/picture">
                <pic:pic xmlns:pic="http://schemas.openxmlformats.org/drawingml/2006/picture">
                  <pic:nvPicPr>
                    <pic:cNvPr id="0" name="image7.png"/>
                    <pic:cNvPicPr preferRelativeResize="0"/>
                  </pic:nvPicPr>
                  <pic:blipFill>
                    <a:blip xmlns:r="http://schemas.openxmlformats.org/officeDocument/2006/relationships" r:embed="rId26"/>
                    <a:srcRect l="0" t="0" r="0" b="0"/>
                    <a:stretch>
                      <a:fillRect/>
                    </a:stretch>
                  </pic:blipFill>
                  <pic:spPr>
                    <a:xfrm>
                      <a:off x="0" y="0"/>
                      <a:ext cx="657066" cy="247590"/>
                    </a:xfrm>
                    <a:prstGeom prst="rect"/>
                    <a:ln/>
                  </pic:spPr>
                </pic:pic>
              </a:graphicData>
            </a:graphic>
          </wp:inline>
        </w:drawing>
      </w:r>
      <w:r w:rsidRPr="12F0D589" w:rsidR="12F0D589">
        <w:rPr>
          <w:rFonts w:ascii="Google Sans" w:hAnsi="Google Sans" w:eastAsia="Google Sans" w:cs="Google Sans"/>
          <w:lang w:val="en-US"/>
        </w:rPr>
        <w:t>)</w:t>
      </w:r>
      <w:r w:rsidRPr="12F0D589" w:rsidR="12F0D589">
        <w:rPr>
          <w:rFonts w:ascii="Google Sans" w:hAnsi="Google Sans" w:eastAsia="Google Sans" w:cs="Google Sans"/>
          <w:sz w:val="24"/>
          <w:szCs w:val="24"/>
          <w:vertAlign w:val="superscript"/>
          <w:lang w:val="en-US"/>
        </w:rPr>
        <w:t>8</w:t>
      </w:r>
      <w:r w:rsidRPr="12F0D589" w:rsidR="12F0D589">
        <w:rPr>
          <w:rFonts w:ascii="Google Sans" w:hAnsi="Google Sans" w:eastAsia="Google Sans" w:cs="Google Sans"/>
          <w:lang w:val="en-US"/>
        </w:rPr>
        <w:t>. Para el modelo del Índice Dinámico de Riesgo, esto implica que una vez que un excursionista cruza el umbral temporal de 20 minutos de ascenso continuo bajo un índice térmico WBGT alto, la ruta ya no puede calcularse asumiendo una velocidad sostenida. El algoritmo debe penalizar progresivamente el vector temporal e incrementar los valores de alerta médica.</w:t>
      </w:r>
    </w:p>
    <w:p xmlns:wp14="http://schemas.microsoft.com/office/word/2010/wordml" w:rsidP="12F0D589" w:rsidRDefault="00000000" w14:paraId="00000038"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275" w:lineRule="auto"/>
        <w:rPr>
          <w:rFonts w:ascii="Google Sans" w:hAnsi="Google Sans" w:eastAsia="Google Sans" w:cs="Google Sans"/>
          <w:lang w:val="en-US"/>
        </w:rPr>
      </w:pPr>
      <w:r w:rsidRPr="12F0D589" w:rsidR="12F0D589">
        <w:rPr>
          <w:rFonts w:ascii="Google Sans" w:hAnsi="Google Sans" w:eastAsia="Google Sans" w:cs="Google Sans"/>
          <w:lang w:val="en-US"/>
        </w:rPr>
        <w:t>Biomecánica de la Fatiga y Cinética de la Marcha en Pendientes</w:t>
      </w:r>
    </w:p>
    <w:p xmlns:wp14="http://schemas.microsoft.com/office/word/2010/wordml" w:rsidP="12F0D589" w:rsidRDefault="00000000" w14:paraId="0000003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La fatiga cardiovascular induce de forma secuencial una fatiga neuromuscular. La disonancia entre la intención motora y la capacidad contráctil perturba sustancialmente la marcha humana normal. Los estudios de análisis tridimensional de la marcha indican que, en presencia de agotamiento periférico, el excursionista busca maximizar la estabilidad adoptando estrategias compensatorias subóptimas</w:t>
      </w:r>
      <w:r w:rsidRPr="12F0D589" w:rsidR="12F0D589">
        <w:rPr>
          <w:rFonts w:ascii="Google Sans" w:hAnsi="Google Sans" w:eastAsia="Google Sans" w:cs="Google Sans"/>
          <w:sz w:val="24"/>
          <w:szCs w:val="24"/>
          <w:vertAlign w:val="superscript"/>
          <w:lang w:val="en-US"/>
        </w:rPr>
        <w:t>10</w:t>
      </w:r>
      <w:r w:rsidRPr="12F0D589" w:rsidR="12F0D589">
        <w:rPr>
          <w:rFonts w:ascii="Google Sans" w:hAnsi="Google Sans" w:eastAsia="Google Sans" w:cs="Google Sans"/>
          <w:lang w:val="en-US"/>
        </w:rPr>
        <w:t>.</w:t>
      </w:r>
    </w:p>
    <w:p xmlns:wp14="http://schemas.microsoft.com/office/word/2010/wordml" w:rsidP="12F0D589" w:rsidRDefault="00000000" w14:paraId="0000003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El senderismo en terrenos irregulares requiere microajustes constantes para posicionar el centro de masa (CoM) sobre una base de apoyo dinámica. En estado de fatiga, el sistema propioceptivo experimenta latencia, reflejándose cinemáticamente en una disminución de la cadencia, el acortamiento de la longitud de la zancada y, predominantemente, un aumento notable en la anchura del paso</w:t>
      </w:r>
      <w:r w:rsidRPr="12F0D589" w:rsidR="12F0D589">
        <w:rPr>
          <w:rFonts w:ascii="Google Sans" w:hAnsi="Google Sans" w:eastAsia="Google Sans" w:cs="Google Sans"/>
          <w:sz w:val="24"/>
          <w:szCs w:val="24"/>
          <w:vertAlign w:val="superscript"/>
          <w:lang w:val="en-US"/>
        </w:rPr>
        <w:t>10</w:t>
      </w:r>
      <w:r w:rsidRPr="12F0D589" w:rsidR="12F0D589">
        <w:rPr>
          <w:rFonts w:ascii="Google Sans" w:hAnsi="Google Sans" w:eastAsia="Google Sans" w:cs="Google Sans"/>
          <w:lang w:val="en-US"/>
        </w:rPr>
        <w:t>. Esta apertura de la base de sustentación intenta mitigar la inestabilidad en los planos frontal y sagital; sin embargo, aumenta exponencialmente la variabilidad del contacto inicial del talón (foot strike variability) y desvía la aceleración tibial (TA)</w:t>
      </w:r>
      <w:r w:rsidRPr="12F0D589" w:rsidR="12F0D589">
        <w:rPr>
          <w:rFonts w:ascii="Google Sans" w:hAnsi="Google Sans" w:eastAsia="Google Sans" w:cs="Google Sans"/>
          <w:sz w:val="24"/>
          <w:szCs w:val="24"/>
          <w:vertAlign w:val="superscript"/>
          <w:lang w:val="en-US"/>
        </w:rPr>
        <w:t>10</w:t>
      </w:r>
      <w:r w:rsidRPr="12F0D589" w:rsidR="12F0D589">
        <w:rPr>
          <w:rFonts w:ascii="Google Sans" w:hAnsi="Google Sans" w:eastAsia="Google Sans" w:cs="Google Sans"/>
          <w:lang w:val="en-US"/>
        </w:rPr>
        <w:t>.</w:t>
      </w:r>
    </w:p>
    <w:p xmlns:wp14="http://schemas.microsoft.com/office/word/2010/wordml" w:rsidP="12F0D589" w:rsidRDefault="00000000" w14:paraId="0000003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El esfuerzo biomecánico alcanza niveles de riesgo traumatológico máximo durante el senderismo de descenso (downhill walking). A diferencia del ascenso, donde la falla resulta en una detención segura, el descenso requiere contracciones excéntricas musculares masivas. Los extensores de la cadera, rodilla y tobillo deben generar fuerza mientras se estiran para disipar la energía mecánica del cuerpo más la carga externa de la mochila</w:t>
      </w:r>
      <w:r w:rsidRPr="12F0D589" w:rsidR="12F0D589">
        <w:rPr>
          <w:rFonts w:ascii="Google Sans" w:hAnsi="Google Sans" w:eastAsia="Google Sans" w:cs="Google Sans"/>
          <w:sz w:val="24"/>
          <w:szCs w:val="24"/>
          <w:vertAlign w:val="superscript"/>
          <w:lang w:val="en-US"/>
        </w:rPr>
        <w:t>33</w:t>
      </w:r>
      <w:r w:rsidRPr="12F0D589" w:rsidR="12F0D589">
        <w:rPr>
          <w:rFonts w:ascii="Google Sans" w:hAnsi="Google Sans" w:eastAsia="Google Sans" w:cs="Google Sans"/>
          <w:lang w:val="en-US"/>
        </w:rPr>
        <w:t>. La literatura demuestra que descender incrementa la magnitud de la fuerza de reacción del suelo (GRF) y dispara el momento de aducción de la rodilla (KAM), provocando microdaños significativos en las fibras musculares. Esto se correlaciona con la liberación aguda de enzimas musculares al torrente sanguíneo (creatina quinasa y deshidrogenasa láctica), promoviendo la inflamación tisular a las pocas horas de la excursión</w:t>
      </w:r>
      <w:r w:rsidRPr="12F0D589" w:rsidR="12F0D589">
        <w:rPr>
          <w:rFonts w:ascii="Google Sans" w:hAnsi="Google Sans" w:eastAsia="Google Sans" w:cs="Google Sans"/>
          <w:sz w:val="24"/>
          <w:szCs w:val="24"/>
          <w:vertAlign w:val="superscript"/>
          <w:lang w:val="en-US"/>
        </w:rPr>
        <w:t>33</w:t>
      </w:r>
      <w:r w:rsidRPr="12F0D589" w:rsidR="12F0D589">
        <w:rPr>
          <w:rFonts w:ascii="Google Sans" w:hAnsi="Google Sans" w:eastAsia="Google Sans" w:cs="Google Sans"/>
          <w:lang w:val="en-US"/>
        </w:rPr>
        <w:t>.</w:t>
      </w:r>
    </w:p>
    <w:p xmlns:wp14="http://schemas.microsoft.com/office/word/2010/wordml" w:rsidP="12F0D589" w:rsidRDefault="00000000" w14:paraId="0000003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Para amortiguar estas cargas articulares, excursionistas expertos utilizan técnicas como los bastones de trekking. Evaluaciones de los patrones de coordinación revelan que la asistencia de bastones modula el índice de ciclo ("duty factor") y la diagonalidad de la marcha, adoptando coplas diagonales equivalentes al 40-50% del ciclo locomotor en terrenos escalonados (stair-height conditions) para redistribuir la absorción del momento de choque</w:t>
      </w:r>
      <w:r w:rsidRPr="12F0D589" w:rsidR="12F0D589">
        <w:rPr>
          <w:rFonts w:ascii="Google Sans" w:hAnsi="Google Sans" w:eastAsia="Google Sans" w:cs="Google Sans"/>
          <w:sz w:val="24"/>
          <w:szCs w:val="24"/>
          <w:vertAlign w:val="superscript"/>
          <w:lang w:val="en-US"/>
        </w:rPr>
        <w:t>33</w:t>
      </w:r>
      <w:r w:rsidRPr="12F0D589" w:rsidR="12F0D589">
        <w:rPr>
          <w:rFonts w:ascii="Google Sans" w:hAnsi="Google Sans" w:eastAsia="Google Sans" w:cs="Google Sans"/>
          <w:lang w:val="en-US"/>
        </w:rPr>
        <w:t>.</w:t>
      </w:r>
    </w:p>
    <w:p xmlns:wp14="http://schemas.microsoft.com/office/word/2010/wordml" w:rsidP="12F0D589" w:rsidRDefault="00000000" w14:paraId="0000003D"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275" w:lineRule="auto"/>
        <w:rPr>
          <w:rFonts w:ascii="Google Sans" w:hAnsi="Google Sans" w:eastAsia="Google Sans" w:cs="Google Sans"/>
          <w:lang w:val="en-US"/>
        </w:rPr>
      </w:pPr>
      <w:r w:rsidRPr="12F0D589" w:rsidR="12F0D589">
        <w:rPr>
          <w:rFonts w:ascii="Google Sans" w:hAnsi="Google Sans" w:eastAsia="Google Sans" w:cs="Google Sans"/>
          <w:lang w:val="en-US"/>
        </w:rPr>
        <w:t>Riesgo de Resbalones, Tropezones y Caídas (Tribología)</w:t>
      </w:r>
    </w:p>
    <w:p xmlns:wp14="http://schemas.microsoft.com/office/word/2010/wordml" w:rsidP="12F0D589" w:rsidRDefault="00000000" w14:paraId="0000003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La inestabilidad postural derivada de la fatiga se intersecta con la irregularidad del suelo forestal, originando altas tasas de morbilidad por caídas y resbalones (slip, trip, and fall). La tribología —el estudio de la fricción, el desgaste y la lubricación de superficies en contacto— explica que un resbalón acontece cuando la fuerza de cizallamiento horizontal ejercida por el pie excede la fuerza de fricción opuesta entre el zapato y el terreno</w:t>
      </w:r>
      <w:r w:rsidRPr="12F0D589" w:rsidR="12F0D589">
        <w:rPr>
          <w:rFonts w:ascii="Google Sans" w:hAnsi="Google Sans" w:eastAsia="Google Sans" w:cs="Google Sans"/>
          <w:sz w:val="24"/>
          <w:szCs w:val="24"/>
          <w:vertAlign w:val="superscript"/>
          <w:lang w:val="en-US"/>
        </w:rPr>
        <w:t>12</w:t>
      </w:r>
      <w:r w:rsidRPr="12F0D589" w:rsidR="12F0D589">
        <w:rPr>
          <w:rFonts w:ascii="Google Sans" w:hAnsi="Google Sans" w:eastAsia="Google Sans" w:cs="Google Sans"/>
          <w:lang w:val="en-US"/>
        </w:rPr>
        <w:t>.</w:t>
      </w:r>
    </w:p>
    <w:p xmlns:wp14="http://schemas.microsoft.com/office/word/2010/wordml" w:rsidP="12F0D589" w:rsidRDefault="00000000" w14:paraId="0000003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A nivel del terreno neotropical (suelos húmicos, arcillas saturadas, cobertura de raíces musgosas o rocas expuestas), la precipitación climática actúa como agente lubricante, reduciendo drásticamente el Coeficiente de Fricción Dinámico</w:t>
      </w:r>
      <w:r w:rsidRPr="12F0D589" w:rsidR="12F0D589">
        <w:rPr>
          <w:rFonts w:ascii="Google Sans" w:hAnsi="Google Sans" w:eastAsia="Google Sans" w:cs="Google Sans"/>
          <w:sz w:val="24"/>
          <w:szCs w:val="24"/>
          <w:vertAlign w:val="superscript"/>
          <w:lang w:val="en-US"/>
        </w:rPr>
        <w:t>10</w:t>
      </w:r>
      <w:r w:rsidRPr="12F0D589" w:rsidR="12F0D589">
        <w:rPr>
          <w:rFonts w:ascii="Google Sans" w:hAnsi="Google Sans" w:eastAsia="Google Sans" w:cs="Google Sans"/>
          <w:lang w:val="en-US"/>
        </w:rPr>
        <w:t>. Si el índice meteorológico proyecta precipitaciones severas recientes, el riesgo algorítmico debe escalar inmediatamente el factor de riesgo por pérdida de tracción en segmentos de pendiente superior a 10 grados, ya que, biomecánicamente, la fuerza de recuperación pos-resbalón se vuelve anatómicamente inviable para un músculo fatigado tras 30 minutos de descenso prolongado</w:t>
      </w:r>
      <w:r w:rsidRPr="12F0D589" w:rsidR="12F0D589">
        <w:rPr>
          <w:rFonts w:ascii="Google Sans" w:hAnsi="Google Sans" w:eastAsia="Google Sans" w:cs="Google Sans"/>
          <w:sz w:val="24"/>
          <w:szCs w:val="24"/>
          <w:vertAlign w:val="superscript"/>
          <w:lang w:val="en-US"/>
        </w:rPr>
        <w:t>11</w:t>
      </w:r>
      <w:r w:rsidRPr="12F0D589" w:rsidR="12F0D589">
        <w:rPr>
          <w:rFonts w:ascii="Google Sans" w:hAnsi="Google Sans" w:eastAsia="Google Sans" w:cs="Google Sans"/>
          <w:lang w:val="en-US"/>
        </w:rPr>
        <w:t>. El rastreo de estas ineficiencias cinemáticas puede realizarse a través de plataformas portátiles y sensores inerciales (IMUs) para generar modelos biométricos correlacionados con la humedad relativa del terreno</w:t>
      </w:r>
      <w:r w:rsidRPr="12F0D589" w:rsidR="12F0D589">
        <w:rPr>
          <w:rFonts w:ascii="Google Sans" w:hAnsi="Google Sans" w:eastAsia="Google Sans" w:cs="Google Sans"/>
          <w:sz w:val="24"/>
          <w:szCs w:val="24"/>
          <w:vertAlign w:val="superscript"/>
          <w:lang w:val="en-US"/>
        </w:rPr>
        <w:t>11</w:t>
      </w:r>
      <w:r w:rsidRPr="12F0D589" w:rsidR="12F0D589">
        <w:rPr>
          <w:rFonts w:ascii="Google Sans" w:hAnsi="Google Sans" w:eastAsia="Google Sans" w:cs="Google Sans"/>
          <w:lang w:val="en-US"/>
        </w:rPr>
        <w:t>.</w:t>
      </w:r>
    </w:p>
    <w:p xmlns:wp14="http://schemas.microsoft.com/office/word/2010/wordml" w:rsidP="12F0D589" w:rsidRDefault="00000000" w14:paraId="00000040"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275" w:lineRule="auto"/>
        <w:rPr>
          <w:rFonts w:ascii="Google Sans" w:hAnsi="Google Sans" w:eastAsia="Google Sans" w:cs="Google Sans"/>
          <w:lang w:val="en-US"/>
        </w:rPr>
      </w:pPr>
      <w:r w:rsidRPr="12F0D589" w:rsidR="12F0D589">
        <w:rPr>
          <w:rFonts w:ascii="Google Sans" w:hAnsi="Google Sans" w:eastAsia="Google Sans" w:cs="Google Sans"/>
          <w:lang w:val="en-US"/>
        </w:rPr>
        <w:t>Arquitectura y Procesamiento de Datos Espaciales en Tiempo Real</w:t>
      </w:r>
    </w:p>
    <w:p xmlns:wp14="http://schemas.microsoft.com/office/word/2010/wordml" w:rsidP="12F0D589" w:rsidRDefault="00000000" w14:paraId="0000004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Para implementar la complejidad fenomenológica y metabólica previamente descrita en un ecosistema predictivo en tiempo real, se requiere una arquitectura tecnológica capaz de absorber consultas matemáticas iterativas sobre capas vectoriales y ráster.</w:t>
      </w:r>
    </w:p>
    <w:p xmlns:wp14="http://schemas.microsoft.com/office/word/2010/wordml" w:rsidP="12F0D589" w:rsidRDefault="00000000" w14:paraId="00000042"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275" w:lineRule="auto"/>
        <w:rPr>
          <w:rFonts w:ascii="Google Sans" w:hAnsi="Google Sans" w:eastAsia="Google Sans" w:cs="Google Sans"/>
          <w:lang w:val="en-US"/>
        </w:rPr>
      </w:pPr>
      <w:r w:rsidRPr="12F0D589" w:rsidR="12F0D589">
        <w:rPr>
          <w:rFonts w:ascii="Google Sans" w:hAnsi="Google Sans" w:eastAsia="Google Sans" w:cs="Google Sans"/>
          <w:lang w:val="en-US"/>
        </w:rPr>
        <w:t>Almacenamiento Topológico: PostgreSQL y PostGIS</w:t>
      </w:r>
    </w:p>
    <w:p xmlns:wp14="http://schemas.microsoft.com/office/word/2010/wordml" w:rsidP="12F0D589" w:rsidRDefault="00000000" w14:paraId="0000004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El marco tecnológico dominante para operaciones espaciales a gran escala es PostgreSQL, una base de datos relacional orientada a objetos (ORDBMS), expandida a través de la extensión nativa PostGIS. PostGIS democratiza el manejo de características espaciales complejas integrando índices R-Tree (GIST) que optimizan la recuperación veloz de entidades intersectadas en mapas geográficos</w:t>
      </w:r>
      <w:r w:rsidRPr="12F0D589" w:rsidR="12F0D589">
        <w:rPr>
          <w:rFonts w:ascii="Google Sans" w:hAnsi="Google Sans" w:eastAsia="Google Sans" w:cs="Google Sans"/>
          <w:sz w:val="24"/>
          <w:szCs w:val="24"/>
          <w:vertAlign w:val="superscript"/>
          <w:lang w:val="en-US"/>
        </w:rPr>
        <w:t>1</w:t>
      </w:r>
      <w:r w:rsidRPr="12F0D589" w:rsidR="12F0D589">
        <w:rPr>
          <w:rFonts w:ascii="Google Sans" w:hAnsi="Google Sans" w:eastAsia="Google Sans" w:cs="Google Sans"/>
          <w:lang w:val="en-US"/>
        </w:rPr>
        <w:t>.</w:t>
      </w:r>
    </w:p>
    <w:p xmlns:wp14="http://schemas.microsoft.com/office/word/2010/wordml" w:rsidP="12F0D589" w:rsidRDefault="00000000" w14:paraId="0000004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 xml:space="preserve">Para las rutas de senderismo, PostGIS no solo codifica la planimetría (2D), sino que maneja la altimetría mediante coordenadas 3DZ (latitud, longitud, elevación) y 4D (agregando la métrica </w:t>
      </w:r>
      <w:r w:rsidR="12F0D589">
        <w:drawing>
          <wp:inline xmlns:wp14="http://schemas.microsoft.com/office/word/2010/wordprocessingDrawing" wp14:editId="442BFB79" wp14:anchorId="72D3D9AD">
            <wp:extent cx="211455" cy="249901"/>
            <wp:effectExtent l="0" t="0" r="0" b="0"/>
            <wp:docPr id="5"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27"/>
                    <a:srcRect l="0" t="0" r="0" b="0"/>
                    <a:stretch>
                      <a:fillRect/>
                    </a:stretch>
                  </pic:blipFill>
                  <pic:spPr>
                    <a:xfrm>
                      <a:off x="0" y="0"/>
                      <a:ext cx="211455" cy="249901"/>
                    </a:xfrm>
                    <a:prstGeom prst="rect"/>
                    <a:ln/>
                  </pic:spPr>
                </pic:pic>
              </a:graphicData>
            </a:graphic>
          </wp:inline>
        </w:drawing>
      </w:r>
      <w:r w:rsidRPr="12F0D589" w:rsidR="12F0D589">
        <w:rPr>
          <w:rFonts w:ascii="Google Sans" w:hAnsi="Google Sans" w:eastAsia="Google Sans" w:cs="Google Sans"/>
          <w:lang w:val="en-US"/>
        </w:rPr>
        <w:t xml:space="preserve"> para componentes de tiempo y medición interpolada) a través del formato Extended Well-Known Binary (EWKB)</w:t>
      </w:r>
      <w:r w:rsidRPr="12F0D589" w:rsidR="12F0D589">
        <w:rPr>
          <w:rFonts w:ascii="Google Sans" w:hAnsi="Google Sans" w:eastAsia="Google Sans" w:cs="Google Sans"/>
          <w:sz w:val="24"/>
          <w:szCs w:val="24"/>
          <w:vertAlign w:val="superscript"/>
          <w:lang w:val="en-US"/>
        </w:rPr>
        <w:t>1</w:t>
      </w:r>
      <w:r w:rsidRPr="12F0D589" w:rsidR="12F0D589">
        <w:rPr>
          <w:rFonts w:ascii="Google Sans" w:hAnsi="Google Sans" w:eastAsia="Google Sans" w:cs="Google Sans"/>
          <w:lang w:val="en-US"/>
        </w:rPr>
        <w:t>. La capacidad de cruzar datos espaciales con conjuntos Ráster (PostGIS Raster) permite extraer automáticamente el gradiente de elevación de Modelos Digitales de Elevación (DEM), cruzando polilíneas importadas desde archivos GPX</w:t>
      </w:r>
      <w:r w:rsidRPr="12F0D589" w:rsidR="12F0D589">
        <w:rPr>
          <w:rFonts w:ascii="Google Sans" w:hAnsi="Google Sans" w:eastAsia="Google Sans" w:cs="Google Sans"/>
          <w:sz w:val="24"/>
          <w:szCs w:val="24"/>
          <w:vertAlign w:val="superscript"/>
          <w:lang w:val="en-US"/>
        </w:rPr>
        <w:t>1</w:t>
      </w:r>
      <w:r w:rsidRPr="12F0D589" w:rsidR="12F0D589">
        <w:rPr>
          <w:rFonts w:ascii="Google Sans" w:hAnsi="Google Sans" w:eastAsia="Google Sans" w:cs="Google Sans"/>
          <w:lang w:val="en-US"/>
        </w:rPr>
        <w:t xml:space="preserve">. Esto automatiza la asignación de la variable independiente </w:t>
      </w:r>
      <w:r w:rsidR="12F0D589">
        <w:drawing>
          <wp:inline xmlns:wp14="http://schemas.microsoft.com/office/word/2010/wordprocessingDrawing" wp14:editId="21360F83" wp14:anchorId="5D0D12C6">
            <wp:extent cx="131286" cy="243817"/>
            <wp:effectExtent l="0" t="0" r="0" b="0"/>
            <wp:docPr id="6" name="image20.png"/>
            <wp:cNvGraphicFramePr/>
            <a:graphic>
              <a:graphicData xmlns:a="http://schemas.openxmlformats.org/drawingml/2006/main" uri="http://schemas.openxmlformats.org/drawingml/2006/picture">
                <pic:pic xmlns:pic="http://schemas.openxmlformats.org/drawingml/2006/picture">
                  <pic:nvPicPr>
                    <pic:cNvPr id="0" name="image20.png"/>
                    <pic:cNvPicPr preferRelativeResize="0"/>
                  </pic:nvPicPr>
                  <pic:blipFill>
                    <a:blip xmlns:r="http://schemas.openxmlformats.org/officeDocument/2006/relationships" r:embed="rId7"/>
                    <a:srcRect l="0" t="0" r="0" b="0"/>
                    <a:stretch>
                      <a:fillRect/>
                    </a:stretch>
                  </pic:blipFill>
                  <pic:spPr>
                    <a:xfrm>
                      <a:off x="0" y="0"/>
                      <a:ext cx="131286" cy="243817"/>
                    </a:xfrm>
                    <a:prstGeom prst="rect"/>
                    <a:ln/>
                  </pic:spPr>
                </pic:pic>
              </a:graphicData>
            </a:graphic>
          </wp:inline>
        </w:drawing>
      </w:r>
      <w:r w:rsidRPr="12F0D589" w:rsidR="12F0D589">
        <w:rPr>
          <w:rFonts w:ascii="Google Sans" w:hAnsi="Google Sans" w:eastAsia="Google Sans" w:cs="Google Sans"/>
          <w:lang w:val="en-US"/>
        </w:rPr>
        <w:t xml:space="preserve"> (pendiente) requerida para la Función de Tobler y la ecuación de Minetti directamente en las filas de atributos espaciales</w:t>
      </w:r>
      <w:r w:rsidRPr="12F0D589" w:rsidR="12F0D589">
        <w:rPr>
          <w:rFonts w:ascii="Google Sans" w:hAnsi="Google Sans" w:eastAsia="Google Sans" w:cs="Google Sans"/>
          <w:sz w:val="24"/>
          <w:szCs w:val="24"/>
          <w:vertAlign w:val="superscript"/>
          <w:lang w:val="en-US"/>
        </w:rPr>
        <w:t>1</w:t>
      </w:r>
      <w:r w:rsidRPr="12F0D589" w:rsidR="12F0D589">
        <w:rPr>
          <w:rFonts w:ascii="Google Sans" w:hAnsi="Google Sans" w:eastAsia="Google Sans" w:cs="Google Sans"/>
          <w:lang w:val="en-US"/>
        </w:rPr>
        <w:t>.</w:t>
      </w:r>
    </w:p>
    <w:p xmlns:wp14="http://schemas.microsoft.com/office/word/2010/wordml" w:rsidP="12F0D589" w:rsidRDefault="00000000" w14:paraId="00000045"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275" w:lineRule="auto"/>
        <w:rPr>
          <w:rFonts w:ascii="Google Sans" w:hAnsi="Google Sans" w:eastAsia="Google Sans" w:cs="Google Sans"/>
          <w:lang w:val="en-US"/>
        </w:rPr>
      </w:pPr>
      <w:r w:rsidRPr="12F0D589" w:rsidR="12F0D589">
        <w:rPr>
          <w:rFonts w:ascii="Google Sans" w:hAnsi="Google Sans" w:eastAsia="Google Sans" w:cs="Google Sans"/>
          <w:lang w:val="en-US"/>
        </w:rPr>
        <w:t>Algoritmos de Enrutamiento y Costos Dinámicos mediante pgRouting</w:t>
      </w:r>
    </w:p>
    <w:p xmlns:wp14="http://schemas.microsoft.com/office/word/2010/wordml" w:rsidP="12F0D589" w:rsidRDefault="00000000" w14:paraId="0000004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La simple extracción de la pendiente es insuficiente para predecir la trayectoria. Es requerida una estructura de red topológica que admita teoría de grafos, resuelta mediante la extensión pgRouting</w:t>
      </w:r>
      <w:r w:rsidRPr="12F0D589" w:rsidR="12F0D589">
        <w:rPr>
          <w:rFonts w:ascii="Google Sans" w:hAnsi="Google Sans" w:eastAsia="Google Sans" w:cs="Google Sans"/>
          <w:sz w:val="24"/>
          <w:szCs w:val="24"/>
          <w:vertAlign w:val="superscript"/>
          <w:lang w:val="en-US"/>
        </w:rPr>
        <w:t>3</w:t>
      </w:r>
      <w:r w:rsidRPr="12F0D589" w:rsidR="12F0D589">
        <w:rPr>
          <w:rFonts w:ascii="Google Sans" w:hAnsi="Google Sans" w:eastAsia="Google Sans" w:cs="Google Sans"/>
          <w:lang w:val="en-US"/>
        </w:rPr>
        <w:t>. Esta librería permite generar y analizar topologías complejas formadas por vértices (nodos/intersecciones) y bordes (segmentos de sendero) utilizando el comando pgr_createTopology</w:t>
      </w:r>
      <w:r w:rsidRPr="12F0D589" w:rsidR="12F0D589">
        <w:rPr>
          <w:rFonts w:ascii="Google Sans" w:hAnsi="Google Sans" w:eastAsia="Google Sans" w:cs="Google Sans"/>
          <w:sz w:val="24"/>
          <w:szCs w:val="24"/>
          <w:vertAlign w:val="superscript"/>
          <w:lang w:val="en-US"/>
        </w:rPr>
        <w:t>3</w:t>
      </w:r>
      <w:r w:rsidRPr="12F0D589" w:rsidR="12F0D589">
        <w:rPr>
          <w:rFonts w:ascii="Google Sans" w:hAnsi="Google Sans" w:eastAsia="Google Sans" w:cs="Google Sans"/>
          <w:lang w:val="en-US"/>
        </w:rPr>
        <w:t>.</w:t>
      </w:r>
    </w:p>
    <w:p xmlns:wp14="http://schemas.microsoft.com/office/word/2010/wordml" w:rsidP="12F0D589" w:rsidRDefault="00000000" w14:paraId="00000047"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El flujo de trabajo analítico de pgRouting utiliza algoritmos como Dijkstra, Búsqueda Bi-direccional A* (A-Star) y Problema del Viajante de Comercio (TSP) para encontrar el camino de menor resistencia desde un nodo origen a un destino</w:t>
      </w:r>
      <w:r w:rsidRPr="12F0D589" w:rsidR="12F0D589">
        <w:rPr>
          <w:rFonts w:ascii="Google Sans" w:hAnsi="Google Sans" w:eastAsia="Google Sans" w:cs="Google Sans"/>
          <w:sz w:val="24"/>
          <w:szCs w:val="24"/>
          <w:vertAlign w:val="superscript"/>
          <w:lang w:val="en-US"/>
        </w:rPr>
        <w:t>3</w:t>
      </w:r>
      <w:r w:rsidRPr="12F0D589" w:rsidR="12F0D589">
        <w:rPr>
          <w:rFonts w:ascii="Google Sans" w:hAnsi="Google Sans" w:eastAsia="Google Sans" w:cs="Google Sans"/>
          <w:lang w:val="en-US"/>
        </w:rPr>
        <w:t>. A diferencia del enrutamiento vehicular, la locomoción humana exhibe restricciones asimétricas estrictas. Descender un risco empinado acarrea un gasto energético y temporal radicalmente diferente al de ascenderlo. pgRouting aborda esto exigiendo columnas de cost (esfuerzo de recorrer el segmento desde el nodo A al B) y reverse_cost (esfuerzo desde B hasta A), permitiendo que la ecuación de Minetti dicte valores de impedancia totalmente dispares según la orientación vectorial del excursionista</w:t>
      </w:r>
      <w:r w:rsidRPr="12F0D589" w:rsidR="12F0D589">
        <w:rPr>
          <w:rFonts w:ascii="Google Sans" w:hAnsi="Google Sans" w:eastAsia="Google Sans" w:cs="Google Sans"/>
          <w:sz w:val="24"/>
          <w:szCs w:val="24"/>
          <w:vertAlign w:val="superscript"/>
          <w:lang w:val="en-US"/>
        </w:rPr>
        <w:t>3</w:t>
      </w:r>
      <w:r w:rsidRPr="12F0D589" w:rsidR="12F0D589">
        <w:rPr>
          <w:rFonts w:ascii="Google Sans" w:hAnsi="Google Sans" w:eastAsia="Google Sans" w:cs="Google Sans"/>
          <w:lang w:val="en-US"/>
        </w:rPr>
        <w:t>.</w:t>
      </w:r>
    </w:p>
    <w:p xmlns:wp14="http://schemas.microsoft.com/office/word/2010/wordml" w:rsidP="12F0D589" w:rsidRDefault="00000000" w14:paraId="0000004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La "magia" del Índice Dinámico de Riesgo reside en la inyección de costos variables. Modelos propuestos por Choosumrong et al. (2012, 2014) estructuran Sistemas de Planificación de Decisiones de Rutas de Emergencia (ERDP) utilizando Procesos de Jerarquía Analítica (AHP) acoplados a pgRouting</w:t>
      </w:r>
      <w:r w:rsidRPr="12F0D589" w:rsidR="12F0D589">
        <w:rPr>
          <w:rFonts w:ascii="Google Sans" w:hAnsi="Google Sans" w:eastAsia="Google Sans" w:cs="Google Sans"/>
          <w:sz w:val="24"/>
          <w:szCs w:val="24"/>
          <w:vertAlign w:val="superscript"/>
          <w:lang w:val="en-US"/>
        </w:rPr>
        <w:t>13</w:t>
      </w:r>
      <w:r w:rsidRPr="12F0D589" w:rsidR="12F0D589">
        <w:rPr>
          <w:rFonts w:ascii="Google Sans" w:hAnsi="Google Sans" w:eastAsia="Google Sans" w:cs="Google Sans"/>
          <w:lang w:val="en-US"/>
        </w:rPr>
        <w:t>. En estos modelos, la topología de la base de datos se separa en una tabla de geometrías espaciales estáticas y tablas secundarias de atributos dinámicos de costos.</w:t>
      </w:r>
    </w:p>
    <w:p xmlns:wp14="http://schemas.microsoft.com/office/word/2010/wordml" w:rsidP="12F0D589" w:rsidRDefault="00000000" w14:paraId="0000004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Esta separación arquitectónica es crítica para el rendimiento en la nube. A través de microservicios e integración con APIs meteorológicas (Weather APIs), los sistemas pueden inyectar flujos constantes de datos de variables como precipitaciones por hora o calor húmedo (WBGT)</w:t>
      </w:r>
      <w:r w:rsidRPr="12F0D589" w:rsidR="12F0D589">
        <w:rPr>
          <w:rFonts w:ascii="Google Sans" w:hAnsi="Google Sans" w:eastAsia="Google Sans" w:cs="Google Sans"/>
          <w:sz w:val="24"/>
          <w:szCs w:val="24"/>
          <w:vertAlign w:val="superscript"/>
          <w:lang w:val="en-US"/>
        </w:rPr>
        <w:t>13</w:t>
      </w:r>
      <w:r w:rsidRPr="12F0D589" w:rsidR="12F0D589">
        <w:rPr>
          <w:rFonts w:ascii="Google Sans" w:hAnsi="Google Sans" w:eastAsia="Google Sans" w:cs="Google Sans"/>
          <w:lang w:val="en-US"/>
        </w:rPr>
        <w:t>.</w:t>
      </w:r>
    </w:p>
    <w:tbl>
      <w:tblPr>
        <w:tblStyle w:val="Table2"/>
        <w:tblW w:w="9360" w:type="dxa"/>
        <w:jc w:val="left"/>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Layout w:type="fixed"/>
        <w:tblLook w:val="0600"/>
        <w:tblPrChange w:author="" w:id="1070680308">
          <w:tblPr/>
        </w:tblPrChange>
      </w:tblPr>
      <w:tblGrid>
        <w:gridCol w:w="3120"/>
        <w:gridCol w:w="3120"/>
        <w:gridCol w:w="3120"/>
      </w:tblGrid>
      <w:tr xmlns:wp14="http://schemas.microsoft.com/office/word/2010/wordml" w:rsidTr="12F0D589" w14:paraId="0E28044D" wp14:textId="77777777">
        <w:trPr>
          <w:cantSplit w:val="0"/>
          <w:tblHeader w:val="0"/>
        </w:trPr>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4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b w:val="1"/>
                <w:bCs w:val="1"/>
                <w:lang w:val="en-US"/>
              </w:rPr>
            </w:pPr>
            <w:r w:rsidRPr="12F0D589" w:rsidR="12F0D589">
              <w:rPr>
                <w:rFonts w:ascii="Google Sans" w:hAnsi="Google Sans" w:eastAsia="Google Sans" w:cs="Google Sans"/>
                <w:b w:val="1"/>
                <w:bCs w:val="1"/>
                <w:lang w:val="en-US"/>
              </w:rPr>
              <w:t>Parámetro Dinámico API</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4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b w:val="1"/>
                <w:bCs w:val="1"/>
                <w:lang w:val="en-US"/>
              </w:rPr>
            </w:pPr>
            <w:r w:rsidRPr="12F0D589" w:rsidR="12F0D589">
              <w:rPr>
                <w:rFonts w:ascii="Google Sans" w:hAnsi="Google Sans" w:eastAsia="Google Sans" w:cs="Google Sans"/>
                <w:b w:val="1"/>
                <w:bCs w:val="1"/>
                <w:lang w:val="en-US"/>
              </w:rPr>
              <w:t>Variable Biomecánica Afectada</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4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b w:val="1"/>
                <w:bCs w:val="1"/>
                <w:lang w:val="en-US"/>
              </w:rPr>
            </w:pPr>
            <w:r w:rsidRPr="12F0D589" w:rsidR="12F0D589">
              <w:rPr>
                <w:rFonts w:ascii="Google Sans" w:hAnsi="Google Sans" w:eastAsia="Google Sans" w:cs="Google Sans"/>
                <w:b w:val="1"/>
                <w:bCs w:val="1"/>
                <w:lang w:val="en-US"/>
              </w:rPr>
              <w:t>Acción sobre Grafo (pgRouting)</w:t>
            </w:r>
          </w:p>
        </w:tc>
      </w:tr>
      <w:tr xmlns:wp14="http://schemas.microsoft.com/office/word/2010/wordml" w:rsidTr="12F0D589" w14:paraId="4648AA44" wp14:textId="77777777">
        <w:trPr>
          <w:cantSplit w:val="0"/>
          <w:tblHeader w:val="0"/>
        </w:trPr>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4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b w:val="1"/>
                <w:bCs w:val="1"/>
                <w:lang w:val="en-US"/>
              </w:rPr>
            </w:pPr>
            <w:r w:rsidRPr="12F0D589" w:rsidR="12F0D589">
              <w:rPr>
                <w:rFonts w:ascii="Google Sans" w:hAnsi="Google Sans" w:eastAsia="Google Sans" w:cs="Google Sans"/>
                <w:b w:val="1"/>
                <w:bCs w:val="1"/>
                <w:lang w:val="en-US"/>
              </w:rPr>
              <w:t>Alta humedad y Calor (WBGT)</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4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lang w:val="en-US"/>
              </w:rPr>
            </w:pPr>
            <w:r w:rsidRPr="12F0D589" w:rsidR="12F0D589">
              <w:rPr>
                <w:rFonts w:ascii="Google Sans" w:hAnsi="Google Sans" w:eastAsia="Google Sans" w:cs="Google Sans"/>
                <w:lang w:val="en-US"/>
              </w:rPr>
              <w:t>Deriva Cardiovascular, Fatiga HR</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4F"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lang w:val="en-US"/>
              </w:rPr>
            </w:pPr>
            <w:r w:rsidRPr="12F0D589" w:rsidR="12F0D589">
              <w:rPr>
                <w:rFonts w:ascii="Google Sans" w:hAnsi="Google Sans" w:eastAsia="Google Sans" w:cs="Google Sans"/>
                <w:lang w:val="en-US"/>
              </w:rPr>
              <w:t>Multiplicador exponencial en costo temporal tras &gt;20 mins.</w:t>
            </w:r>
          </w:p>
        </w:tc>
      </w:tr>
      <w:tr xmlns:wp14="http://schemas.microsoft.com/office/word/2010/wordml" w:rsidTr="12F0D589" w14:paraId="01B8E597" wp14:textId="77777777">
        <w:trPr>
          <w:cantSplit w:val="0"/>
          <w:tblHeader w:val="0"/>
        </w:trPr>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5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b w:val="1"/>
                <w:bCs w:val="1"/>
                <w:lang w:val="en-US"/>
              </w:rPr>
            </w:pPr>
            <w:r w:rsidRPr="12F0D589" w:rsidR="12F0D589">
              <w:rPr>
                <w:rFonts w:ascii="Google Sans" w:hAnsi="Google Sans" w:eastAsia="Google Sans" w:cs="Google Sans"/>
                <w:b w:val="1"/>
                <w:bCs w:val="1"/>
                <w:lang w:val="en-US"/>
              </w:rPr>
              <w:t>Precipitación intensa</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5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lang w:val="en-US"/>
              </w:rPr>
            </w:pPr>
            <w:r w:rsidRPr="12F0D589" w:rsidR="12F0D589">
              <w:rPr>
                <w:rFonts w:ascii="Google Sans" w:hAnsi="Google Sans" w:eastAsia="Google Sans" w:cs="Google Sans"/>
                <w:lang w:val="en-US"/>
              </w:rPr>
              <w:t>Fricción topográfica, resbalamiento</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5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lang w:val="en-US"/>
              </w:rPr>
            </w:pPr>
            <w:r w:rsidRPr="12F0D589" w:rsidR="12F0D589">
              <w:rPr>
                <w:rFonts w:ascii="Google Sans" w:hAnsi="Google Sans" w:eastAsia="Google Sans" w:cs="Google Sans"/>
                <w:lang w:val="en-US"/>
              </w:rPr>
              <w:t>Aumento de penalización en segmentos de inclinación descendente.</w:t>
            </w:r>
          </w:p>
        </w:tc>
      </w:tr>
      <w:tr xmlns:wp14="http://schemas.microsoft.com/office/word/2010/wordml" w:rsidTr="12F0D589" w14:paraId="5534F104" wp14:textId="77777777">
        <w:trPr>
          <w:cantSplit w:val="0"/>
          <w:tblHeader w:val="0"/>
        </w:trPr>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5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b w:val="1"/>
                <w:bCs w:val="1"/>
                <w:lang w:val="en-US"/>
              </w:rPr>
            </w:pPr>
            <w:r w:rsidRPr="12F0D589" w:rsidR="12F0D589">
              <w:rPr>
                <w:rFonts w:ascii="Google Sans" w:hAnsi="Google Sans" w:eastAsia="Google Sans" w:cs="Google Sans"/>
                <w:b w:val="1"/>
                <w:bCs w:val="1"/>
                <w:lang w:val="en-US"/>
              </w:rPr>
              <w:t>Alerta radiación UV</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5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lang w:val="en-US"/>
              </w:rPr>
            </w:pPr>
            <w:r w:rsidRPr="12F0D589" w:rsidR="12F0D589">
              <w:rPr>
                <w:rFonts w:ascii="Google Sans" w:hAnsi="Google Sans" w:eastAsia="Google Sans" w:cs="Google Sans"/>
                <w:lang w:val="en-US"/>
              </w:rPr>
              <w:t>Estrés térmico (falta sombra)</w:t>
            </w:r>
          </w:p>
        </w:tc>
        <w:tc>
          <w:tcPr>
            <w:tcBorders>
              <w:top w:val="single" w:color="C4C7C5" w:sz="6" w:space="0"/>
              <w:left w:val="single" w:color="C4C7C5" w:sz="6" w:space="0"/>
              <w:bottom w:val="single" w:color="C4C7C5" w:sz="6" w:space="0"/>
              <w:right w:val="single" w:color="C4C7C5" w:sz="6" w:space="0"/>
            </w:tcBorders>
            <w:shd w:val="clear" w:color="auto" w:fill="auto"/>
            <w:tcMar>
              <w:top w:w="120.0" w:type="dxa"/>
              <w:left w:w="180.0" w:type="dxa"/>
              <w:bottom w:w="120.0" w:type="dxa"/>
              <w:right w:w="180.0" w:type="dxa"/>
            </w:tcMar>
            <w:vAlign w:val="top"/>
          </w:tcPr>
          <w:p w:rsidP="12F0D589" w:rsidRDefault="00000000" w14:paraId="0000005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20" w:after="120" w:line="275" w:lineRule="auto"/>
              <w:rPr>
                <w:rFonts w:ascii="Google Sans" w:hAnsi="Google Sans" w:eastAsia="Google Sans" w:cs="Google Sans"/>
                <w:lang w:val="en-US"/>
              </w:rPr>
            </w:pPr>
            <w:r w:rsidRPr="12F0D589" w:rsidR="12F0D589">
              <w:rPr>
                <w:rFonts w:ascii="Google Sans" w:hAnsi="Google Sans" w:eastAsia="Google Sans" w:cs="Google Sans"/>
                <w:lang w:val="en-US"/>
              </w:rPr>
              <w:t>Penalización AHP en segmentos categorizados con baja densidad de dosel.</w:t>
            </w:r>
          </w:p>
        </w:tc>
      </w:tr>
    </w:tbl>
    <w:p xmlns:wp14="http://schemas.microsoft.com/office/word/2010/wordml" w:rsidP="12F0D589" w:rsidRDefault="00000000" w14:paraId="00000056"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80" w:line="275" w:lineRule="auto"/>
        <w:rPr>
          <w:rFonts w:ascii="Google Sans" w:hAnsi="Google Sans" w:eastAsia="Google Sans" w:cs="Google Sans"/>
          <w:lang w:val="en-US"/>
        </w:rPr>
      </w:pPr>
      <w:r w:rsidRPr="12F0D589" w:rsidR="12F0D589">
        <w:rPr>
          <w:rFonts w:ascii="Google Sans" w:hAnsi="Google Sans" w:eastAsia="Google Sans" w:cs="Google Sans"/>
          <w:lang w:val="en-US"/>
        </w:rPr>
        <w:t>Cuando un sensor en tiempo real notifica lluvia en la zona del parque nacional, una función disparadora (Trigger) o un script en el backend actualiza la columna dinámica de fricción, encareciendo automáticamente el peso matemático de los bordes arcillosos o rocosos del sendero. Al lanzar el usuario una consulta Shortest_Path, el algoritmo A* devolverá una ruta alternativa o una proyección de tiempo duplicada, garantizando un enrutamiento en un "mapa fluido" en lugar de uno determinista y ciego ante el ecosistema</w:t>
      </w:r>
      <w:r w:rsidRPr="12F0D589" w:rsidR="12F0D589">
        <w:rPr>
          <w:rFonts w:ascii="Google Sans" w:hAnsi="Google Sans" w:eastAsia="Google Sans" w:cs="Google Sans"/>
          <w:sz w:val="24"/>
          <w:szCs w:val="24"/>
          <w:vertAlign w:val="superscript"/>
          <w:lang w:val="en-US"/>
        </w:rPr>
        <w:t>3</w:t>
      </w:r>
      <w:r w:rsidRPr="12F0D589" w:rsidR="12F0D589">
        <w:rPr>
          <w:rFonts w:ascii="Google Sans" w:hAnsi="Google Sans" w:eastAsia="Google Sans" w:cs="Google Sans"/>
          <w:lang w:val="en-US"/>
        </w:rPr>
        <w:t>.</w:t>
      </w:r>
    </w:p>
    <w:p xmlns:wp14="http://schemas.microsoft.com/office/word/2010/wordml" w:rsidP="12F0D589" w:rsidRDefault="00000000" w14:paraId="00000057"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275" w:lineRule="auto"/>
        <w:rPr>
          <w:rFonts w:ascii="Google Sans" w:hAnsi="Google Sans" w:eastAsia="Google Sans" w:cs="Google Sans"/>
          <w:lang w:val="en-US"/>
        </w:rPr>
      </w:pPr>
      <w:r w:rsidRPr="12F0D589" w:rsidR="12F0D589">
        <w:rPr>
          <w:rFonts w:ascii="Google Sans" w:hAnsi="Google Sans" w:eastAsia="Google Sans" w:cs="Google Sans"/>
          <w:lang w:val="en-US"/>
        </w:rPr>
        <w:t>Casos de Estudio Relevantes en Ecoturismo y Evaluación de Parques Nacionales</w:t>
      </w:r>
    </w:p>
    <w:p xmlns:wp14="http://schemas.microsoft.com/office/word/2010/wordml" w:rsidP="12F0D589" w:rsidRDefault="00000000" w14:paraId="00000058"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La teoría algorítmica expuesta requiere ser anclada a la realidad empírica y regulatoria del ecosistema latinoamericano, donde la gestión técnica de senderos se debate constantemente entre la conservación de la biodiversidad extrema y el volumen creciente de ecoturistas y aventureros.</w:t>
      </w:r>
    </w:p>
    <w:p xmlns:wp14="http://schemas.microsoft.com/office/word/2010/wordml" w:rsidP="12F0D589" w:rsidRDefault="00000000" w14:paraId="00000059"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275" w:lineRule="auto"/>
        <w:rPr>
          <w:rFonts w:ascii="Google Sans" w:hAnsi="Google Sans" w:eastAsia="Google Sans" w:cs="Google Sans"/>
          <w:lang w:val="en-US"/>
        </w:rPr>
      </w:pPr>
      <w:r w:rsidRPr="12F0D589" w:rsidR="12F0D589">
        <w:rPr>
          <w:rFonts w:ascii="Google Sans" w:hAnsi="Google Sans" w:eastAsia="Google Sans" w:cs="Google Sans"/>
          <w:lang w:val="en-US"/>
        </w:rPr>
        <w:t>Metodología de Capacidad de Carga Turística de Cifuentes</w:t>
      </w:r>
    </w:p>
    <w:p xmlns:wp14="http://schemas.microsoft.com/office/word/2010/wordml" w:rsidP="12F0D589" w:rsidRDefault="00000000" w14:paraId="0000005A"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Para entender cómo se evalúan estructuralmente los parques en América Latina, es imperativo revisar la metodología de Capacidad de Carga Turística propuesta por el investigador Miguel Cifuentes (1992, 1999)</w:t>
      </w:r>
      <w:r w:rsidRPr="12F0D589" w:rsidR="12F0D589">
        <w:rPr>
          <w:rFonts w:ascii="Google Sans" w:hAnsi="Google Sans" w:eastAsia="Google Sans" w:cs="Google Sans"/>
          <w:sz w:val="24"/>
          <w:szCs w:val="24"/>
          <w:vertAlign w:val="superscript"/>
          <w:lang w:val="en-US"/>
        </w:rPr>
        <w:t>53</w:t>
      </w:r>
      <w:r w:rsidRPr="12F0D589" w:rsidR="12F0D589">
        <w:rPr>
          <w:rFonts w:ascii="Google Sans" w:hAnsi="Google Sans" w:eastAsia="Google Sans" w:cs="Google Sans"/>
          <w:lang w:val="en-US"/>
        </w:rPr>
        <w:t>. Diseñada para reservas silvestres, esta metodología clasifica la admisión de turistas filtrando variables ambientales y estructurales en tres estratos matemáticos: la Capacidad de Carga Física (CCF), Real (CCR) y Efectiva (CCE)</w:t>
      </w:r>
      <w:r w:rsidRPr="12F0D589" w:rsidR="12F0D589">
        <w:rPr>
          <w:rFonts w:ascii="Google Sans" w:hAnsi="Google Sans" w:eastAsia="Google Sans" w:cs="Google Sans"/>
          <w:sz w:val="24"/>
          <w:szCs w:val="24"/>
          <w:vertAlign w:val="superscript"/>
          <w:lang w:val="en-US"/>
        </w:rPr>
        <w:t>53</w:t>
      </w:r>
      <w:r w:rsidRPr="12F0D589" w:rsidR="12F0D589">
        <w:rPr>
          <w:rFonts w:ascii="Google Sans" w:hAnsi="Google Sans" w:eastAsia="Google Sans" w:cs="Google Sans"/>
          <w:lang w:val="en-US"/>
        </w:rPr>
        <w:t>.</w:t>
      </w:r>
    </w:p>
    <w:p xmlns:wp14="http://schemas.microsoft.com/office/word/2010/wordml" w:rsidP="12F0D589" w:rsidRDefault="00000000" w14:paraId="0000005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La CCF determina la ocupación teórica máxima asumiendo una velocidad ideal y condiciones perfectas, midiendo los metros del sendero disponibles frente a la distancia psicológica entre grupos. Sin embargo, la revolución técnica del modelo de Cifuentes, la cual es enteramente asimilable al algoritmo propuesto para el Índice de Riesgo, radica en los Factores de Corrección (</w:t>
      </w:r>
      <w:r w:rsidR="12F0D589">
        <w:drawing>
          <wp:inline xmlns:wp14="http://schemas.microsoft.com/office/word/2010/wordprocessingDrawing" wp14:editId="666358D8" wp14:anchorId="65DBCB1C">
            <wp:extent cx="381317" cy="247856"/>
            <wp:effectExtent l="0" t="0" r="0" b="0"/>
            <wp:docPr id="7" name="image4.png"/>
            <wp:cNvGraphicFramePr/>
            <a:graphic>
              <a:graphicData xmlns:a="http://schemas.openxmlformats.org/drawingml/2006/main" uri="http://schemas.openxmlformats.org/drawingml/2006/picture">
                <pic:pic xmlns:pic="http://schemas.openxmlformats.org/drawingml/2006/picture">
                  <pic:nvPicPr>
                    <pic:cNvPr id="0" name="image4.png"/>
                    <pic:cNvPicPr preferRelativeResize="0"/>
                  </pic:nvPicPr>
                  <pic:blipFill>
                    <a:blip xmlns:r="http://schemas.openxmlformats.org/officeDocument/2006/relationships" r:embed="rId28"/>
                    <a:srcRect l="0" t="0" r="0" b="0"/>
                    <a:stretch>
                      <a:fillRect/>
                    </a:stretch>
                  </pic:blipFill>
                  <pic:spPr>
                    <a:xfrm>
                      <a:off x="0" y="0"/>
                      <a:ext cx="381317" cy="247856"/>
                    </a:xfrm>
                    <a:prstGeom prst="rect"/>
                    <a:ln/>
                  </pic:spPr>
                </pic:pic>
              </a:graphicData>
            </a:graphic>
          </wp:inline>
        </w:drawing>
      </w:r>
      <w:r w:rsidRPr="12F0D589" w:rsidR="12F0D589">
        <w:rPr>
          <w:rFonts w:ascii="Google Sans" w:hAnsi="Google Sans" w:eastAsia="Google Sans" w:cs="Google Sans"/>
          <w:lang w:val="en-US"/>
        </w:rPr>
        <w:t>) aplicados para derivar la Capacidad Real (CCR):</w:t>
      </w:r>
    </w:p>
    <w:p xmlns:wp14="http://schemas.microsoft.com/office/word/2010/wordml" w:rsidRDefault="00000000" w14:paraId="0000005C" wp14:textId="77777777">
      <w:pPr>
        <w:pBdr>
          <w:top w:val="nil" w:sz="0" w:space="0"/>
          <w:left w:val="nil" w:sz="0" w:space="0"/>
          <w:bottom w:val="nil" w:sz="0" w:space="0"/>
          <w:right w:val="nil" w:sz="0" w:space="0"/>
          <w:between w:val="nil" w:sz="0" w:space="0"/>
        </w:pBdr>
        <w:shd w:val="clear" w:fill="auto"/>
        <w:spacing w:line="275.9999942779541" w:lineRule="auto"/>
        <w:rPr>
          <w:rFonts w:ascii="Google Sans" w:hAnsi="Google Sans" w:eastAsia="Google Sans" w:cs="Google Sans"/>
        </w:rPr>
      </w:pPr>
      <w:r>
        <w:rPr>
          <w:rFonts w:ascii="Google Sans" w:hAnsi="Google Sans" w:eastAsia="Google Sans" w:cs="Google Sans"/>
        </w:rPr>
        <w:drawing>
          <wp:inline xmlns:wp14="http://schemas.microsoft.com/office/word/2010/wordprocessingDrawing" distT="19050" distB="19050" distL="19050" distR="19050" wp14:anchorId="43494DD1" wp14:editId="7777777">
            <wp:extent cx="5905500" cy="781343"/>
            <wp:effectExtent l="0" t="0" r="0" b="0"/>
            <wp:docPr id="8" name="image6.png"/>
            <a:graphic>
              <a:graphicData uri="http://schemas.openxmlformats.org/drawingml/2006/picture">
                <pic:pic>
                  <pic:nvPicPr>
                    <pic:cNvPr id="0" name="image6.png"/>
                    <pic:cNvPicPr preferRelativeResize="0"/>
                  </pic:nvPicPr>
                  <pic:blipFill>
                    <a:blip r:embed="rId29"/>
                    <a:srcRect l="0" t="0" r="0" b="0"/>
                    <a:stretch>
                      <a:fillRect/>
                    </a:stretch>
                  </pic:blipFill>
                  <pic:spPr>
                    <a:xfrm>
                      <a:off x="0" y="0"/>
                      <a:ext cx="5905500" cy="781343"/>
                    </a:xfrm>
                    <a:prstGeom prst="rect"/>
                    <a:ln/>
                  </pic:spPr>
                </pic:pic>
              </a:graphicData>
            </a:graphic>
          </wp:inline>
        </w:drawing>
      </w:r>
      <w:r>
        <w:rPr>
          <w:rtl w:val="0"/>
        </w:rPr>
      </w:r>
    </w:p>
    <w:p xmlns:wp14="http://schemas.microsoft.com/office/word/2010/wordml" w:rsidP="12F0D589" w:rsidRDefault="00000000" w14:paraId="0000005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Los Factores de Corrección (</w:t>
      </w:r>
      <w:r w:rsidR="12F0D589">
        <w:drawing>
          <wp:inline xmlns:wp14="http://schemas.microsoft.com/office/word/2010/wordprocessingDrawing" wp14:editId="7AD038E0" wp14:anchorId="3A8CA130">
            <wp:extent cx="381317" cy="247856"/>
            <wp:effectExtent l="0" t="0" r="0" b="0"/>
            <wp:docPr id="9" name="image4.png"/>
            <wp:cNvGraphicFramePr/>
            <a:graphic>
              <a:graphicData xmlns:a="http://schemas.openxmlformats.org/drawingml/2006/main" uri="http://schemas.openxmlformats.org/drawingml/2006/picture">
                <pic:pic xmlns:pic="http://schemas.openxmlformats.org/drawingml/2006/picture">
                  <pic:nvPicPr>
                    <pic:cNvPr id="0" name="image4.png"/>
                    <pic:cNvPicPr preferRelativeResize="0"/>
                  </pic:nvPicPr>
                  <pic:blipFill>
                    <a:blip xmlns:r="http://schemas.openxmlformats.org/officeDocument/2006/relationships" r:embed="rId28"/>
                    <a:srcRect l="0" t="0" r="0" b="0"/>
                    <a:stretch>
                      <a:fillRect/>
                    </a:stretch>
                  </pic:blipFill>
                  <pic:spPr>
                    <a:xfrm>
                      <a:off x="0" y="0"/>
                      <a:ext cx="381317" cy="247856"/>
                    </a:xfrm>
                    <a:prstGeom prst="rect"/>
                    <a:ln/>
                  </pic:spPr>
                </pic:pic>
              </a:graphicData>
            </a:graphic>
          </wp:inline>
        </w:drawing>
      </w:r>
      <w:r w:rsidRPr="12F0D589" w:rsidR="12F0D589">
        <w:rPr>
          <w:rFonts w:ascii="Google Sans" w:hAnsi="Google Sans" w:eastAsia="Google Sans" w:cs="Google Sans"/>
          <w:lang w:val="en-US"/>
        </w:rPr>
        <w:t xml:space="preserve">) actúan como ponderadores empíricos de impedancia ambiental, y se calculan según la fórmula </w:t>
      </w:r>
      <w:r w:rsidR="12F0D589">
        <w:drawing>
          <wp:inline xmlns:wp14="http://schemas.microsoft.com/office/word/2010/wordprocessingDrawing" wp14:editId="75E29727" wp14:anchorId="63AEF3EF">
            <wp:extent cx="4728524" cy="247866"/>
            <wp:effectExtent l="0" t="0" r="0" b="0"/>
            <wp:docPr id="10" name="image3.png"/>
            <wp:cNvGraphicFramePr/>
            <a:graphic>
              <a:graphicData xmlns:a="http://schemas.openxmlformats.org/drawingml/2006/main" uri="http://schemas.openxmlformats.org/drawingml/2006/picture">
                <pic:pic xmlns:pic="http://schemas.openxmlformats.org/drawingml/2006/picture">
                  <pic:nvPicPr>
                    <pic:cNvPr id="0" name="image3.png"/>
                    <pic:cNvPicPr preferRelativeResize="0"/>
                  </pic:nvPicPr>
                  <pic:blipFill>
                    <a:blip xmlns:r="http://schemas.openxmlformats.org/officeDocument/2006/relationships" r:embed="rId30"/>
                    <a:srcRect l="0" t="0" r="0" b="0"/>
                    <a:stretch>
                      <a:fillRect/>
                    </a:stretch>
                  </pic:blipFill>
                  <pic:spPr>
                    <a:xfrm>
                      <a:off x="0" y="0"/>
                      <a:ext cx="4728524" cy="247866"/>
                    </a:xfrm>
                    <a:prstGeom prst="rect"/>
                    <a:ln/>
                  </pic:spPr>
                </pic:pic>
              </a:graphicData>
            </a:graphic>
          </wp:inline>
        </w:drawing>
      </w:r>
      <w:r w:rsidRPr="12F0D589" w:rsidR="12F0D589">
        <w:rPr>
          <w:rFonts w:ascii="Google Sans" w:hAnsi="Google Sans" w:eastAsia="Google Sans" w:cs="Google Sans"/>
          <w:sz w:val="24"/>
          <w:szCs w:val="24"/>
          <w:vertAlign w:val="superscript"/>
          <w:lang w:val="en-US"/>
        </w:rPr>
        <w:t>53</w:t>
      </w:r>
      <w:r w:rsidRPr="12F0D589" w:rsidR="12F0D589">
        <w:rPr>
          <w:rFonts w:ascii="Google Sans" w:hAnsi="Google Sans" w:eastAsia="Google Sans" w:cs="Google Sans"/>
          <w:lang w:val="en-US"/>
        </w:rPr>
        <w:t>. El modelo integra, entre otros:</w:t>
      </w:r>
    </w:p>
    <w:p xmlns:wp14="http://schemas.microsoft.com/office/word/2010/wordml" w:rsidP="12F0D589" w:rsidRDefault="00000000" w14:paraId="0000005E"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ind w:left="600" w:hanging="360"/>
        <w:rPr/>
      </w:pPr>
      <w:r w:rsidRPr="12F0D589" w:rsidR="12F0D589">
        <w:rPr>
          <w:rFonts w:ascii="Google Sans" w:hAnsi="Google Sans" w:eastAsia="Google Sans" w:cs="Google Sans"/>
          <w:b w:val="1"/>
          <w:bCs w:val="1"/>
          <w:lang w:val="en-US"/>
        </w:rPr>
        <w:t>Factor de Precipitación (</w:t>
      </w:r>
      <w:r w:rsidR="12F0D589">
        <w:drawing>
          <wp:inline xmlns:wp14="http://schemas.microsoft.com/office/word/2010/wordprocessingDrawing" wp14:editId="2ED7A508" wp14:anchorId="3B7C4002">
            <wp:extent cx="497840" cy="248920"/>
            <wp:effectExtent l="0" t="0" r="0" b="0"/>
            <wp:docPr id="18" name="image29.png"/>
            <wp:cNvGraphicFramePr/>
            <a:graphic>
              <a:graphicData xmlns:a="http://schemas.openxmlformats.org/drawingml/2006/main" uri="http://schemas.openxmlformats.org/drawingml/2006/picture">
                <pic:pic xmlns:pic="http://schemas.openxmlformats.org/drawingml/2006/picture">
                  <pic:nvPicPr>
                    <pic:cNvPr id="0" name="image29.png"/>
                    <pic:cNvPicPr preferRelativeResize="0"/>
                  </pic:nvPicPr>
                  <pic:blipFill>
                    <a:blip xmlns:r="http://schemas.openxmlformats.org/officeDocument/2006/relationships" r:embed="rId31"/>
                    <a:srcRect l="0" t="0" r="0" b="0"/>
                    <a:stretch>
                      <a:fillRect/>
                    </a:stretch>
                  </pic:blipFill>
                  <pic:spPr>
                    <a:xfrm>
                      <a:off x="0" y="0"/>
                      <a:ext cx="497840" cy="248920"/>
                    </a:xfrm>
                    <a:prstGeom prst="rect"/>
                    <a:ln/>
                  </pic:spPr>
                </pic:pic>
              </a:graphicData>
            </a:graphic>
          </wp:inline>
        </w:drawing>
      </w:r>
      <w:r w:rsidRPr="12F0D589" w:rsidR="12F0D589">
        <w:rPr>
          <w:rFonts w:ascii="Google Sans" w:hAnsi="Google Sans" w:eastAsia="Google Sans" w:cs="Google Sans"/>
          <w:b w:val="1"/>
          <w:bCs w:val="1"/>
          <w:lang w:val="en-US"/>
        </w:rPr>
        <w:t>):</w:t>
      </w:r>
      <w:r w:rsidRPr="12F0D589" w:rsidR="12F0D589">
        <w:rPr>
          <w:rFonts w:ascii="Google Sans" w:hAnsi="Google Sans" w:eastAsia="Google Sans" w:cs="Google Sans"/>
          <w:lang w:val="en-US"/>
        </w:rPr>
        <w:t xml:space="preserve"> Se contabilizan las horas anuales de lluvia limitante que inviabilizan la marcha</w:t>
      </w:r>
      <w:r w:rsidRPr="12F0D589" w:rsidR="12F0D589">
        <w:rPr>
          <w:rFonts w:ascii="Google Sans" w:hAnsi="Google Sans" w:eastAsia="Google Sans" w:cs="Google Sans"/>
          <w:sz w:val="24"/>
          <w:szCs w:val="24"/>
          <w:vertAlign w:val="superscript"/>
          <w:lang w:val="en-US"/>
        </w:rPr>
        <w:t>53</w:t>
      </w:r>
      <w:r w:rsidRPr="12F0D589" w:rsidR="12F0D589">
        <w:rPr>
          <w:rFonts w:ascii="Google Sans" w:hAnsi="Google Sans" w:eastAsia="Google Sans" w:cs="Google Sans"/>
          <w:lang w:val="en-US"/>
        </w:rPr>
        <w:t>.</w:t>
      </w:r>
    </w:p>
    <w:p xmlns:wp14="http://schemas.microsoft.com/office/word/2010/wordml" w:rsidP="12F0D589" w:rsidRDefault="00000000" w14:paraId="0000005F"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ind w:left="600" w:hanging="360"/>
        <w:rPr/>
      </w:pPr>
      <w:r w:rsidRPr="12F0D589" w:rsidR="12F0D589">
        <w:rPr>
          <w:rFonts w:ascii="Google Sans" w:hAnsi="Google Sans" w:eastAsia="Google Sans" w:cs="Google Sans"/>
          <w:b w:val="1"/>
          <w:bCs w:val="1"/>
          <w:lang w:val="en-US"/>
        </w:rPr>
        <w:t>Factor de Erodabilidad (</w:t>
      </w:r>
      <w:r w:rsidR="12F0D589">
        <w:drawing>
          <wp:inline xmlns:wp14="http://schemas.microsoft.com/office/word/2010/wordprocessingDrawing" wp14:editId="47BA2ABA" wp14:anchorId="59A66DC7">
            <wp:extent cx="495300" cy="247650"/>
            <wp:effectExtent l="0" t="0" r="0" b="0"/>
            <wp:docPr id="20" name="image10.png"/>
            <wp:cNvGraphicFramePr/>
            <a:graphic>
              <a:graphicData xmlns:a="http://schemas.openxmlformats.org/drawingml/2006/main" uri="http://schemas.openxmlformats.org/drawingml/2006/picture">
                <pic:pic xmlns:pic="http://schemas.openxmlformats.org/drawingml/2006/picture">
                  <pic:nvPicPr>
                    <pic:cNvPr id="0" name="image10.png"/>
                    <pic:cNvPicPr preferRelativeResize="0"/>
                  </pic:nvPicPr>
                  <pic:blipFill>
                    <a:blip xmlns:r="http://schemas.openxmlformats.org/officeDocument/2006/relationships" r:embed="rId32"/>
                    <a:srcRect l="0" t="0" r="0" b="0"/>
                    <a:stretch>
                      <a:fillRect/>
                    </a:stretch>
                  </pic:blipFill>
                  <pic:spPr>
                    <a:xfrm>
                      <a:off x="0" y="0"/>
                      <a:ext cx="495300" cy="247650"/>
                    </a:xfrm>
                    <a:prstGeom prst="rect"/>
                    <a:ln/>
                  </pic:spPr>
                </pic:pic>
              </a:graphicData>
            </a:graphic>
          </wp:inline>
        </w:drawing>
      </w:r>
      <w:r w:rsidRPr="12F0D589" w:rsidR="12F0D589">
        <w:rPr>
          <w:rFonts w:ascii="Google Sans" w:hAnsi="Google Sans" w:eastAsia="Google Sans" w:cs="Google Sans"/>
          <w:b w:val="1"/>
          <w:bCs w:val="1"/>
          <w:lang w:val="en-US"/>
        </w:rPr>
        <w:t>):</w:t>
      </w:r>
      <w:r w:rsidRPr="12F0D589" w:rsidR="12F0D589">
        <w:rPr>
          <w:rFonts w:ascii="Google Sans" w:hAnsi="Google Sans" w:eastAsia="Google Sans" w:cs="Google Sans"/>
          <w:lang w:val="en-US"/>
        </w:rPr>
        <w:t xml:space="preserve"> Se evalúan las laderas arcillosas con inclinaciones superiores al 10-20% que sufren destrucción bajo pisadas constantes. Cifuentes multiplica por 1.5 la penalidad a los tramos de pendiente severa, alineándose sorprendentemente con los costos asimétricos de la biomecánica moderna</w:t>
      </w:r>
      <w:r w:rsidRPr="12F0D589" w:rsidR="12F0D589">
        <w:rPr>
          <w:rFonts w:ascii="Google Sans" w:hAnsi="Google Sans" w:eastAsia="Google Sans" w:cs="Google Sans"/>
          <w:sz w:val="24"/>
          <w:szCs w:val="24"/>
          <w:vertAlign w:val="superscript"/>
          <w:lang w:val="en-US"/>
        </w:rPr>
        <w:t>53</w:t>
      </w:r>
      <w:r w:rsidRPr="12F0D589" w:rsidR="12F0D589">
        <w:rPr>
          <w:rFonts w:ascii="Google Sans" w:hAnsi="Google Sans" w:eastAsia="Google Sans" w:cs="Google Sans"/>
          <w:lang w:val="en-US"/>
        </w:rPr>
        <w:t>.</w:t>
      </w:r>
    </w:p>
    <w:p xmlns:wp14="http://schemas.microsoft.com/office/word/2010/wordml" w:rsidP="12F0D589" w:rsidRDefault="00000000" w14:paraId="00000060"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ind w:left="600" w:hanging="360"/>
        <w:rPr/>
      </w:pPr>
      <w:r w:rsidRPr="12F0D589" w:rsidR="12F0D589">
        <w:rPr>
          <w:rFonts w:ascii="Google Sans" w:hAnsi="Google Sans" w:eastAsia="Google Sans" w:cs="Google Sans"/>
          <w:b w:val="1"/>
          <w:bCs w:val="1"/>
          <w:lang w:val="en-US"/>
        </w:rPr>
        <w:t>Factor de Anegamiento (</w:t>
      </w:r>
      <w:r w:rsidR="12F0D589">
        <w:drawing>
          <wp:inline xmlns:wp14="http://schemas.microsoft.com/office/word/2010/wordprocessingDrawing" wp14:editId="6319105E" wp14:anchorId="15997B48">
            <wp:extent cx="521653" cy="246600"/>
            <wp:effectExtent l="0" t="0" r="0" b="0"/>
            <wp:docPr id="23" name="image14.png"/>
            <wp:cNvGraphicFramePr/>
            <a:graphic>
              <a:graphicData xmlns:a="http://schemas.openxmlformats.org/drawingml/2006/main" uri="http://schemas.openxmlformats.org/drawingml/2006/picture">
                <pic:pic xmlns:pic="http://schemas.openxmlformats.org/drawingml/2006/picture">
                  <pic:nvPicPr>
                    <pic:cNvPr id="0" name="image14.png"/>
                    <pic:cNvPicPr preferRelativeResize="0"/>
                  </pic:nvPicPr>
                  <pic:blipFill>
                    <a:blip xmlns:r="http://schemas.openxmlformats.org/officeDocument/2006/relationships" r:embed="rId33"/>
                    <a:srcRect l="0" t="0" r="0" b="0"/>
                    <a:stretch>
                      <a:fillRect/>
                    </a:stretch>
                  </pic:blipFill>
                  <pic:spPr>
                    <a:xfrm>
                      <a:off x="0" y="0"/>
                      <a:ext cx="521653" cy="246600"/>
                    </a:xfrm>
                    <a:prstGeom prst="rect"/>
                    <a:ln/>
                  </pic:spPr>
                </pic:pic>
              </a:graphicData>
            </a:graphic>
          </wp:inline>
        </w:drawing>
      </w:r>
      <w:r w:rsidRPr="12F0D589" w:rsidR="12F0D589">
        <w:rPr>
          <w:rFonts w:ascii="Google Sans" w:hAnsi="Google Sans" w:eastAsia="Google Sans" w:cs="Google Sans"/>
          <w:b w:val="1"/>
          <w:bCs w:val="1"/>
          <w:lang w:val="en-US"/>
        </w:rPr>
        <w:t>):</w:t>
      </w:r>
      <w:r w:rsidRPr="12F0D589" w:rsidR="12F0D589">
        <w:rPr>
          <w:rFonts w:ascii="Google Sans" w:hAnsi="Google Sans" w:eastAsia="Google Sans" w:cs="Google Sans"/>
          <w:lang w:val="en-US"/>
        </w:rPr>
        <w:t xml:space="preserve"> Mide sectores donde el estancamiento de agua dificulta la locomoción</w:t>
      </w:r>
      <w:r w:rsidRPr="12F0D589" w:rsidR="12F0D589">
        <w:rPr>
          <w:rFonts w:ascii="Google Sans" w:hAnsi="Google Sans" w:eastAsia="Google Sans" w:cs="Google Sans"/>
          <w:sz w:val="24"/>
          <w:szCs w:val="24"/>
          <w:vertAlign w:val="superscript"/>
          <w:lang w:val="en-US"/>
        </w:rPr>
        <w:t>53</w:t>
      </w:r>
      <w:r w:rsidRPr="12F0D589" w:rsidR="12F0D589">
        <w:rPr>
          <w:rFonts w:ascii="Google Sans" w:hAnsi="Google Sans" w:eastAsia="Google Sans" w:cs="Google Sans"/>
          <w:lang w:val="en-US"/>
        </w:rPr>
        <w:t>.</w:t>
      </w:r>
    </w:p>
    <w:p xmlns:wp14="http://schemas.microsoft.com/office/word/2010/wordml" w:rsidP="12F0D589" w:rsidRDefault="00000000" w14:paraId="00000061"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ind w:left="600" w:hanging="360"/>
        <w:rPr/>
      </w:pPr>
      <w:r w:rsidRPr="12F0D589" w:rsidR="12F0D589">
        <w:rPr>
          <w:rFonts w:ascii="Google Sans" w:hAnsi="Google Sans" w:eastAsia="Google Sans" w:cs="Google Sans"/>
          <w:b w:val="1"/>
          <w:bCs w:val="1"/>
          <w:lang w:val="en-US"/>
        </w:rPr>
        <w:t>Factor de Brillo Solar (</w:t>
      </w:r>
      <w:r w:rsidR="12F0D589">
        <w:drawing>
          <wp:inline xmlns:wp14="http://schemas.microsoft.com/office/word/2010/wordprocessingDrawing" wp14:editId="21EA8AAE" wp14:anchorId="0B9EEBF2">
            <wp:extent cx="477202" cy="248145"/>
            <wp:effectExtent l="0" t="0" r="0" b="0"/>
            <wp:docPr id="25" name="image22.png"/>
            <wp:cNvGraphicFramePr/>
            <a:graphic>
              <a:graphicData xmlns:a="http://schemas.openxmlformats.org/drawingml/2006/main" uri="http://schemas.openxmlformats.org/drawingml/2006/picture">
                <pic:pic xmlns:pic="http://schemas.openxmlformats.org/drawingml/2006/picture">
                  <pic:nvPicPr>
                    <pic:cNvPr id="0" name="image22.png"/>
                    <pic:cNvPicPr preferRelativeResize="0"/>
                  </pic:nvPicPr>
                  <pic:blipFill>
                    <a:blip xmlns:r="http://schemas.openxmlformats.org/officeDocument/2006/relationships" r:embed="rId34"/>
                    <a:srcRect l="0" t="0" r="0" b="0"/>
                    <a:stretch>
                      <a:fillRect/>
                    </a:stretch>
                  </pic:blipFill>
                  <pic:spPr>
                    <a:xfrm>
                      <a:off x="0" y="0"/>
                      <a:ext cx="477202" cy="248145"/>
                    </a:xfrm>
                    <a:prstGeom prst="rect"/>
                    <a:ln/>
                  </pic:spPr>
                </pic:pic>
              </a:graphicData>
            </a:graphic>
          </wp:inline>
        </w:drawing>
      </w:r>
      <w:r w:rsidRPr="12F0D589" w:rsidR="12F0D589">
        <w:rPr>
          <w:rFonts w:ascii="Google Sans" w:hAnsi="Google Sans" w:eastAsia="Google Sans" w:cs="Google Sans"/>
          <w:b w:val="1"/>
          <w:bCs w:val="1"/>
          <w:lang w:val="en-US"/>
        </w:rPr>
        <w:t>):</w:t>
      </w:r>
      <w:r w:rsidRPr="12F0D589" w:rsidR="12F0D589">
        <w:rPr>
          <w:rFonts w:ascii="Google Sans" w:hAnsi="Google Sans" w:eastAsia="Google Sans" w:cs="Google Sans"/>
          <w:lang w:val="en-US"/>
        </w:rPr>
        <w:t xml:space="preserve"> Evalúa el estrés térmico en áreas sin cobertura forestal, vinculándose intrínsecamente con las métricas modernas de deriva cardiovascular</w:t>
      </w:r>
      <w:r w:rsidRPr="12F0D589" w:rsidR="12F0D589">
        <w:rPr>
          <w:rFonts w:ascii="Google Sans" w:hAnsi="Google Sans" w:eastAsia="Google Sans" w:cs="Google Sans"/>
          <w:sz w:val="24"/>
          <w:szCs w:val="24"/>
          <w:vertAlign w:val="superscript"/>
          <w:lang w:val="en-US"/>
        </w:rPr>
        <w:t>53</w:t>
      </w:r>
      <w:r w:rsidRPr="12F0D589" w:rsidR="12F0D589">
        <w:rPr>
          <w:rFonts w:ascii="Google Sans" w:hAnsi="Google Sans" w:eastAsia="Google Sans" w:cs="Google Sans"/>
          <w:lang w:val="en-US"/>
        </w:rPr>
        <w:t>.</w:t>
      </w:r>
    </w:p>
    <w:p xmlns:wp14="http://schemas.microsoft.com/office/word/2010/wordml" w:rsidP="12F0D589" w:rsidRDefault="00000000" w14:paraId="0000006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Esta metodología tradicional ha servido para la evaluación en reservas como El Encenillo en Colombia o áreas del Amazonas peruano</w:t>
      </w:r>
      <w:r w:rsidRPr="12F0D589" w:rsidR="12F0D589">
        <w:rPr>
          <w:rFonts w:ascii="Google Sans" w:hAnsi="Google Sans" w:eastAsia="Google Sans" w:cs="Google Sans"/>
          <w:sz w:val="24"/>
          <w:szCs w:val="24"/>
          <w:vertAlign w:val="superscript"/>
          <w:lang w:val="en-US"/>
        </w:rPr>
        <w:t>53</w:t>
      </w:r>
      <w:r w:rsidRPr="12F0D589" w:rsidR="12F0D589">
        <w:rPr>
          <w:rFonts w:ascii="Google Sans" w:hAnsi="Google Sans" w:eastAsia="Google Sans" w:cs="Google Sans"/>
          <w:lang w:val="en-US"/>
        </w:rPr>
        <w:t>. Incorporar las lógicas de Cifuentes directamente como ponderaciones en las tablas de pgRouting garantiza que el riesgo algorítmico tenga arraigo ecológico, gestionando la conservación del suelo de manera sincrónica con la seguridad humana.</w:t>
      </w:r>
    </w:p>
    <w:p xmlns:wp14="http://schemas.microsoft.com/office/word/2010/wordml" w:rsidP="12F0D589" w:rsidRDefault="00000000" w14:paraId="00000063"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275" w:lineRule="auto"/>
        <w:rPr>
          <w:rFonts w:ascii="Google Sans" w:hAnsi="Google Sans" w:eastAsia="Google Sans" w:cs="Google Sans"/>
          <w:lang w:val="en-US"/>
        </w:rPr>
      </w:pPr>
      <w:r w:rsidRPr="12F0D589" w:rsidR="12F0D589">
        <w:rPr>
          <w:rFonts w:ascii="Google Sans" w:hAnsi="Google Sans" w:eastAsia="Google Sans" w:cs="Google Sans"/>
          <w:lang w:val="en-US"/>
        </w:rPr>
        <w:t>El Método de Información de Excursiones (MIDE) como Estandarización de Riesgo</w:t>
      </w:r>
    </w:p>
    <w:p xmlns:wp14="http://schemas.microsoft.com/office/word/2010/wordml" w:rsidP="12F0D589" w:rsidRDefault="00000000" w14:paraId="0000006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Mientras que Cifuentes restringe la afluencia, el Método de Información de Excursiones (MIDE) cuantifica y estandariza la severidad cualitativa de un trayecto para el usuario final. Este estándar de prevención, de origen español, pero extendido en manuales de montaña a nivel internacional, evalúa la dificultad técnica y física a través de cuatro dimensiones valoradas en una escala cardinal del 1 al 5</w:t>
      </w:r>
      <w:r w:rsidRPr="12F0D589" w:rsidR="12F0D589">
        <w:rPr>
          <w:rFonts w:ascii="Google Sans" w:hAnsi="Google Sans" w:eastAsia="Google Sans" w:cs="Google Sans"/>
          <w:sz w:val="24"/>
          <w:szCs w:val="24"/>
          <w:vertAlign w:val="superscript"/>
          <w:lang w:val="en-US"/>
        </w:rPr>
        <w:t>58</w:t>
      </w:r>
      <w:r w:rsidRPr="12F0D589" w:rsidR="12F0D589">
        <w:rPr>
          <w:rFonts w:ascii="Google Sans" w:hAnsi="Google Sans" w:eastAsia="Google Sans" w:cs="Google Sans"/>
          <w:lang w:val="en-US"/>
        </w:rPr>
        <w:t>:</w:t>
      </w:r>
    </w:p>
    <w:p xmlns:wp14="http://schemas.microsoft.com/office/word/2010/wordml" w:rsidP="12F0D589" w:rsidRDefault="00000000" w14:paraId="00000065"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ind w:left="600" w:hanging="360"/>
        <w:rPr/>
      </w:pPr>
      <w:r w:rsidRPr="12F0D589" w:rsidR="12F0D589">
        <w:rPr>
          <w:rFonts w:ascii="Google Sans" w:hAnsi="Google Sans" w:eastAsia="Google Sans" w:cs="Google Sans"/>
          <w:b w:val="1"/>
          <w:bCs w:val="1"/>
          <w:lang w:val="en-US"/>
        </w:rPr>
        <w:t>Severidad del Medio:</w:t>
      </w:r>
      <w:r w:rsidRPr="12F0D589" w:rsidR="12F0D589">
        <w:rPr>
          <w:rFonts w:ascii="Google Sans" w:hAnsi="Google Sans" w:eastAsia="Google Sans" w:cs="Google Sans"/>
          <w:lang w:val="en-US"/>
        </w:rPr>
        <w:t xml:space="preserve"> Existencia de factores de riesgo como desprendimientos, clima extremo, o aislamiento topográfico a más de una hora de servicios de socorro.</w:t>
      </w:r>
    </w:p>
    <w:p xmlns:wp14="http://schemas.microsoft.com/office/word/2010/wordml" w:rsidP="12F0D589" w:rsidRDefault="00000000" w14:paraId="00000066"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ind w:left="600" w:hanging="360"/>
        <w:rPr/>
      </w:pPr>
      <w:r w:rsidRPr="12F0D589" w:rsidR="12F0D589">
        <w:rPr>
          <w:rFonts w:ascii="Google Sans" w:hAnsi="Google Sans" w:eastAsia="Google Sans" w:cs="Google Sans"/>
          <w:b w:val="1"/>
          <w:bCs w:val="1"/>
          <w:lang w:val="en-US"/>
        </w:rPr>
        <w:t>Orientación en el Itinerario:</w:t>
      </w:r>
      <w:r w:rsidRPr="12F0D589" w:rsidR="12F0D589">
        <w:rPr>
          <w:rFonts w:ascii="Google Sans" w:hAnsi="Google Sans" w:eastAsia="Google Sans" w:cs="Google Sans"/>
          <w:lang w:val="en-US"/>
        </w:rPr>
        <w:t xml:space="preserve"> Desde rutas asfaltadas (nivel 1) hasta exigencias de navegación técnica fuera de traza con puntos de referencia ausentes (nivel 5).</w:t>
      </w:r>
    </w:p>
    <w:p xmlns:wp14="http://schemas.microsoft.com/office/word/2010/wordml" w:rsidP="12F0D589" w:rsidRDefault="00000000" w14:paraId="00000067"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ind w:left="600" w:hanging="360"/>
        <w:rPr/>
      </w:pPr>
      <w:r w:rsidRPr="12F0D589" w:rsidR="12F0D589">
        <w:rPr>
          <w:rFonts w:ascii="Google Sans" w:hAnsi="Google Sans" w:eastAsia="Google Sans" w:cs="Google Sans"/>
          <w:b w:val="1"/>
          <w:bCs w:val="1"/>
          <w:lang w:val="en-US"/>
        </w:rPr>
        <w:t>Dificultad de Desplazamiento:</w:t>
      </w:r>
      <w:r w:rsidRPr="12F0D589" w:rsidR="12F0D589">
        <w:rPr>
          <w:rFonts w:ascii="Google Sans" w:hAnsi="Google Sans" w:eastAsia="Google Sans" w:cs="Google Sans"/>
          <w:lang w:val="en-US"/>
        </w:rPr>
        <w:t xml:space="preserve"> Penalización que va desde marcha en superficie lisa hasta progresiones que exigen el uso de ambas manos, trepadas, y terrenos de alto riesgo de resbalamiento o avalancha</w:t>
      </w:r>
      <w:r w:rsidRPr="12F0D589" w:rsidR="12F0D589">
        <w:rPr>
          <w:rFonts w:ascii="Google Sans" w:hAnsi="Google Sans" w:eastAsia="Google Sans" w:cs="Google Sans"/>
          <w:sz w:val="24"/>
          <w:szCs w:val="24"/>
          <w:vertAlign w:val="superscript"/>
          <w:lang w:val="en-US"/>
        </w:rPr>
        <w:t>58</w:t>
      </w:r>
      <w:r w:rsidRPr="12F0D589" w:rsidR="12F0D589">
        <w:rPr>
          <w:rFonts w:ascii="Google Sans" w:hAnsi="Google Sans" w:eastAsia="Google Sans" w:cs="Google Sans"/>
          <w:lang w:val="en-US"/>
        </w:rPr>
        <w:t>.</w:t>
      </w:r>
    </w:p>
    <w:p xmlns:wp14="http://schemas.microsoft.com/office/word/2010/wordml" w:rsidP="12F0D589" w:rsidRDefault="00000000" w14:paraId="00000068"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ind w:left="600" w:hanging="360"/>
        <w:rPr/>
      </w:pPr>
      <w:r w:rsidRPr="12F0D589" w:rsidR="12F0D589">
        <w:rPr>
          <w:rFonts w:ascii="Google Sans" w:hAnsi="Google Sans" w:eastAsia="Google Sans" w:cs="Google Sans"/>
          <w:b w:val="1"/>
          <w:bCs w:val="1"/>
          <w:lang w:val="en-US"/>
        </w:rPr>
        <w:t>Cantidad de Esfuerzo Requerido:</w:t>
      </w:r>
      <w:r w:rsidRPr="12F0D589" w:rsidR="12F0D589">
        <w:rPr>
          <w:rFonts w:ascii="Google Sans" w:hAnsi="Google Sans" w:eastAsia="Google Sans" w:cs="Google Sans"/>
          <w:lang w:val="en-US"/>
        </w:rPr>
        <w:t xml:space="preserve"> Se clasifica directamente a través del tiempo proyectado de marcha ininterrumpida (e.g., Nivel 1: &lt;1 hora; Nivel 5: &gt;10 horas)</w:t>
      </w:r>
      <w:r w:rsidRPr="12F0D589" w:rsidR="12F0D589">
        <w:rPr>
          <w:rFonts w:ascii="Google Sans" w:hAnsi="Google Sans" w:eastAsia="Google Sans" w:cs="Google Sans"/>
          <w:sz w:val="24"/>
          <w:szCs w:val="24"/>
          <w:vertAlign w:val="superscript"/>
          <w:lang w:val="en-US"/>
        </w:rPr>
        <w:t>58</w:t>
      </w:r>
      <w:r w:rsidRPr="12F0D589" w:rsidR="12F0D589">
        <w:rPr>
          <w:rFonts w:ascii="Google Sans" w:hAnsi="Google Sans" w:eastAsia="Google Sans" w:cs="Google Sans"/>
          <w:lang w:val="en-US"/>
        </w:rPr>
        <w:t>.</w:t>
      </w:r>
    </w:p>
    <w:p xmlns:wp14="http://schemas.microsoft.com/office/word/2010/wordml" w:rsidP="12F0D589" w:rsidRDefault="00000000" w14:paraId="00000069"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El objetivo final de un Índice Dinámico de Riesgo backend es precisamente automatizar y fluidificar la matriz estática del MIDE. En lugar de ofrecer un cartel impreso que clasifica un camino en nivel 3 permanente, el sistema SIG debe arrojar un MIDE "líquido". Tras tormentas torrenciales (evaluadas vía API), la plataforma eleva el parámetro de "Desplazamiento" a 4 debido a la pérdida de tracción, al igual que el "Esfuerzo" se ajustaría por incremento del costo metabólico asociado a la fricción de arrastre.</w:t>
      </w:r>
    </w:p>
    <w:p xmlns:wp14="http://schemas.microsoft.com/office/word/2010/wordml" w:rsidP="12F0D589" w:rsidRDefault="00000000" w14:paraId="0000006A" wp14:textId="77777777">
      <w:pPr>
        <w:pStyle w:val="Heading3"/>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275" w:lineRule="auto"/>
        <w:rPr>
          <w:rFonts w:ascii="Google Sans" w:hAnsi="Google Sans" w:eastAsia="Google Sans" w:cs="Google Sans"/>
          <w:lang w:val="en-US"/>
        </w:rPr>
      </w:pPr>
      <w:r w:rsidRPr="12F0D589" w:rsidR="12F0D589">
        <w:rPr>
          <w:rFonts w:ascii="Google Sans" w:hAnsi="Google Sans" w:eastAsia="Google Sans" w:cs="Google Sans"/>
          <w:lang w:val="en-US"/>
        </w:rPr>
        <w:t>Aplicaciones de Riesgo Topográfico en Entornos Neotropicales</w:t>
      </w:r>
    </w:p>
    <w:p xmlns:wp14="http://schemas.microsoft.com/office/word/2010/wordml" w:rsidP="12F0D589" w:rsidRDefault="00000000" w14:paraId="0000006B"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El ecoturismo en América Latina ilustra la necesidad crítica de esta amalgama tecnológica. En Costa Rica, parques de alta densidad, como el Parque Nacional Rincón de la Vieja y las estribaciones del Volcán Arenal, exhiben senderos expuestos directamente a emanaciones volcánicas, cambios bruscos de densa selva a terreno rocoso y microclimas severamente alterables. Las advertencias internacionales subrayan frecuentemente los riesgos de riadas súbitas en zonas boscosas tras tormentas cortas, las cuales inundan veredas e incrementan exponencialmente la peligrosidad y el índice de extravío</w:t>
      </w:r>
      <w:r w:rsidRPr="12F0D589" w:rsidR="12F0D589">
        <w:rPr>
          <w:rFonts w:ascii="Google Sans" w:hAnsi="Google Sans" w:eastAsia="Google Sans" w:cs="Google Sans"/>
          <w:sz w:val="24"/>
          <w:szCs w:val="24"/>
          <w:vertAlign w:val="superscript"/>
          <w:lang w:val="en-US"/>
        </w:rPr>
        <w:t>62</w:t>
      </w:r>
      <w:r w:rsidRPr="12F0D589" w:rsidR="12F0D589">
        <w:rPr>
          <w:rFonts w:ascii="Google Sans" w:hAnsi="Google Sans" w:eastAsia="Google Sans" w:cs="Google Sans"/>
          <w:lang w:val="en-US"/>
        </w:rPr>
        <w:t>. Adicionalmente, el esfuerzo físico prolongado agrava factores situacionales de seguridad personal, evidenciados en reportes de criminalidad contra turistas desorientados o exhaustos en áreas remotas (como asaltos y pérdida de atención propioceptiva en zonas aisladas del Caribe y Pacífico de Costa Rica)</w:t>
      </w:r>
      <w:r w:rsidRPr="12F0D589" w:rsidR="12F0D589">
        <w:rPr>
          <w:rFonts w:ascii="Google Sans" w:hAnsi="Google Sans" w:eastAsia="Google Sans" w:cs="Google Sans"/>
          <w:sz w:val="24"/>
          <w:szCs w:val="24"/>
          <w:vertAlign w:val="superscript"/>
          <w:lang w:val="en-US"/>
        </w:rPr>
        <w:t>65</w:t>
      </w:r>
      <w:r w:rsidRPr="12F0D589" w:rsidR="12F0D589">
        <w:rPr>
          <w:rFonts w:ascii="Google Sans" w:hAnsi="Google Sans" w:eastAsia="Google Sans" w:cs="Google Sans"/>
          <w:lang w:val="en-US"/>
        </w:rPr>
        <w:t>.</w:t>
      </w:r>
    </w:p>
    <w:p xmlns:wp14="http://schemas.microsoft.com/office/word/2010/wordml" w:rsidP="12F0D589" w:rsidRDefault="00000000" w14:paraId="0000006C"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 xml:space="preserve">En Panamá, un paradigma innovador es el de </w:t>
      </w:r>
      <w:r w:rsidRPr="12F0D589" w:rsidR="12F0D589">
        <w:rPr>
          <w:rFonts w:ascii="Google Sans" w:hAnsi="Google Sans" w:eastAsia="Google Sans" w:cs="Google Sans"/>
          <w:i w:val="1"/>
          <w:iCs w:val="1"/>
          <w:lang w:val="en-US"/>
        </w:rPr>
        <w:t>Geoversity</w:t>
      </w:r>
      <w:r w:rsidRPr="12F0D589" w:rsidR="12F0D589">
        <w:rPr>
          <w:rFonts w:ascii="Google Sans" w:hAnsi="Google Sans" w:eastAsia="Google Sans" w:cs="Google Sans"/>
          <w:lang w:val="en-US"/>
        </w:rPr>
        <w:t xml:space="preserve"> y su programa "GIS in the Jungle" en la reserva del Valle de Mamoní. Para afrontar el problema de la densidad arbórea que corrompe la precisión topográfica de los modelos satelitales (SRTM), equipos científicos mapearon la reserva operando Vehículos Aéreos No Tripulados (UAV). Estos escaneos fotogramétricos nutren modelos GIS ultradetallados con perfiles de alta definición de la micro-orografía y la densidad forestal circundante</w:t>
      </w:r>
      <w:r w:rsidRPr="12F0D589" w:rsidR="12F0D589">
        <w:rPr>
          <w:rFonts w:ascii="Google Sans" w:hAnsi="Google Sans" w:eastAsia="Google Sans" w:cs="Google Sans"/>
          <w:sz w:val="24"/>
          <w:szCs w:val="24"/>
          <w:vertAlign w:val="superscript"/>
          <w:lang w:val="en-US"/>
        </w:rPr>
        <w:t>68</w:t>
      </w:r>
      <w:r w:rsidRPr="12F0D589" w:rsidR="12F0D589">
        <w:rPr>
          <w:rFonts w:ascii="Google Sans" w:hAnsi="Google Sans" w:eastAsia="Google Sans" w:cs="Google Sans"/>
          <w:lang w:val="en-US"/>
        </w:rPr>
        <w:t>. Esta información georreferenciada a nivel centimétrico, sumada a proyectos complementarios sobre estudios de mitigación de inundaciones en la cuenca de Tocumen</w:t>
      </w:r>
      <w:r w:rsidRPr="12F0D589" w:rsidR="12F0D589">
        <w:rPr>
          <w:rFonts w:ascii="Google Sans" w:hAnsi="Google Sans" w:eastAsia="Google Sans" w:cs="Google Sans"/>
          <w:sz w:val="24"/>
          <w:szCs w:val="24"/>
          <w:vertAlign w:val="superscript"/>
          <w:lang w:val="en-US"/>
        </w:rPr>
        <w:t>69</w:t>
      </w:r>
      <w:r w:rsidRPr="12F0D589" w:rsidR="12F0D589">
        <w:rPr>
          <w:rFonts w:ascii="Google Sans" w:hAnsi="Google Sans" w:eastAsia="Google Sans" w:cs="Google Sans"/>
          <w:lang w:val="en-US"/>
        </w:rPr>
        <w:t>, permite a las bases de datos de PostGIS clasificar de forma exhaustiva las rutas de acuerdo a la maleza (validando el modelo limitante de Irmischer &amp; Clarke sobre densidad vegetal</w:t>
      </w:r>
      <w:r w:rsidRPr="12F0D589" w:rsidR="12F0D589">
        <w:rPr>
          <w:rFonts w:ascii="Google Sans" w:hAnsi="Google Sans" w:eastAsia="Google Sans" w:cs="Google Sans"/>
          <w:sz w:val="24"/>
          <w:szCs w:val="24"/>
          <w:vertAlign w:val="superscript"/>
          <w:lang w:val="en-US"/>
        </w:rPr>
        <w:t>24</w:t>
      </w:r>
      <w:r w:rsidRPr="12F0D589" w:rsidR="12F0D589">
        <w:rPr>
          <w:rFonts w:ascii="Google Sans" w:hAnsi="Google Sans" w:eastAsia="Google Sans" w:cs="Google Sans"/>
          <w:lang w:val="en-US"/>
        </w:rPr>
        <w:t>).</w:t>
      </w:r>
    </w:p>
    <w:p xmlns:wp14="http://schemas.microsoft.com/office/word/2010/wordml" w:rsidP="12F0D589" w:rsidRDefault="00000000" w14:paraId="0000006D"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Asimismo, las regulaciones oficiales de parques colombianos de alta altitud, como el PNN Chingaza, prohíben implícitamente el recorrido de múltiples sectores en un solo día debido a la dureza del ecosistema paramuno, donde el frío interacciona con la escasa oxigenación para aumentar el costo energético basal. Estas áreas exigen restricciones rigurosas (como guías obligatorios y prohibición absoluta fuera de ruta) precisamente porque el agotamiento fisiológico se superpone a senderos altamente erosionables y vulnerables al anegamiento de turberas</w:t>
      </w:r>
      <w:r w:rsidRPr="12F0D589" w:rsidR="12F0D589">
        <w:rPr>
          <w:rFonts w:ascii="Google Sans" w:hAnsi="Google Sans" w:eastAsia="Google Sans" w:cs="Google Sans"/>
          <w:sz w:val="24"/>
          <w:szCs w:val="24"/>
          <w:vertAlign w:val="superscript"/>
          <w:lang w:val="en-US"/>
        </w:rPr>
        <w:t>70</w:t>
      </w:r>
      <w:r w:rsidRPr="12F0D589" w:rsidR="12F0D589">
        <w:rPr>
          <w:rFonts w:ascii="Google Sans" w:hAnsi="Google Sans" w:eastAsia="Google Sans" w:cs="Google Sans"/>
          <w:lang w:val="en-US"/>
        </w:rPr>
        <w:t>.</w:t>
      </w:r>
    </w:p>
    <w:p xmlns:wp14="http://schemas.microsoft.com/office/word/2010/wordml" w:rsidP="12F0D589" w:rsidRDefault="00000000" w14:paraId="0000006E"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El despliegue integrado de un índice de riesgo procesaría las métricas LiDAR (Mamoní)</w:t>
      </w:r>
      <w:r w:rsidRPr="12F0D589" w:rsidR="12F0D589">
        <w:rPr>
          <w:rFonts w:ascii="Google Sans" w:hAnsi="Google Sans" w:eastAsia="Google Sans" w:cs="Google Sans"/>
          <w:sz w:val="24"/>
          <w:szCs w:val="24"/>
          <w:vertAlign w:val="superscript"/>
          <w:lang w:val="en-US"/>
        </w:rPr>
        <w:t>68</w:t>
      </w:r>
      <w:r w:rsidRPr="12F0D589" w:rsidR="12F0D589">
        <w:rPr>
          <w:rFonts w:ascii="Google Sans" w:hAnsi="Google Sans" w:eastAsia="Google Sans" w:cs="Google Sans"/>
          <w:lang w:val="en-US"/>
        </w:rPr>
        <w:t>, aplicaría correcciones ambientales de capacidad (Cifuentes y Chingaza)</w:t>
      </w:r>
      <w:r w:rsidRPr="12F0D589" w:rsidR="12F0D589">
        <w:rPr>
          <w:rFonts w:ascii="Google Sans" w:hAnsi="Google Sans" w:eastAsia="Google Sans" w:cs="Google Sans"/>
          <w:sz w:val="24"/>
          <w:szCs w:val="24"/>
          <w:vertAlign w:val="superscript"/>
          <w:lang w:val="en-US"/>
        </w:rPr>
        <w:t>53</w:t>
      </w:r>
      <w:r w:rsidRPr="12F0D589" w:rsidR="12F0D589">
        <w:rPr>
          <w:rFonts w:ascii="Google Sans" w:hAnsi="Google Sans" w:eastAsia="Google Sans" w:cs="Google Sans"/>
          <w:lang w:val="en-US"/>
        </w:rPr>
        <w:t>, predeciría el desgaste de oxígeno y glucógeno del excursionista (Minetti y Pandolf)</w:t>
      </w:r>
      <w:r w:rsidRPr="12F0D589" w:rsidR="12F0D589">
        <w:rPr>
          <w:rFonts w:ascii="Google Sans" w:hAnsi="Google Sans" w:eastAsia="Google Sans" w:cs="Google Sans"/>
          <w:sz w:val="24"/>
          <w:szCs w:val="24"/>
          <w:vertAlign w:val="superscript"/>
          <w:lang w:val="en-US"/>
        </w:rPr>
        <w:t>6</w:t>
      </w:r>
      <w:r w:rsidRPr="12F0D589" w:rsidR="12F0D589">
        <w:rPr>
          <w:rFonts w:ascii="Google Sans" w:hAnsi="Google Sans" w:eastAsia="Google Sans" w:cs="Google Sans"/>
          <w:lang w:val="en-US"/>
        </w:rPr>
        <w:t>, y presentaría los resultados en una escala de comprensión intuitiva (MIDE)</w:t>
      </w:r>
      <w:r w:rsidRPr="12F0D589" w:rsidR="12F0D589">
        <w:rPr>
          <w:rFonts w:ascii="Google Sans" w:hAnsi="Google Sans" w:eastAsia="Google Sans" w:cs="Google Sans"/>
          <w:sz w:val="24"/>
          <w:szCs w:val="24"/>
          <w:vertAlign w:val="superscript"/>
          <w:lang w:val="en-US"/>
        </w:rPr>
        <w:t>58</w:t>
      </w:r>
      <w:r w:rsidRPr="12F0D589" w:rsidR="12F0D589">
        <w:rPr>
          <w:rFonts w:ascii="Google Sans" w:hAnsi="Google Sans" w:eastAsia="Google Sans" w:cs="Google Sans"/>
          <w:lang w:val="en-US"/>
        </w:rPr>
        <w:t>.</w:t>
      </w:r>
    </w:p>
    <w:p xmlns:wp14="http://schemas.microsoft.com/office/word/2010/wordml" w:rsidP="12F0D589" w:rsidRDefault="00000000" w14:paraId="0000006F" wp14:textId="77777777">
      <w:pPr>
        <w:pStyle w:val="Heading2"/>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275" w:lineRule="auto"/>
        <w:rPr>
          <w:rFonts w:ascii="Google Sans" w:hAnsi="Google Sans" w:eastAsia="Google Sans" w:cs="Google Sans"/>
          <w:lang w:val="en-US"/>
        </w:rPr>
      </w:pPr>
      <w:r w:rsidRPr="12F0D589" w:rsidR="12F0D589">
        <w:rPr>
          <w:rFonts w:ascii="Google Sans" w:hAnsi="Google Sans" w:eastAsia="Google Sans" w:cs="Google Sans"/>
          <w:lang w:val="en-US"/>
        </w:rPr>
        <w:t>Conclusión y Recomendaciones de Implementación</w:t>
      </w:r>
    </w:p>
    <w:p xmlns:wp14="http://schemas.microsoft.com/office/word/2010/wordml" w:rsidP="12F0D589" w:rsidRDefault="00000000" w14:paraId="00000070"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El desarrollo de un "Índice Dinámico de Riesgo" representa la amalgama más refinada entre la ciencia geoespacial y la fisiología humana orientada a la seguridad en el medio ambiente natural. El análisis de la literatura refleja que los cimientos matemáticos, biológicos y tecnológicos no solo se encuentran maduros, sino en un estado óptimo para su interoperabilidad.</w:t>
      </w:r>
    </w:p>
    <w:p xmlns:wp14="http://schemas.microsoft.com/office/word/2010/wordml" w:rsidP="12F0D589" w:rsidRDefault="00000000" w14:paraId="00000071"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Para el componente algorítmico de esfuerzo, es imperativo trascender las aproximaciones euclidianas planas o los modelos lineales. Las investigaciones de Tobler, refinadas paramétricamente por Irmischer y Clarke, brindan curvas gaussianas capaces de ajustar velocidades considerando el impacto severo de la maleza densa y terrenos sin consolidar</w:t>
      </w:r>
      <w:r w:rsidRPr="12F0D589" w:rsidR="12F0D589">
        <w:rPr>
          <w:rFonts w:ascii="Google Sans" w:hAnsi="Google Sans" w:eastAsia="Google Sans" w:cs="Google Sans"/>
          <w:sz w:val="24"/>
          <w:szCs w:val="24"/>
          <w:vertAlign w:val="superscript"/>
          <w:lang w:val="en-US"/>
        </w:rPr>
        <w:t>24</w:t>
      </w:r>
      <w:r w:rsidRPr="12F0D589" w:rsidR="12F0D589">
        <w:rPr>
          <w:rFonts w:ascii="Google Sans" w:hAnsi="Google Sans" w:eastAsia="Google Sans" w:cs="Google Sans"/>
          <w:lang w:val="en-US"/>
        </w:rPr>
        <w:t>. Simultáneamente, el polinomio de Minetti resulta insustituible para integrar el Costo Metabólico de Transporte, pues documenta con alta fidelidad que el esfuerzo excéntrico de los descensos abruptos dispara la fatiga localizada, contradiciendo el instinto humano que asume que "bajar no cuesta"</w:t>
      </w:r>
      <w:r w:rsidRPr="12F0D589" w:rsidR="12F0D589">
        <w:rPr>
          <w:rFonts w:ascii="Google Sans" w:hAnsi="Google Sans" w:eastAsia="Google Sans" w:cs="Google Sans"/>
          <w:sz w:val="24"/>
          <w:szCs w:val="24"/>
          <w:vertAlign w:val="superscript"/>
          <w:lang w:val="en-US"/>
        </w:rPr>
        <w:t>5</w:t>
      </w:r>
      <w:r w:rsidRPr="12F0D589" w:rsidR="12F0D589">
        <w:rPr>
          <w:rFonts w:ascii="Google Sans" w:hAnsi="Google Sans" w:eastAsia="Google Sans" w:cs="Google Sans"/>
          <w:lang w:val="en-US"/>
        </w:rPr>
        <w:t>.</w:t>
      </w:r>
    </w:p>
    <w:p xmlns:wp14="http://schemas.microsoft.com/office/word/2010/wordml" w:rsidP="12F0D589" w:rsidRDefault="00000000" w14:paraId="00000072"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En términos de estrés ambiental, el índice de riesgo cometería un error crítico si omite la humedad absoluta de climas tropicales. Se requiere integrar el monitoreo algorítmico de la Deriva Cardiovascular en el cual, pasada la franja de los primeros 20 minutos bajo un estrés térmico significativo, el sistema recalcule incrementos continuos de la frecuencia cardíaca, proyectando la inminente inestabilidad del centro de masa, la fatiga del tren inferior y el aumento agudo del riesgo tribológico de caída por pérdida de tracción en un suelo irregular y resbaladizo</w:t>
      </w:r>
      <w:r w:rsidRPr="12F0D589" w:rsidR="12F0D589">
        <w:rPr>
          <w:rFonts w:ascii="Google Sans" w:hAnsi="Google Sans" w:eastAsia="Google Sans" w:cs="Google Sans"/>
          <w:sz w:val="24"/>
          <w:szCs w:val="24"/>
          <w:vertAlign w:val="superscript"/>
          <w:lang w:val="en-US"/>
        </w:rPr>
        <w:t>7</w:t>
      </w:r>
      <w:r w:rsidRPr="12F0D589" w:rsidR="12F0D589">
        <w:rPr>
          <w:rFonts w:ascii="Google Sans" w:hAnsi="Google Sans" w:eastAsia="Google Sans" w:cs="Google Sans"/>
          <w:lang w:val="en-US"/>
        </w:rPr>
        <w:t>.</w:t>
      </w:r>
    </w:p>
    <w:p xmlns:wp14="http://schemas.microsoft.com/office/word/2010/wordml" w:rsidP="12F0D589" w:rsidRDefault="00000000" w14:paraId="00000073"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Técnicamente, el modelo impone el uso de un clúster de bases de datos centralizado y estructurado sobre PostgreSQL. Los cálculos matemáticos deben recaer en PostGIS para el cruce de atributos tridimensionales (DEMs, intersecciones ráster-vector) y delegar el trazado condicional a pgRouting</w:t>
      </w:r>
      <w:r w:rsidRPr="12F0D589" w:rsidR="12F0D589">
        <w:rPr>
          <w:rFonts w:ascii="Google Sans" w:hAnsi="Google Sans" w:eastAsia="Google Sans" w:cs="Google Sans"/>
          <w:sz w:val="24"/>
          <w:szCs w:val="24"/>
          <w:vertAlign w:val="superscript"/>
          <w:lang w:val="en-US"/>
        </w:rPr>
        <w:t>1</w:t>
      </w:r>
      <w:r w:rsidRPr="12F0D589" w:rsidR="12F0D589">
        <w:rPr>
          <w:rFonts w:ascii="Google Sans" w:hAnsi="Google Sans" w:eastAsia="Google Sans" w:cs="Google Sans"/>
          <w:lang w:val="en-US"/>
        </w:rPr>
        <w:t>. La agilidad de esta infraestructura es máxima cuando la capa topográfica de grafos permanece estática y son las tablas de pesos de costo, interconectadas mediante microservicios y bases estocásticas tipo AHP, las que oscilan fluidamente ante notificaciones de clima asíncronas</w:t>
      </w:r>
      <w:r w:rsidRPr="12F0D589" w:rsidR="12F0D589">
        <w:rPr>
          <w:rFonts w:ascii="Google Sans" w:hAnsi="Google Sans" w:eastAsia="Google Sans" w:cs="Google Sans"/>
          <w:sz w:val="24"/>
          <w:szCs w:val="24"/>
          <w:vertAlign w:val="superscript"/>
          <w:lang w:val="en-US"/>
        </w:rPr>
        <w:t>13</w:t>
      </w:r>
      <w:r w:rsidRPr="12F0D589" w:rsidR="12F0D589">
        <w:rPr>
          <w:rFonts w:ascii="Google Sans" w:hAnsi="Google Sans" w:eastAsia="Google Sans" w:cs="Google Sans"/>
          <w:lang w:val="en-US"/>
        </w:rPr>
        <w:t>.</w:t>
      </w:r>
    </w:p>
    <w:p xmlns:wp14="http://schemas.microsoft.com/office/word/2010/wordml" w:rsidP="12F0D589" w:rsidRDefault="00000000" w14:paraId="0000007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275" w:lineRule="auto"/>
        <w:rPr>
          <w:rFonts w:ascii="Google Sans" w:hAnsi="Google Sans" w:eastAsia="Google Sans" w:cs="Google Sans"/>
          <w:lang w:val="en-US"/>
        </w:rPr>
      </w:pPr>
      <w:r w:rsidRPr="12F0D589" w:rsidR="12F0D589">
        <w:rPr>
          <w:rFonts w:ascii="Google Sans" w:hAnsi="Google Sans" w:eastAsia="Google Sans" w:cs="Google Sans"/>
          <w:lang w:val="en-US"/>
        </w:rPr>
        <w:t>Finalmente, todo resultado algorítmico debe converger en estándares latinoamericanos interpretables, traduciendo variables de alta complejidad en escalas comparables al modelo Cifuentes o la matriz gráfica del Método MIDE</w:t>
      </w:r>
      <w:r w:rsidRPr="12F0D589" w:rsidR="12F0D589">
        <w:rPr>
          <w:rFonts w:ascii="Google Sans" w:hAnsi="Google Sans" w:eastAsia="Google Sans" w:cs="Google Sans"/>
          <w:sz w:val="24"/>
          <w:szCs w:val="24"/>
          <w:vertAlign w:val="superscript"/>
          <w:lang w:val="en-US"/>
        </w:rPr>
        <w:t>53</w:t>
      </w:r>
      <w:r w:rsidRPr="12F0D589" w:rsidR="12F0D589">
        <w:rPr>
          <w:rFonts w:ascii="Google Sans" w:hAnsi="Google Sans" w:eastAsia="Google Sans" w:cs="Google Sans"/>
          <w:lang w:val="en-US"/>
        </w:rPr>
        <w:t>. La sistematización geoespacial de estas interacciones orgánicas sentará el estándar de oro en ecoturismo, reemplazando la presunción topográfica con una prevención digital predictiva, escalable y robusta.</w:t>
      </w:r>
    </w:p>
    <w:p xmlns:wp14="http://schemas.microsoft.com/office/word/2010/wordml" w:rsidP="12F0D589" w:rsidRDefault="00000000" w14:paraId="00000075"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255" w:line="275" w:lineRule="auto"/>
        <w:rPr>
          <w:rFonts w:ascii="Google Sans" w:hAnsi="Google Sans" w:eastAsia="Google Sans" w:cs="Google Sans"/>
          <w:i w:val="1"/>
          <w:iCs w:val="1"/>
          <w:lang w:val="en-US"/>
        </w:rPr>
      </w:pPr>
      <w:r w:rsidRPr="12F0D589" w:rsidR="12F0D589">
        <w:rPr>
          <w:rFonts w:ascii="Google Sans" w:hAnsi="Google Sans" w:eastAsia="Google Sans" w:cs="Google Sans"/>
          <w:i w:val="1"/>
          <w:iCs w:val="1"/>
          <w:lang w:val="en-US"/>
        </w:rPr>
        <w:t>Este reporte tiene fines puramente informativos y analíticos dentro del ámbito académico y de desarrollo tecnológico. Para obtener asesoramiento médico, diagnóstico o evaluación clínica sobre síntomas derivados del agotamiento, riesgo de lesiones en actividades deportivas, o planes de entrenamiento, consulte siempre a un profesional de la salud cualificado.</w:t>
      </w:r>
    </w:p>
    <w:p xmlns:wp14="http://schemas.microsoft.com/office/word/2010/wordml" w:rsidP="12F0D589" w:rsidRDefault="00000000" w14:paraId="00000076" wp14:textId="77777777">
      <w:pPr>
        <w:pStyle w:val="Heading4"/>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lineRule="auto"/>
        <w:rPr>
          <w:rFonts w:ascii="Google Sans" w:hAnsi="Google Sans" w:eastAsia="Google Sans" w:cs="Google Sans"/>
          <w:lang w:val="en-US"/>
        </w:rPr>
      </w:pPr>
      <w:r w:rsidRPr="12F0D589" w:rsidR="12F0D589">
        <w:rPr>
          <w:rFonts w:ascii="Google Sans" w:hAnsi="Google Sans" w:eastAsia="Google Sans" w:cs="Google Sans"/>
          <w:lang w:val="en-US"/>
        </w:rPr>
        <w:t>Fuentes citadas</w:t>
      </w:r>
    </w:p>
    <w:p xmlns:wp14="http://schemas.microsoft.com/office/word/2010/wordml" w:rsidP="12F0D589" w:rsidRDefault="00000000" w14:paraId="00000077"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PostGIS, </w:t>
      </w:r>
      <w:hyperlink r:id="R0483636f4f35458c">
        <w:r w:rsidRPr="12F0D589" w:rsidR="12F0D589">
          <w:rPr>
            <w:rFonts w:ascii="Google Sans" w:hAnsi="Google Sans" w:eastAsia="Google Sans" w:cs="Google Sans"/>
            <w:color w:val="0000EE"/>
            <w:sz w:val="24"/>
            <w:szCs w:val="24"/>
            <w:u w:val="single"/>
            <w:lang w:val="en-US"/>
          </w:rPr>
          <w:t>https://postgis.net/</w:t>
        </w:r>
      </w:hyperlink>
      <w:r>
        <w:rPr>
          <w:rtl w:val="0"/>
        </w:rPr>
      </w:r>
    </w:p>
    <w:p xmlns:wp14="http://schemas.microsoft.com/office/word/2010/wordml" w:rsidP="12F0D589" w:rsidRDefault="00000000" w14:paraId="00000078"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The Modern Geospatial Stack: From PostGIS to GeoAI | by Oleg - Medium, </w:t>
      </w:r>
      <w:hyperlink r:id="R7d69a2ef9a574bd0">
        <w:r w:rsidRPr="12F0D589" w:rsidR="12F0D589">
          <w:rPr>
            <w:rFonts w:ascii="Google Sans" w:hAnsi="Google Sans" w:eastAsia="Google Sans" w:cs="Google Sans"/>
            <w:color w:val="0000EE"/>
            <w:sz w:val="24"/>
            <w:szCs w:val="24"/>
            <w:u w:val="single"/>
            <w:lang w:val="en-US"/>
          </w:rPr>
          <w:t>https://medium.com/@KilgortTrout/the-modern-geospatial-stack-from-postgis-to-geoai-fcea95b311ca</w:t>
        </w:r>
      </w:hyperlink>
      <w:r>
        <w:rPr>
          <w:rtl w:val="0"/>
        </w:rPr>
      </w:r>
    </w:p>
    <w:p xmlns:wp14="http://schemas.microsoft.com/office/word/2010/wordml" w:rsidP="12F0D589" w:rsidRDefault="00000000" w14:paraId="00000079"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Dynamic shortest route finder using pgRouting for emergency management - ResearchGate, </w:t>
      </w:r>
      <w:hyperlink r:id="R5d027231f3ca4a54">
        <w:r w:rsidRPr="12F0D589" w:rsidR="12F0D589">
          <w:rPr>
            <w:rFonts w:ascii="Google Sans" w:hAnsi="Google Sans" w:eastAsia="Google Sans" w:cs="Google Sans"/>
            <w:color w:val="0000EE"/>
            <w:sz w:val="24"/>
            <w:szCs w:val="24"/>
            <w:u w:val="single"/>
            <w:lang w:val="en-US"/>
          </w:rPr>
          <w:t>https://www.researchgate.net/publication/280563940_Dynamic_shortest_route_finder_using_pgRouting_for_emergency_management</w:t>
        </w:r>
      </w:hyperlink>
      <w:r>
        <w:rPr>
          <w:rtl w:val="0"/>
        </w:rPr>
      </w:r>
    </w:p>
    <w:p xmlns:wp14="http://schemas.microsoft.com/office/word/2010/wordml" w:rsidRDefault="00000000" w14:paraId="0000007A"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Irtenkauf_596B_20140430.docx - Geospatial Student Handbook, </w:t>
      </w:r>
      <w:hyperlink r:id="rId38">
        <w:r>
          <w:rPr>
            <w:rFonts w:ascii="Google Sans" w:hAnsi="Google Sans" w:eastAsia="Google Sans" w:cs="Google Sans"/>
            <w:color w:val="0000ee"/>
            <w:sz w:val="24"/>
            <w:szCs w:val="24"/>
            <w:u w:val="single"/>
            <w:rtl w:val="0"/>
          </w:rPr>
          <w:t xml:space="preserve">https://handbook.geospatial.psu.edu/sites/default/files/capstone/Irtenkauf_596B_20140430.docx</w:t>
        </w:r>
      </w:hyperlink>
      <w:r>
        <w:rPr>
          <w:rtl w:val="0"/>
        </w:rPr>
      </w:r>
    </w:p>
    <w:p xmlns:wp14="http://schemas.microsoft.com/office/word/2010/wordml" w:rsidRDefault="00000000" w14:paraId="0000007B"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Energy cost of walking and running at extreme uphill and downhill slopes - PubMed, </w:t>
      </w:r>
      <w:hyperlink r:id="rId39">
        <w:r>
          <w:rPr>
            <w:rFonts w:ascii="Google Sans" w:hAnsi="Google Sans" w:eastAsia="Google Sans" w:cs="Google Sans"/>
            <w:color w:val="0000ee"/>
            <w:sz w:val="24"/>
            <w:szCs w:val="24"/>
            <w:u w:val="single"/>
            <w:rtl w:val="0"/>
          </w:rPr>
          <w:t xml:space="preserve">https://pubmed.ncbi.nlm.nih.gov/12183501/</w:t>
        </w:r>
      </w:hyperlink>
      <w:r>
        <w:rPr>
          <w:rtl w:val="0"/>
        </w:rPr>
      </w:r>
    </w:p>
    <w:p xmlns:wp14="http://schemas.microsoft.com/office/word/2010/wordml" w:rsidRDefault="00000000" w14:paraId="0000007C"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Energy cost of walking and running at extreme uphill and downhill slopes - American Physiological Society Journal, </w:t>
      </w:r>
      <w:hyperlink r:id="rId40">
        <w:r>
          <w:rPr>
            <w:rFonts w:ascii="Google Sans" w:hAnsi="Google Sans" w:eastAsia="Google Sans" w:cs="Google Sans"/>
            <w:color w:val="0000ee"/>
            <w:sz w:val="24"/>
            <w:szCs w:val="24"/>
            <w:u w:val="single"/>
            <w:rtl w:val="0"/>
          </w:rPr>
          <w:t xml:space="preserve">https://journals.physiology.org/doi/10.1152/japplphysiol.01177.2001</w:t>
        </w:r>
      </w:hyperlink>
      <w:r>
        <w:rPr>
          <w:rtl w:val="0"/>
        </w:rPr>
      </w:r>
    </w:p>
    <w:p xmlns:wp14="http://schemas.microsoft.com/office/word/2010/wordml" w:rsidRDefault="00000000" w14:paraId="0000007D"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Delineating the impacts of air temperature and humidity for endurance exercise, </w:t>
      </w:r>
      <w:hyperlink r:id="rId41">
        <w:r>
          <w:rPr>
            <w:rFonts w:ascii="Google Sans" w:hAnsi="Google Sans" w:eastAsia="Google Sans" w:cs="Google Sans"/>
            <w:color w:val="0000ee"/>
            <w:sz w:val="24"/>
            <w:szCs w:val="24"/>
            <w:u w:val="single"/>
            <w:rtl w:val="0"/>
          </w:rPr>
          <w:t xml:space="preserve">https://www.researchgate.net/publication/366444853_Delineating_the_impacts_of_air_temperature_and_humidity_for_endurance_exercise</w:t>
        </w:r>
      </w:hyperlink>
      <w:r>
        <w:rPr>
          <w:rtl w:val="0"/>
        </w:rPr>
      </w:r>
    </w:p>
    <w:p xmlns:wp14="http://schemas.microsoft.com/office/word/2010/wordml" w:rsidRDefault="00000000" w14:paraId="0000007E"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Cardiovascular Drift During Heat Stress: Implications for Exercise Prescription, </w:t>
      </w:r>
      <w:hyperlink r:id="rId42">
        <w:r>
          <w:rPr>
            <w:rFonts w:ascii="Google Sans" w:hAnsi="Google Sans" w:eastAsia="Google Sans" w:cs="Google Sans"/>
            <w:color w:val="0000ee"/>
            <w:sz w:val="24"/>
            <w:szCs w:val="24"/>
            <w:u w:val="single"/>
            <w:rtl w:val="0"/>
          </w:rPr>
          <w:t xml:space="preserve">https://www.researchgate.net/publication/221696650_Cardiovascular_Drift_During_Heat_Stress_Implications_for_Exercise_Prescription</w:t>
        </w:r>
      </w:hyperlink>
      <w:r>
        <w:rPr>
          <w:rtl w:val="0"/>
        </w:rPr>
      </w:r>
    </w:p>
    <w:p xmlns:wp14="http://schemas.microsoft.com/office/word/2010/wordml" w:rsidRDefault="00000000" w14:paraId="0000007F"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Cardiovascular Drift During Prolonged Exercise: New Perspectives | Request PDF, </w:t>
      </w:r>
      <w:hyperlink r:id="rId43">
        <w:r>
          <w:rPr>
            <w:rFonts w:ascii="Google Sans" w:hAnsi="Google Sans" w:eastAsia="Google Sans" w:cs="Google Sans"/>
            <w:color w:val="0000ee"/>
            <w:sz w:val="24"/>
            <w:szCs w:val="24"/>
            <w:u w:val="single"/>
            <w:rtl w:val="0"/>
          </w:rPr>
          <w:t xml:space="preserve">https://www.researchgate.net/publication/11998972_Cardiovascular_Drift_During_Prolonged_Exercise_New_Perspectives</w:t>
        </w:r>
      </w:hyperlink>
      <w:r>
        <w:rPr>
          <w:rtl w:val="0"/>
        </w:rPr>
      </w:r>
    </w:p>
    <w:p xmlns:wp14="http://schemas.microsoft.com/office/word/2010/wordml" w:rsidRDefault="00000000" w14:paraId="00000080"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Biomechanical Analysis of Gait in Forestry Environments: Implications for Movement Stability and Safety - Preprints.org, </w:t>
      </w:r>
      <w:hyperlink r:id="rId44">
        <w:r>
          <w:rPr>
            <w:rFonts w:ascii="Google Sans" w:hAnsi="Google Sans" w:eastAsia="Google Sans" w:cs="Google Sans"/>
            <w:color w:val="0000ee"/>
            <w:sz w:val="24"/>
            <w:szCs w:val="24"/>
            <w:u w:val="single"/>
            <w:rtl w:val="0"/>
          </w:rPr>
          <w:t xml:space="preserve">https://www.preprints.org/manuscript/202501.1704</w:t>
        </w:r>
      </w:hyperlink>
      <w:r>
        <w:rPr>
          <w:rtl w:val="0"/>
        </w:rPr>
      </w:r>
    </w:p>
    <w:p xmlns:wp14="http://schemas.microsoft.com/office/word/2010/wordml" w:rsidRDefault="00000000" w14:paraId="00000081"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Classifying Lower Extremity Muscle Fatigue during Walking using Machine Learning and Inertial Sensors - PMC, </w:t>
      </w:r>
      <w:hyperlink r:id="rId45">
        <w:r>
          <w:rPr>
            <w:rFonts w:ascii="Google Sans" w:hAnsi="Google Sans" w:eastAsia="Google Sans" w:cs="Google Sans"/>
            <w:color w:val="0000ee"/>
            <w:sz w:val="24"/>
            <w:szCs w:val="24"/>
            <w:u w:val="single"/>
            <w:rtl w:val="0"/>
          </w:rPr>
          <w:t xml:space="preserve">https://pmc.ncbi.nlm.nih.gov/articles/PMC3943497/</w:t>
        </w:r>
      </w:hyperlink>
      <w:r>
        <w:rPr>
          <w:rtl w:val="0"/>
        </w:rPr>
      </w:r>
    </w:p>
    <w:p xmlns:wp14="http://schemas.microsoft.com/office/word/2010/wordml" w:rsidRDefault="00000000" w14:paraId="00000082"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SLIPS AND FALLS - ASU Engineering, </w:t>
      </w:r>
      <w:hyperlink r:id="rId46">
        <w:r>
          <w:rPr>
            <w:rFonts w:ascii="Google Sans" w:hAnsi="Google Sans" w:eastAsia="Google Sans" w:cs="Google Sans"/>
            <w:color w:val="0000ee"/>
            <w:sz w:val="24"/>
            <w:szCs w:val="24"/>
            <w:u w:val="single"/>
            <w:rtl w:val="0"/>
          </w:rPr>
          <w:t xml:space="preserve">https://labs.engineering.asu.edu/lockhart/wp-content/uploads/sites/13/2016/04/APA-HHS_v1-c14_WM.pdf</w:t>
        </w:r>
      </w:hyperlink>
      <w:r>
        <w:rPr>
          <w:rtl w:val="0"/>
        </w:rPr>
      </w:r>
    </w:p>
    <w:p xmlns:wp14="http://schemas.microsoft.com/office/word/2010/wordml" w:rsidP="12F0D589" w:rsidRDefault="00000000" w14:paraId="00000083"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Implementation of Dynamic Routing as a Web Service for Emergency Routing Decision Planning - SciSpace, </w:t>
      </w:r>
      <w:hyperlink r:id="Ra6a43ed0ece04869">
        <w:r w:rsidRPr="12F0D589" w:rsidR="12F0D589">
          <w:rPr>
            <w:rFonts w:ascii="Google Sans" w:hAnsi="Google Sans" w:eastAsia="Google Sans" w:cs="Google Sans"/>
            <w:color w:val="0000EE"/>
            <w:sz w:val="24"/>
            <w:szCs w:val="24"/>
            <w:u w:val="single"/>
            <w:lang w:val="en-US"/>
          </w:rPr>
          <w:t>https://scispace.com/pdf/implementation-of-dynamic-routing-as-a-web-service-for-330m7oti9x.pdf</w:t>
        </w:r>
      </w:hyperlink>
      <w:r>
        <w:rPr>
          <w:rtl w:val="0"/>
        </w:rPr>
      </w:r>
    </w:p>
    <w:p xmlns:wp14="http://schemas.microsoft.com/office/word/2010/wordml" w:rsidRDefault="00000000" w14:paraId="00000084"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Tutorial Booklet - Boston GIS, </w:t>
      </w:r>
      <w:hyperlink r:id="rId48">
        <w:r>
          <w:rPr>
            <w:rFonts w:ascii="Google Sans" w:hAnsi="Google Sans" w:eastAsia="Google Sans" w:cs="Google Sans"/>
            <w:color w:val="0000ee"/>
            <w:sz w:val="24"/>
            <w:szCs w:val="24"/>
            <w:u w:val="single"/>
            <w:rtl w:val="0"/>
          </w:rPr>
          <w:t xml:space="preserve">http://www.bostongis.com/tutbook.aspx</w:t>
        </w:r>
      </w:hyperlink>
      <w:r>
        <w:rPr>
          <w:rtl w:val="0"/>
        </w:rPr>
      </w:r>
    </w:p>
    <w:p xmlns:wp14="http://schemas.microsoft.com/office/word/2010/wordml" w:rsidRDefault="00000000" w14:paraId="00000085"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Naismith's rule - Wikipedia, </w:t>
      </w:r>
      <w:hyperlink r:id="rId49">
        <w:r>
          <w:rPr>
            <w:rFonts w:ascii="Google Sans" w:hAnsi="Google Sans" w:eastAsia="Google Sans" w:cs="Google Sans"/>
            <w:color w:val="0000ee"/>
            <w:sz w:val="24"/>
            <w:szCs w:val="24"/>
            <w:u w:val="single"/>
            <w:rtl w:val="0"/>
          </w:rPr>
          <w:t xml:space="preserve">https://en.wikipedia.org/wiki/Naismith%27s_rule</w:t>
        </w:r>
      </w:hyperlink>
      <w:r>
        <w:rPr>
          <w:rtl w:val="0"/>
        </w:rPr>
      </w:r>
    </w:p>
    <w:p xmlns:wp14="http://schemas.microsoft.com/office/word/2010/wordml" w:rsidRDefault="00000000" w14:paraId="00000086"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Improved prediction of hiking speeds using a data driven approach - PMC, </w:t>
      </w:r>
      <w:hyperlink r:id="rId50">
        <w:r>
          <w:rPr>
            <w:rFonts w:ascii="Google Sans" w:hAnsi="Google Sans" w:eastAsia="Google Sans" w:cs="Google Sans"/>
            <w:color w:val="0000ee"/>
            <w:sz w:val="24"/>
            <w:szCs w:val="24"/>
            <w:u w:val="single"/>
            <w:rtl w:val="0"/>
          </w:rPr>
          <w:t xml:space="preserve">https://pmc.ncbi.nlm.nih.gov/articles/PMC10727444/</w:t>
        </w:r>
      </w:hyperlink>
      <w:r>
        <w:rPr>
          <w:rtl w:val="0"/>
        </w:rPr>
      </w:r>
    </w:p>
    <w:p xmlns:wp14="http://schemas.microsoft.com/office/word/2010/wordml" w:rsidP="12F0D589" w:rsidRDefault="00000000" w14:paraId="00000087"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Book Time vs. Naismith vs. Tobler | Hiking Time Formulas Compared | HikeClock, </w:t>
      </w:r>
      <w:hyperlink r:id="R525b144588c54004">
        <w:r w:rsidRPr="12F0D589" w:rsidR="12F0D589">
          <w:rPr>
            <w:rFonts w:ascii="Google Sans" w:hAnsi="Google Sans" w:eastAsia="Google Sans" w:cs="Google Sans"/>
            <w:color w:val="0000EE"/>
            <w:sz w:val="24"/>
            <w:szCs w:val="24"/>
            <w:u w:val="single"/>
            <w:lang w:val="en-US"/>
          </w:rPr>
          <w:t>https://www.hikeclock.com/learn/book-time</w:t>
        </w:r>
      </w:hyperlink>
      <w:r>
        <w:rPr>
          <w:rtl w:val="0"/>
        </w:rPr>
      </w:r>
    </w:p>
    <w:p xmlns:wp14="http://schemas.microsoft.com/office/word/2010/wordml" w:rsidRDefault="00000000" w14:paraId="00000088"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Improved prediction of hiking speeds using a data driven approach | PLOS One, </w:t>
      </w:r>
      <w:hyperlink r:id="rId52">
        <w:r>
          <w:rPr>
            <w:rFonts w:ascii="Google Sans" w:hAnsi="Google Sans" w:eastAsia="Google Sans" w:cs="Google Sans"/>
            <w:color w:val="0000ee"/>
            <w:sz w:val="24"/>
            <w:szCs w:val="24"/>
            <w:u w:val="single"/>
            <w:rtl w:val="0"/>
          </w:rPr>
          <w:t xml:space="preserve">https://journals.plos.org/plosone/article?id=10.1371/journal.pone.0295848</w:t>
        </w:r>
      </w:hyperlink>
      <w:r>
        <w:rPr>
          <w:rtl w:val="0"/>
        </w:rPr>
      </w:r>
    </w:p>
    <w:p xmlns:wp14="http://schemas.microsoft.com/office/word/2010/wordml" w:rsidRDefault="00000000" w14:paraId="00000089"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Hiking Time Calculator, </w:t>
      </w:r>
      <w:hyperlink r:id="rId53">
        <w:r>
          <w:rPr>
            <w:rFonts w:ascii="Google Sans" w:hAnsi="Google Sans" w:eastAsia="Google Sans" w:cs="Google Sans"/>
            <w:color w:val="0000ee"/>
            <w:sz w:val="24"/>
            <w:szCs w:val="24"/>
            <w:u w:val="single"/>
            <w:rtl w:val="0"/>
          </w:rPr>
          <w:t xml:space="preserve">https://www.hikeclock.com/</w:t>
        </w:r>
      </w:hyperlink>
      <w:r>
        <w:rPr>
          <w:rtl w:val="0"/>
        </w:rPr>
      </w:r>
    </w:p>
    <w:p xmlns:wp14="http://schemas.microsoft.com/office/word/2010/wordml" w:rsidRDefault="00000000" w14:paraId="0000008A"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Tobler's hiking function - Wikipedia, </w:t>
      </w:r>
      <w:hyperlink r:id="rId54">
        <w:r>
          <w:rPr>
            <w:rFonts w:ascii="Google Sans" w:hAnsi="Google Sans" w:eastAsia="Google Sans" w:cs="Google Sans"/>
            <w:color w:val="0000ee"/>
            <w:sz w:val="24"/>
            <w:szCs w:val="24"/>
            <w:u w:val="single"/>
            <w:rtl w:val="0"/>
          </w:rPr>
          <w:t xml:space="preserve">https://en.wikipedia.org/wiki/Tobler%27s_hiking_function</w:t>
        </w:r>
      </w:hyperlink>
      <w:r>
        <w:rPr>
          <w:rtl w:val="0"/>
        </w:rPr>
      </w:r>
    </w:p>
    <w:p xmlns:wp14="http://schemas.microsoft.com/office/word/2010/wordml" w:rsidRDefault="00000000" w14:paraId="0000008B"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Hiking with Tobler: Tracking Movement and Calibrating a Cost Function for Personalized 3D Accessibility | Published in Findings, </w:t>
      </w:r>
      <w:hyperlink r:id="rId55">
        <w:r>
          <w:rPr>
            <w:rFonts w:ascii="Google Sans" w:hAnsi="Google Sans" w:eastAsia="Google Sans" w:cs="Google Sans"/>
            <w:color w:val="0000ee"/>
            <w:sz w:val="24"/>
            <w:szCs w:val="24"/>
            <w:u w:val="single"/>
            <w:rtl w:val="0"/>
          </w:rPr>
          <w:t xml:space="preserve">https://findingspress.org/article/28107-hiking-with-tobler-tracking-movement-and-calibrating-a-cost-function-for-personalized-3d-accessibility</w:t>
        </w:r>
      </w:hyperlink>
      <w:r>
        <w:rPr>
          <w:rtl w:val="0"/>
        </w:rPr>
      </w:r>
    </w:p>
    <w:p xmlns:wp14="http://schemas.microsoft.com/office/word/2010/wordml" w:rsidRDefault="00000000" w14:paraId="0000008C"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Optimal Human Navigation in Steep Terrain: a Hamilton-Jacobi-Bellman Approach - UCLA Mathematics, </w:t>
      </w:r>
      <w:hyperlink r:id="rId56">
        <w:r>
          <w:rPr>
            <w:rFonts w:ascii="Google Sans" w:hAnsi="Google Sans" w:eastAsia="Google Sans" w:cs="Google Sans"/>
            <w:color w:val="0000ee"/>
            <w:sz w:val="24"/>
            <w:szCs w:val="24"/>
            <w:u w:val="single"/>
            <w:rtl w:val="0"/>
          </w:rPr>
          <w:t xml:space="preserve">https://ww3.math.ucla.edu/camreport/cam18-27.pdf</w:t>
        </w:r>
      </w:hyperlink>
      <w:r>
        <w:rPr>
          <w:rtl w:val="0"/>
        </w:rPr>
      </w:r>
    </w:p>
    <w:p xmlns:wp14="http://schemas.microsoft.com/office/word/2010/wordml" w:rsidP="12F0D589" w:rsidRDefault="00000000" w14:paraId="0000008D"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Existing functions used to calculate walking speed Naismith's rule [5],... - ResearchGate, </w:t>
      </w:r>
      <w:hyperlink r:id="R0018974d35094bc1">
        <w:r w:rsidRPr="12F0D589" w:rsidR="12F0D589">
          <w:rPr>
            <w:rFonts w:ascii="Google Sans" w:hAnsi="Google Sans" w:eastAsia="Google Sans" w:cs="Google Sans"/>
            <w:color w:val="0000EE"/>
            <w:sz w:val="24"/>
            <w:szCs w:val="24"/>
            <w:u w:val="single"/>
            <w:lang w:val="en-US"/>
          </w:rPr>
          <w:t>https://www.researchgate.net/figure/Existing-functions-used-to-calculate-walking-speed-Naismiths-rule-5-Toblers-hiking_fig1_376634004</w:t>
        </w:r>
      </w:hyperlink>
      <w:r>
        <w:rPr>
          <w:rtl w:val="0"/>
        </w:rPr>
      </w:r>
    </w:p>
    <w:p xmlns:wp14="http://schemas.microsoft.com/office/word/2010/wordml" w:rsidRDefault="00000000" w14:paraId="0000008E"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Full article: Machine learning estimation of off-trail pedestrian travel rates using LiDAR-derived slope, vegetation, and surface roughness - Taylor &amp; Francis, </w:t>
      </w:r>
      <w:hyperlink r:id="rId58">
        <w:r>
          <w:rPr>
            <w:rFonts w:ascii="Google Sans" w:hAnsi="Google Sans" w:eastAsia="Google Sans" w:cs="Google Sans"/>
            <w:color w:val="0000ee"/>
            <w:sz w:val="24"/>
            <w:szCs w:val="24"/>
            <w:u w:val="single"/>
            <w:rtl w:val="0"/>
          </w:rPr>
          <w:t xml:space="preserve">https://www.tandfonline.com/doi/full/10.1080/15481603.2026.2626632</w:t>
        </w:r>
      </w:hyperlink>
      <w:r>
        <w:rPr>
          <w:rtl w:val="0"/>
        </w:rPr>
      </w:r>
    </w:p>
    <w:p xmlns:wp14="http://schemas.microsoft.com/office/word/2010/wordml" w:rsidRDefault="00000000" w14:paraId="0000008F"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Predicting the variability in pedestrian travel rates and times using crowdsourced GPS data - USDA Forest Service, </w:t>
      </w:r>
      <w:hyperlink r:id="rId59">
        <w:r>
          <w:rPr>
            <w:rFonts w:ascii="Google Sans" w:hAnsi="Google Sans" w:eastAsia="Google Sans" w:cs="Google Sans"/>
            <w:color w:val="0000ee"/>
            <w:sz w:val="24"/>
            <w:szCs w:val="24"/>
            <w:u w:val="single"/>
            <w:rtl w:val="0"/>
          </w:rPr>
          <w:t xml:space="preserve">https://www.fs.usda.gov/rm/pubs_journals/2022/rmrs_2022_campbell_m001.pdf</w:t>
        </w:r>
      </w:hyperlink>
      <w:r>
        <w:rPr>
          <w:rtl w:val="0"/>
        </w:rPr>
      </w:r>
    </w:p>
    <w:p xmlns:wp14="http://schemas.microsoft.com/office/word/2010/wordml" w:rsidRDefault="00000000" w14:paraId="00000090"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Measuring and modeling the speed of human navigation | Request PDF - ResearchGate, </w:t>
      </w:r>
      <w:hyperlink r:id="rId60">
        <w:r>
          <w:rPr>
            <w:rFonts w:ascii="Google Sans" w:hAnsi="Google Sans" w:eastAsia="Google Sans" w:cs="Google Sans"/>
            <w:color w:val="0000ee"/>
            <w:sz w:val="24"/>
            <w:szCs w:val="24"/>
            <w:u w:val="single"/>
            <w:rtl w:val="0"/>
          </w:rPr>
          <w:t xml:space="preserve">https://www.researchgate.net/publication/322199303_Measuring_and_modeling_the_speed_of_human_navigation</w:t>
        </w:r>
      </w:hyperlink>
      <w:r>
        <w:rPr>
          <w:rtl w:val="0"/>
        </w:rPr>
      </w:r>
    </w:p>
    <w:p xmlns:wp14="http://schemas.microsoft.com/office/word/2010/wordml" w:rsidRDefault="00000000" w14:paraId="00000091"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Predicting the variability in pedestrian travel rates and times using crowdsourced GPS data - The University of Utah, </w:t>
      </w:r>
      <w:hyperlink r:id="rId61">
        <w:r>
          <w:rPr>
            <w:rFonts w:ascii="Google Sans" w:hAnsi="Google Sans" w:eastAsia="Google Sans" w:cs="Google Sans"/>
            <w:color w:val="0000ee"/>
            <w:sz w:val="24"/>
            <w:szCs w:val="24"/>
            <w:u w:val="single"/>
            <w:rtl w:val="0"/>
          </w:rPr>
          <w:t xml:space="preserve">https://content.csbs.utah.edu/~pdennison/reprints/denn/2022_Campbell_etal_CEUS.pdf</w:t>
        </w:r>
      </w:hyperlink>
      <w:r>
        <w:rPr>
          <w:rtl w:val="0"/>
        </w:rPr>
      </w:r>
    </w:p>
    <w:p xmlns:wp14="http://schemas.microsoft.com/office/word/2010/wordml" w:rsidP="12F0D589" w:rsidRDefault="00000000" w14:paraId="00000092"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movecost package - RDocumentation, </w:t>
      </w:r>
      <w:hyperlink r:id="Rd726020f235c4b94">
        <w:r w:rsidRPr="12F0D589" w:rsidR="12F0D589">
          <w:rPr>
            <w:rFonts w:ascii="Google Sans" w:hAnsi="Google Sans" w:eastAsia="Google Sans" w:cs="Google Sans"/>
            <w:color w:val="0000EE"/>
            <w:sz w:val="24"/>
            <w:szCs w:val="24"/>
            <w:u w:val="single"/>
            <w:lang w:val="en-US"/>
          </w:rPr>
          <w:t>https://www.rdocumentation.org/packages/movecost/versions/0.4</w:t>
        </w:r>
      </w:hyperlink>
      <w:r>
        <w:rPr>
          <w:rtl w:val="0"/>
        </w:rPr>
      </w:r>
    </w:p>
    <w:p xmlns:wp14="http://schemas.microsoft.com/office/word/2010/wordml" w:rsidP="12F0D589" w:rsidRDefault="00000000" w14:paraId="00000093"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Package 'movecost' - Namibia University of Science and Technology - Mirrors, </w:t>
      </w:r>
      <w:hyperlink r:id="Re39affd926ba4738">
        <w:r w:rsidRPr="12F0D589" w:rsidR="12F0D589">
          <w:rPr>
            <w:rFonts w:ascii="Google Sans" w:hAnsi="Google Sans" w:eastAsia="Google Sans" w:cs="Google Sans"/>
            <w:color w:val="0000EE"/>
            <w:sz w:val="24"/>
            <w:szCs w:val="24"/>
            <w:u w:val="single"/>
            <w:lang w:val="en-US"/>
          </w:rPr>
          <w:t>http://download.nust.na/pub3/cran/web/packages/movecost/movecost.pdf</w:t>
        </w:r>
      </w:hyperlink>
      <w:r>
        <w:rPr>
          <w:rtl w:val="0"/>
        </w:rPr>
      </w:r>
    </w:p>
    <w:p xmlns:wp14="http://schemas.microsoft.com/office/word/2010/wordml" w:rsidP="12F0D589" w:rsidRDefault="00000000" w14:paraId="00000094"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A slow V̇O2 on-response allows comfortable adoption of aerobically unaffordable walking and running speeds on short stair ascen - AIR Unimi, </w:t>
      </w:r>
      <w:hyperlink r:id="Rc1071f68d5444225">
        <w:r w:rsidRPr="12F0D589" w:rsidR="12F0D589">
          <w:rPr>
            <w:rFonts w:ascii="Google Sans" w:hAnsi="Google Sans" w:eastAsia="Google Sans" w:cs="Google Sans"/>
            <w:color w:val="0000EE"/>
            <w:sz w:val="24"/>
            <w:szCs w:val="24"/>
            <w:u w:val="single"/>
            <w:lang w:val="en-US"/>
          </w:rPr>
          <w:t>https://air.unimi.it/retrieve/dfa8b9a3-6bf8-748b-e053-3a05fe0a3a96/Minetti%20et%20al.%202020%20-%20A%20slow%20VO2%20on-response%20allows%20comfortable%20adoption%20of%20aerobically%20unaffordable%20walking%20and%20running%20speeds%20on%20short%20stair%20ascents.pdf</w:t>
        </w:r>
      </w:hyperlink>
      <w:r>
        <w:rPr>
          <w:rtl w:val="0"/>
        </w:rPr>
      </w:r>
    </w:p>
    <w:p xmlns:wp14="http://schemas.microsoft.com/office/word/2010/wordml" w:rsidRDefault="00000000" w14:paraId="00000095"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A simple model of mechanical effects to estimate metabolic cost of human walking - PMC, </w:t>
      </w:r>
      <w:hyperlink r:id="rId65">
        <w:r>
          <w:rPr>
            <w:rFonts w:ascii="Google Sans" w:hAnsi="Google Sans" w:eastAsia="Google Sans" w:cs="Google Sans"/>
            <w:color w:val="0000ee"/>
            <w:sz w:val="24"/>
            <w:szCs w:val="24"/>
            <w:u w:val="single"/>
            <w:rtl w:val="0"/>
          </w:rPr>
          <w:t xml:space="preserve">https://pmc.ncbi.nlm.nih.gov/articles/PMC6054663/</w:t>
        </w:r>
      </w:hyperlink>
      <w:r>
        <w:rPr>
          <w:rtl w:val="0"/>
        </w:rPr>
      </w:r>
    </w:p>
    <w:p xmlns:wp14="http://schemas.microsoft.com/office/word/2010/wordml" w:rsidRDefault="00000000" w14:paraId="00000096"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Energy Cost of Walking and Running at Extreme Uphill and Downhill Slopes | Request PDF, </w:t>
      </w:r>
      <w:hyperlink r:id="rId66">
        <w:r>
          <w:rPr>
            <w:rFonts w:ascii="Google Sans" w:hAnsi="Google Sans" w:eastAsia="Google Sans" w:cs="Google Sans"/>
            <w:color w:val="0000ee"/>
            <w:sz w:val="24"/>
            <w:szCs w:val="24"/>
            <w:u w:val="single"/>
            <w:rtl w:val="0"/>
          </w:rPr>
          <w:t xml:space="preserve">https://www.researchgate.net/publication/11202969_Energy_Cost_of_Walking_and_Running_at_Extreme_Uphill_and_Downhill_Slopes</w:t>
        </w:r>
      </w:hyperlink>
      <w:r>
        <w:rPr>
          <w:rtl w:val="0"/>
        </w:rPr>
      </w:r>
    </w:p>
    <w:p xmlns:wp14="http://schemas.microsoft.com/office/word/2010/wordml" w:rsidRDefault="00000000" w14:paraId="00000097"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Effects of Hiking Downhill Using Trekking Poles while Carrying External Loads | Request PDF - ResearchGate, </w:t>
      </w:r>
      <w:hyperlink r:id="rId67">
        <w:r>
          <w:rPr>
            <w:rFonts w:ascii="Google Sans" w:hAnsi="Google Sans" w:eastAsia="Google Sans" w:cs="Google Sans"/>
            <w:color w:val="0000ee"/>
            <w:sz w:val="24"/>
            <w:szCs w:val="24"/>
            <w:u w:val="single"/>
            <w:rtl w:val="0"/>
          </w:rPr>
          <w:t xml:space="preserve">https://www.researchgate.net/publication/6582560_Effects_of_Hiking_Downhill_Using_Trekking_Poles_while_Carrying_External_Loads</w:t>
        </w:r>
      </w:hyperlink>
      <w:r>
        <w:rPr>
          <w:rtl w:val="0"/>
        </w:rPr>
      </w:r>
    </w:p>
    <w:p xmlns:wp14="http://schemas.microsoft.com/office/word/2010/wordml" w:rsidRDefault="00000000" w14:paraId="00000098"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Energy costs of walking and running uphill and downhill at extreme slopes - ResearchGate, </w:t>
      </w:r>
      <w:hyperlink r:id="rId68">
        <w:r>
          <w:rPr>
            <w:rFonts w:ascii="Google Sans" w:hAnsi="Google Sans" w:eastAsia="Google Sans" w:cs="Google Sans"/>
            <w:color w:val="0000ee"/>
            <w:sz w:val="24"/>
            <w:szCs w:val="24"/>
            <w:u w:val="single"/>
            <w:rtl w:val="0"/>
          </w:rPr>
          <w:t xml:space="preserve">https://www.researchgate.net/publication/297448415_Energy_costs_of_walking_and_running_uphill_and_downhill_at_extreme_slopes</w:t>
        </w:r>
      </w:hyperlink>
      <w:r>
        <w:rPr>
          <w:rtl w:val="0"/>
        </w:rPr>
      </w:r>
    </w:p>
    <w:p xmlns:wp14="http://schemas.microsoft.com/office/word/2010/wordml" w:rsidRDefault="00000000" w14:paraId="00000099"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COMPARATIVE ANALYSIS OF METABOLIC COST EQUATIONS: A REVIEW - Journal of Sport and Human Performance, </w:t>
      </w:r>
      <w:hyperlink r:id="rId69">
        <w:r>
          <w:rPr>
            <w:rFonts w:ascii="Google Sans" w:hAnsi="Google Sans" w:eastAsia="Google Sans" w:cs="Google Sans"/>
            <w:color w:val="0000ee"/>
            <w:sz w:val="24"/>
            <w:szCs w:val="24"/>
            <w:u w:val="single"/>
            <w:rtl w:val="0"/>
          </w:rPr>
          <w:t xml:space="preserve">https://jhp-ojs-tamucc.tdl.org/JHP/article/view/jshp.0009.2013/pdf</w:t>
        </w:r>
      </w:hyperlink>
      <w:r>
        <w:rPr>
          <w:rtl w:val="0"/>
        </w:rPr>
      </w:r>
    </w:p>
    <w:p xmlns:wp14="http://schemas.microsoft.com/office/word/2010/wordml" w:rsidRDefault="00000000" w14:paraId="0000009A"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The Effects of Walking with a Load in the Heat on Physiological Responses among Military Reserve Female Cadets - PMC, </w:t>
      </w:r>
      <w:hyperlink r:id="rId70">
        <w:r>
          <w:rPr>
            <w:rFonts w:ascii="Google Sans" w:hAnsi="Google Sans" w:eastAsia="Google Sans" w:cs="Google Sans"/>
            <w:color w:val="0000ee"/>
            <w:sz w:val="24"/>
            <w:szCs w:val="24"/>
            <w:u w:val="single"/>
            <w:rtl w:val="0"/>
          </w:rPr>
          <w:t xml:space="preserve">https://pmc.ncbi.nlm.nih.gov/articles/PMC7449320/</w:t>
        </w:r>
      </w:hyperlink>
      <w:r>
        <w:rPr>
          <w:rtl w:val="0"/>
        </w:rPr>
      </w:r>
    </w:p>
    <w:p xmlns:wp14="http://schemas.microsoft.com/office/word/2010/wordml" w:rsidRDefault="00000000" w14:paraId="0000009B"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(PDF) Cardiovascular Drift During Prolonged Exercise: New Perspectives - ResearchGate, </w:t>
      </w:r>
      <w:hyperlink r:id="rId71">
        <w:r>
          <w:rPr>
            <w:rFonts w:ascii="Google Sans" w:hAnsi="Google Sans" w:eastAsia="Google Sans" w:cs="Google Sans"/>
            <w:color w:val="0000ee"/>
            <w:sz w:val="24"/>
            <w:szCs w:val="24"/>
            <w:u w:val="single"/>
            <w:rtl w:val="0"/>
          </w:rPr>
          <w:t xml:space="preserve">https://www.researchgate.net/publication/325866529_Cardiovascular_Drift_During_Prolonged_Exercise_New_Perspectives</w:t>
        </w:r>
      </w:hyperlink>
      <w:r>
        <w:rPr>
          <w:rtl w:val="0"/>
        </w:rPr>
      </w:r>
    </w:p>
    <w:p xmlns:wp14="http://schemas.microsoft.com/office/word/2010/wordml" w:rsidRDefault="00000000" w14:paraId="0000009C"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Warm Weather Hiking | Roanoke Appalachian Trail Club, </w:t>
      </w:r>
      <w:hyperlink r:id="rId72">
        <w:r>
          <w:rPr>
            <w:rFonts w:ascii="Google Sans" w:hAnsi="Google Sans" w:eastAsia="Google Sans" w:cs="Google Sans"/>
            <w:color w:val="0000ee"/>
            <w:sz w:val="24"/>
            <w:szCs w:val="24"/>
            <w:u w:val="single"/>
            <w:rtl w:val="0"/>
          </w:rPr>
          <w:t xml:space="preserve">https://www.ratc.org/at-hiking/general-info/warm-weather-hiking/</w:t>
        </w:r>
      </w:hyperlink>
      <w:r>
        <w:rPr>
          <w:rtl w:val="0"/>
        </w:rPr>
      </w:r>
    </w:p>
    <w:p xmlns:wp14="http://schemas.microsoft.com/office/word/2010/wordml" w:rsidRDefault="00000000" w14:paraId="0000009D"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Cardiovascular Drift Is Related to Reduced Maximal Oxygen Uptake during Heat Stress | Request PDF - ResearchGate, </w:t>
      </w:r>
      <w:hyperlink r:id="rId73">
        <w:r>
          <w:rPr>
            <w:rFonts w:ascii="Google Sans" w:hAnsi="Google Sans" w:eastAsia="Google Sans" w:cs="Google Sans"/>
            <w:color w:val="0000ee"/>
            <w:sz w:val="24"/>
            <w:szCs w:val="24"/>
            <w:u w:val="single"/>
            <w:rtl w:val="0"/>
          </w:rPr>
          <w:t xml:space="preserve">https://www.researchgate.net/publication/8040993_Cardiovascular_Drift_Is_Related_to_Reduced_Maximal_Oxygen_Uptake_during_Heat_Stress</w:t>
        </w:r>
      </w:hyperlink>
      <w:r>
        <w:rPr>
          <w:rtl w:val="0"/>
        </w:rPr>
      </w:r>
    </w:p>
    <w:p xmlns:wp14="http://schemas.microsoft.com/office/word/2010/wordml" w:rsidRDefault="00000000" w14:paraId="0000009E"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Cardiovascular drift and Vo2max during cycling and walking in a temperate environment, </w:t>
      </w:r>
      <w:hyperlink r:id="rId74">
        <w:r>
          <w:rPr>
            <w:rFonts w:ascii="Google Sans" w:hAnsi="Google Sans" w:eastAsia="Google Sans" w:cs="Google Sans"/>
            <w:color w:val="0000ee"/>
            <w:sz w:val="24"/>
            <w:szCs w:val="24"/>
            <w:u w:val="single"/>
            <w:rtl w:val="0"/>
          </w:rPr>
          <w:t xml:space="preserve">https://www.researchgate.net/publication/229062758_Cardiovascular_drift_and_Vo2max_during_cycling_and_walking_in_a_temperate_environment</w:t>
        </w:r>
      </w:hyperlink>
      <w:r>
        <w:rPr>
          <w:rtl w:val="0"/>
        </w:rPr>
      </w:r>
    </w:p>
    <w:p xmlns:wp14="http://schemas.microsoft.com/office/word/2010/wordml" w:rsidRDefault="00000000" w14:paraId="0000009F"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Rethinking running biomechanics: a critical review of ground reaction forces, tibial bone loading, and the role of wearable sensors - Frontiers, </w:t>
      </w:r>
      <w:hyperlink r:id="rId75">
        <w:r>
          <w:rPr>
            <w:rFonts w:ascii="Google Sans" w:hAnsi="Google Sans" w:eastAsia="Google Sans" w:cs="Google Sans"/>
            <w:color w:val="0000ee"/>
            <w:sz w:val="24"/>
            <w:szCs w:val="24"/>
            <w:u w:val="single"/>
            <w:rtl w:val="0"/>
          </w:rPr>
          <w:t xml:space="preserve">https://www.frontiersin.org/journals/bioengineering-and-biotechnology/articles/10.3389/fbioe.2024.1377383/full</w:t>
        </w:r>
      </w:hyperlink>
      <w:r>
        <w:rPr>
          <w:rtl w:val="0"/>
        </w:rPr>
      </w:r>
    </w:p>
    <w:p xmlns:wp14="http://schemas.microsoft.com/office/word/2010/wordml" w:rsidRDefault="00000000" w14:paraId="000000A0"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Biomechanical Analysis and Mobility Improvement of Auxiliary Mobile Equipment, </w:t>
      </w:r>
      <w:hyperlink r:id="rId76">
        <w:r>
          <w:rPr>
            <w:rFonts w:ascii="Google Sans" w:hAnsi="Google Sans" w:eastAsia="Google Sans" w:cs="Google Sans"/>
            <w:color w:val="0000ee"/>
            <w:sz w:val="24"/>
            <w:szCs w:val="24"/>
            <w:u w:val="single"/>
            <w:rtl w:val="0"/>
          </w:rPr>
          <w:t xml:space="preserve">https://drpress.org/ojs/index.php/ajst/article/download/15582/15120/15582</w:t>
        </w:r>
      </w:hyperlink>
      <w:r>
        <w:rPr>
          <w:rtl w:val="0"/>
        </w:rPr>
      </w:r>
    </w:p>
    <w:p xmlns:wp14="http://schemas.microsoft.com/office/word/2010/wordml" w:rsidP="12F0D589" w:rsidRDefault="00000000" w14:paraId="000000A1"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The EFFECTS OF SPEED, GRADE AND FOOTWEAR ON KNEE ADDUCTION MOMENT AND TIBIAL SHOCK - MavMatrix, </w:t>
      </w:r>
      <w:hyperlink r:id="R29f8915d0808471e">
        <w:r w:rsidRPr="12F0D589" w:rsidR="12F0D589">
          <w:rPr>
            <w:rFonts w:ascii="Google Sans" w:hAnsi="Google Sans" w:eastAsia="Google Sans" w:cs="Google Sans"/>
            <w:color w:val="0000EE"/>
            <w:sz w:val="24"/>
            <w:szCs w:val="24"/>
            <w:u w:val="single"/>
            <w:lang w:val="en-US"/>
          </w:rPr>
          <w:t>https://mavmatrix.uta.edu/cgi/viewcontent.cgi?article=1047&amp;context=kinesiology_dissertations</w:t>
        </w:r>
      </w:hyperlink>
      <w:r>
        <w:rPr>
          <w:rtl w:val="0"/>
        </w:rPr>
      </w:r>
    </w:p>
    <w:p xmlns:wp14="http://schemas.microsoft.com/office/word/2010/wordml" w:rsidRDefault="00000000" w14:paraId="000000A2"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Adaptive gait transition in trekking pole-assisted hiking due to fatigue and staircase height elevation - PMC, </w:t>
      </w:r>
      <w:hyperlink r:id="rId78">
        <w:r>
          <w:rPr>
            <w:rFonts w:ascii="Google Sans" w:hAnsi="Google Sans" w:eastAsia="Google Sans" w:cs="Google Sans"/>
            <w:color w:val="0000ee"/>
            <w:sz w:val="24"/>
            <w:szCs w:val="24"/>
            <w:u w:val="single"/>
            <w:rtl w:val="0"/>
          </w:rPr>
          <w:t xml:space="preserve">https://pmc.ncbi.nlm.nih.gov/articles/PMC12876130/</w:t>
        </w:r>
      </w:hyperlink>
      <w:r>
        <w:rPr>
          <w:rtl w:val="0"/>
        </w:rPr>
      </w:r>
    </w:p>
    <w:p xmlns:wp14="http://schemas.microsoft.com/office/word/2010/wordml" w:rsidP="12F0D589" w:rsidRDefault="00000000" w14:paraId="000000A3"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Chapter 4. PostGIS Usage, </w:t>
      </w:r>
      <w:hyperlink r:id="Rde08fa9ddf164cce">
        <w:r w:rsidRPr="12F0D589" w:rsidR="12F0D589">
          <w:rPr>
            <w:rFonts w:ascii="Google Sans" w:hAnsi="Google Sans" w:eastAsia="Google Sans" w:cs="Google Sans"/>
            <w:color w:val="0000EE"/>
            <w:sz w:val="24"/>
            <w:szCs w:val="24"/>
            <w:u w:val="single"/>
            <w:lang w:val="en-US"/>
          </w:rPr>
          <w:t>https://postgis.net/docs/manual-3.1/postgis_usage.html</w:t>
        </w:r>
      </w:hyperlink>
      <w:r>
        <w:rPr>
          <w:rtl w:val="0"/>
        </w:rPr>
      </w:r>
    </w:p>
    <w:p xmlns:wp14="http://schemas.microsoft.com/office/word/2010/wordml" w:rsidP="12F0D589" w:rsidRDefault="00000000" w14:paraId="000000A4"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pgRouting - Nile Documentation, </w:t>
      </w:r>
      <w:hyperlink r:id="R30b11fdb3e7a48d6">
        <w:r w:rsidRPr="12F0D589" w:rsidR="12F0D589">
          <w:rPr>
            <w:rFonts w:ascii="Google Sans" w:hAnsi="Google Sans" w:eastAsia="Google Sans" w:cs="Google Sans"/>
            <w:color w:val="0000EE"/>
            <w:sz w:val="24"/>
            <w:szCs w:val="24"/>
            <w:u w:val="single"/>
            <w:lang w:val="en-US"/>
          </w:rPr>
          <w:t>https://www.thenile.dev/docs/extensions/pgrouting</w:t>
        </w:r>
      </w:hyperlink>
      <w:r>
        <w:rPr>
          <w:rtl w:val="0"/>
        </w:rPr>
      </w:r>
    </w:p>
    <w:p xmlns:wp14="http://schemas.microsoft.com/office/word/2010/wordml" w:rsidP="12F0D589" w:rsidRDefault="00000000" w14:paraId="000000A5"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sacridini/Awesome-Geospatial - GitHub, </w:t>
      </w:r>
      <w:hyperlink r:id="R328ccd7113c64994">
        <w:r w:rsidRPr="12F0D589" w:rsidR="12F0D589">
          <w:rPr>
            <w:rFonts w:ascii="Google Sans" w:hAnsi="Google Sans" w:eastAsia="Google Sans" w:cs="Google Sans"/>
            <w:color w:val="0000EE"/>
            <w:sz w:val="24"/>
            <w:szCs w:val="24"/>
            <w:u w:val="single"/>
            <w:lang w:val="en-US"/>
          </w:rPr>
          <w:t>https://github.com/sacridini/Awesome-Geospatial</w:t>
        </w:r>
      </w:hyperlink>
      <w:r>
        <w:rPr>
          <w:rtl w:val="0"/>
        </w:rPr>
      </w:r>
    </w:p>
    <w:p xmlns:wp14="http://schemas.microsoft.com/office/word/2010/wordml" w:rsidRDefault="00000000" w14:paraId="000000A6"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Route Planning with OpenStreetMap - Jakob Miksch, </w:t>
      </w:r>
      <w:hyperlink r:id="rId82">
        <w:r>
          <w:rPr>
            <w:rFonts w:ascii="Google Sans" w:hAnsi="Google Sans" w:eastAsia="Google Sans" w:cs="Google Sans"/>
            <w:color w:val="0000ee"/>
            <w:sz w:val="24"/>
            <w:szCs w:val="24"/>
            <w:u w:val="single"/>
            <w:rtl w:val="0"/>
          </w:rPr>
          <w:t xml:space="preserve">https://jakobmiksch.eu/post/openstreetmap_routing/</w:t>
        </w:r>
      </w:hyperlink>
      <w:r>
        <w:rPr>
          <w:rtl w:val="0"/>
        </w:rPr>
      </w:r>
    </w:p>
    <w:p xmlns:wp14="http://schemas.microsoft.com/office/word/2010/wordml" w:rsidRDefault="00000000" w14:paraId="000000A7"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Implementation of Dynamic Routing as a Web Service for Emergency Routing Decision Planning - ResearchGate, </w:t>
      </w:r>
      <w:hyperlink r:id="rId83">
        <w:r>
          <w:rPr>
            <w:rFonts w:ascii="Google Sans" w:hAnsi="Google Sans" w:eastAsia="Google Sans" w:cs="Google Sans"/>
            <w:color w:val="0000ee"/>
            <w:sz w:val="24"/>
            <w:szCs w:val="24"/>
            <w:u w:val="single"/>
            <w:rtl w:val="0"/>
          </w:rPr>
          <w:t xml:space="preserve">https://www.researchgate.net/publication/284725413_Implementation_of_Dynamic_Routing_as_a_Web_Service_for_Emergency_Routing_Decision_Planning</w:t>
        </w:r>
      </w:hyperlink>
      <w:r>
        <w:rPr>
          <w:rtl w:val="0"/>
        </w:rPr>
      </w:r>
    </w:p>
    <w:p xmlns:wp14="http://schemas.microsoft.com/office/word/2010/wordml" w:rsidRDefault="00000000" w14:paraId="000000A8"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Shortest path search with the dynamic cost. | Download Scientific Diagram - ResearchGate, </w:t>
      </w:r>
      <w:hyperlink r:id="rId84">
        <w:r>
          <w:rPr>
            <w:rFonts w:ascii="Google Sans" w:hAnsi="Google Sans" w:eastAsia="Google Sans" w:cs="Google Sans"/>
            <w:color w:val="0000ee"/>
            <w:sz w:val="24"/>
            <w:szCs w:val="24"/>
            <w:u w:val="single"/>
            <w:rtl w:val="0"/>
          </w:rPr>
          <w:t xml:space="preserve">https://www.researchgate.net/figure/Shortest-path-search-with-the-dynamic-cost_fig4_269987213</w:t>
        </w:r>
      </w:hyperlink>
      <w:r>
        <w:rPr>
          <w:rtl w:val="0"/>
        </w:rPr>
      </w:r>
    </w:p>
    <w:p xmlns:wp14="http://schemas.microsoft.com/office/word/2010/wordml" w:rsidRDefault="00000000" w14:paraId="000000A9"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How to Build a Map App: The Enterprise Guide to Geospatial Development, </w:t>
      </w:r>
      <w:hyperlink r:id="rId85">
        <w:r>
          <w:rPr>
            <w:rFonts w:ascii="Google Sans" w:hAnsi="Google Sans" w:eastAsia="Google Sans" w:cs="Google Sans"/>
            <w:color w:val="0000ee"/>
            <w:sz w:val="24"/>
            <w:szCs w:val="24"/>
            <w:u w:val="single"/>
            <w:rtl w:val="0"/>
          </w:rPr>
          <w:t xml:space="preserve">https://www.developers.dev/tech-talk/how-to-build-a-map-app.html</w:t>
        </w:r>
      </w:hyperlink>
      <w:r>
        <w:rPr>
          <w:rtl w:val="0"/>
        </w:rPr>
      </w:r>
    </w:p>
    <w:p xmlns:wp14="http://schemas.microsoft.com/office/word/2010/wordml" w:rsidRDefault="00000000" w14:paraId="000000AA"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Exploring the shortest route options - University of Malta, </w:t>
      </w:r>
      <w:hyperlink r:id="rId86">
        <w:r>
          <w:rPr>
            <w:rFonts w:ascii="Google Sans" w:hAnsi="Google Sans" w:eastAsia="Google Sans" w:cs="Google Sans"/>
            <w:color w:val="0000ee"/>
            <w:sz w:val="24"/>
            <w:szCs w:val="24"/>
            <w:u w:val="single"/>
            <w:rtl w:val="0"/>
          </w:rPr>
          <w:t xml:space="preserve">https://www.um.edu.mt/library/oar/bitstream/123456789/62631/1/Exploring_the_Shortest_Route_Options_App.pdf</w:t>
        </w:r>
      </w:hyperlink>
      <w:r>
        <w:rPr>
          <w:rtl w:val="0"/>
        </w:rPr>
      </w:r>
    </w:p>
    <w:p xmlns:wp14="http://schemas.microsoft.com/office/word/2010/wordml" w:rsidP="12F0D589" w:rsidRDefault="00000000" w14:paraId="000000AB"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Determinación de la capacidad de carga turística en los sitios de visita de la Reserva Nacional Allpahuayo-Mishana, Loreto, Pe - Dialnet, </w:t>
      </w:r>
      <w:hyperlink r:id="Rcf37d013eaf742a0">
        <w:r w:rsidRPr="12F0D589" w:rsidR="12F0D589">
          <w:rPr>
            <w:rFonts w:ascii="Google Sans" w:hAnsi="Google Sans" w:eastAsia="Google Sans" w:cs="Google Sans"/>
            <w:color w:val="0000EE"/>
            <w:sz w:val="24"/>
            <w:szCs w:val="24"/>
            <w:u w:val="single"/>
            <w:lang w:val="en-US"/>
          </w:rPr>
          <w:t>https://dialnet.unirioja.es/descarga/articulo/5249430.pdf</w:t>
        </w:r>
      </w:hyperlink>
      <w:r>
        <w:rPr>
          <w:rtl w:val="0"/>
        </w:rPr>
      </w:r>
    </w:p>
    <w:p xmlns:wp14="http://schemas.microsoft.com/office/word/2010/wordml" w:rsidP="12F0D589" w:rsidRDefault="00000000" w14:paraId="000000AC"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Cifuentes, M. (1992). Determinación de capacidad de carga en áreas protegidas., </w:t>
      </w:r>
      <w:hyperlink r:id="Raa9fbec06f6c4744">
        <w:r w:rsidRPr="12F0D589" w:rsidR="12F0D589">
          <w:rPr>
            <w:rFonts w:ascii="Google Sans" w:hAnsi="Google Sans" w:eastAsia="Google Sans" w:cs="Google Sans"/>
            <w:color w:val="0000EE"/>
            <w:sz w:val="24"/>
            <w:szCs w:val="24"/>
            <w:u w:val="single"/>
            <w:lang w:val="en-US"/>
          </w:rPr>
          <w:t>https://www.ucm.es/data/cont/media/www/pag-51898/1992_METODOLOG%C3%8DA%20CIFUENTES.pdf</w:t>
        </w:r>
      </w:hyperlink>
      <w:r>
        <w:rPr>
          <w:rtl w:val="0"/>
        </w:rPr>
      </w:r>
    </w:p>
    <w:p xmlns:wp14="http://schemas.microsoft.com/office/word/2010/wordml" w:rsidP="12F0D589" w:rsidRDefault="00000000" w14:paraId="000000AD"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Capacidad de Carga Turística - Senderismo Gran Canaria, </w:t>
      </w:r>
      <w:hyperlink r:id="R6f2ac209b19443b0">
        <w:r w:rsidRPr="12F0D589" w:rsidR="12F0D589">
          <w:rPr>
            <w:rFonts w:ascii="Google Sans" w:hAnsi="Google Sans" w:eastAsia="Google Sans" w:cs="Google Sans"/>
            <w:color w:val="0000EE"/>
            <w:sz w:val="24"/>
            <w:szCs w:val="24"/>
            <w:u w:val="single"/>
            <w:lang w:val="en-US"/>
          </w:rPr>
          <w:t>https://www.senderismograncanaria.com/descargas/gestion-ambiental/04_Capacidad_de_carga_turistica.pdf</w:t>
        </w:r>
      </w:hyperlink>
      <w:r>
        <w:rPr>
          <w:rtl w:val="0"/>
        </w:rPr>
      </w:r>
    </w:p>
    <w:p xmlns:wp14="http://schemas.microsoft.com/office/word/2010/wordml" w:rsidP="12F0D589" w:rsidRDefault="00000000" w14:paraId="000000AE"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Redalyc.CAPACIDAD DE CARGA EN SENDEROS TURÍSTICOS DEL CENTRO DE CULTURA PARA LA CONSERVACIÓN PIEDRA HERRADA, MÉXICO., </w:t>
      </w:r>
      <w:hyperlink r:id="Rca23e9c0c69f4305">
        <w:r w:rsidRPr="12F0D589" w:rsidR="12F0D589">
          <w:rPr>
            <w:rFonts w:ascii="Google Sans" w:hAnsi="Google Sans" w:eastAsia="Google Sans" w:cs="Google Sans"/>
            <w:color w:val="0000EE"/>
            <w:sz w:val="24"/>
            <w:szCs w:val="24"/>
            <w:u w:val="single"/>
            <w:lang w:val="en-US"/>
          </w:rPr>
          <w:t>https://www.redalyc.org/pdf/401/40119956005.pdf</w:t>
        </w:r>
      </w:hyperlink>
      <w:r>
        <w:rPr>
          <w:rtl w:val="0"/>
        </w:rPr>
      </w:r>
    </w:p>
    <w:p xmlns:wp14="http://schemas.microsoft.com/office/word/2010/wordml" w:rsidP="12F0D589" w:rsidRDefault="00000000" w14:paraId="000000AF"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Cálculo de la capacidad de carga y capacidad de acogida turística multicriterio para la reserva biológica El Encenillo, Guasca, Cundinamarca, Colombia, </w:t>
      </w:r>
      <w:hyperlink r:id="Rcf3c7a5591514504">
        <w:r w:rsidRPr="12F0D589" w:rsidR="12F0D589">
          <w:rPr>
            <w:rFonts w:ascii="Google Sans" w:hAnsi="Google Sans" w:eastAsia="Google Sans" w:cs="Google Sans"/>
            <w:color w:val="0000EE"/>
            <w:sz w:val="24"/>
            <w:szCs w:val="24"/>
            <w:u w:val="single"/>
            <w:lang w:val="en-US"/>
          </w:rPr>
          <w:t>https://investigacionesturisticas.ua.es/article/view/15145/pdf</w:t>
        </w:r>
      </w:hyperlink>
      <w:r>
        <w:rPr>
          <w:rtl w:val="0"/>
        </w:rPr>
      </w:r>
    </w:p>
    <w:p xmlns:wp14="http://schemas.microsoft.com/office/word/2010/wordml" w:rsidP="12F0D589" w:rsidRDefault="00000000" w14:paraId="000000B0"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Qué es el MIDE? - Picos de Europa León, </w:t>
      </w:r>
      <w:hyperlink r:id="R8a2746824f124aa7">
        <w:r w:rsidRPr="12F0D589" w:rsidR="12F0D589">
          <w:rPr>
            <w:rFonts w:ascii="Google Sans" w:hAnsi="Google Sans" w:eastAsia="Google Sans" w:cs="Google Sans"/>
            <w:color w:val="0000EE"/>
            <w:sz w:val="24"/>
            <w:szCs w:val="24"/>
            <w:u w:val="single"/>
            <w:lang w:val="en-US"/>
          </w:rPr>
          <w:t>https://www.picosdeeuropaleon.com/que-es-el-mide/</w:t>
        </w:r>
      </w:hyperlink>
      <w:r>
        <w:rPr>
          <w:rtl w:val="0"/>
        </w:rPr>
      </w:r>
    </w:p>
    <w:p xmlns:wp14="http://schemas.microsoft.com/office/word/2010/wordml" w:rsidP="12F0D589" w:rsidRDefault="00000000" w14:paraId="000000B1"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MIDE( Método para información de excursiones) - Montaña Segura, </w:t>
      </w:r>
      <w:hyperlink r:id="R5b242cf417d0416e">
        <w:r w:rsidRPr="12F0D589" w:rsidR="12F0D589">
          <w:rPr>
            <w:rFonts w:ascii="Google Sans" w:hAnsi="Google Sans" w:eastAsia="Google Sans" w:cs="Google Sans"/>
            <w:color w:val="0000EE"/>
            <w:sz w:val="24"/>
            <w:szCs w:val="24"/>
            <w:u w:val="single"/>
            <w:lang w:val="en-US"/>
          </w:rPr>
          <w:t>https://montanasegura.com/MIDE/manualMIDE.pdf</w:t>
        </w:r>
      </w:hyperlink>
      <w:r>
        <w:rPr>
          <w:rtl w:val="0"/>
        </w:rPr>
      </w:r>
    </w:p>
    <w:p xmlns:wp14="http://schemas.microsoft.com/office/word/2010/wordml" w:rsidP="12F0D589" w:rsidRDefault="00000000" w14:paraId="000000B2"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El Método MIDE - Valora la Ruta que vas a hacer con el MIDE - Atrochando, </w:t>
      </w:r>
      <w:hyperlink r:id="R9007205373984353">
        <w:r w:rsidRPr="12F0D589" w:rsidR="12F0D589">
          <w:rPr>
            <w:rFonts w:ascii="Google Sans" w:hAnsi="Google Sans" w:eastAsia="Google Sans" w:cs="Google Sans"/>
            <w:color w:val="0000EE"/>
            <w:sz w:val="24"/>
            <w:szCs w:val="24"/>
            <w:u w:val="single"/>
            <w:lang w:val="en-US"/>
          </w:rPr>
          <w:t>https://atrochando.com/el-metodo-mide/</w:t>
        </w:r>
      </w:hyperlink>
      <w:r>
        <w:rPr>
          <w:rtl w:val="0"/>
        </w:rPr>
      </w:r>
    </w:p>
    <w:p xmlns:wp14="http://schemas.microsoft.com/office/word/2010/wordml" w:rsidP="12F0D589" w:rsidRDefault="00000000" w14:paraId="000000B3"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MIDE ¿Qué es? y ¿Cómo funciona? · Senditur sendas rutas y turismo, </w:t>
      </w:r>
      <w:hyperlink r:id="R6835c83f3f2d499b">
        <w:r w:rsidRPr="12F0D589" w:rsidR="12F0D589">
          <w:rPr>
            <w:rFonts w:ascii="Google Sans" w:hAnsi="Google Sans" w:eastAsia="Google Sans" w:cs="Google Sans"/>
            <w:color w:val="0000EE"/>
            <w:sz w:val="24"/>
            <w:szCs w:val="24"/>
            <w:u w:val="single"/>
            <w:lang w:val="en-US"/>
          </w:rPr>
          <w:t>https://www.senditur.com/es/blog/mide-que-es-y-como-funciona/</w:t>
        </w:r>
      </w:hyperlink>
      <w:r>
        <w:rPr>
          <w:rtl w:val="0"/>
        </w:rPr>
      </w:r>
    </w:p>
    <w:p xmlns:wp14="http://schemas.microsoft.com/office/word/2010/wordml" w:rsidP="12F0D589" w:rsidRDefault="00000000" w14:paraId="000000B4"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Las 15 mejores rutas de trekking en Costa Rica - Matador Network, </w:t>
      </w:r>
      <w:hyperlink r:id="Re88e166db9af4803">
        <w:r w:rsidRPr="12F0D589" w:rsidR="12F0D589">
          <w:rPr>
            <w:rFonts w:ascii="Google Sans" w:hAnsi="Google Sans" w:eastAsia="Google Sans" w:cs="Google Sans"/>
            <w:color w:val="0000EE"/>
            <w:sz w:val="24"/>
            <w:szCs w:val="24"/>
            <w:u w:val="single"/>
            <w:lang w:val="en-US"/>
          </w:rPr>
          <w:t>https://matadornetwork.com/es/rutas-de-trekking-en-costa-rica/</w:t>
        </w:r>
      </w:hyperlink>
      <w:r>
        <w:rPr>
          <w:rtl w:val="0"/>
        </w:rPr>
      </w:r>
    </w:p>
    <w:p xmlns:wp14="http://schemas.microsoft.com/office/word/2010/wordml" w:rsidP="12F0D589" w:rsidRDefault="00000000" w14:paraId="000000B5"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Trekking y ecoturismo en Costa Rica - Naturtrek, </w:t>
      </w:r>
      <w:hyperlink r:id="R653042e981964494">
        <w:r w:rsidRPr="12F0D589" w:rsidR="12F0D589">
          <w:rPr>
            <w:rFonts w:ascii="Google Sans" w:hAnsi="Google Sans" w:eastAsia="Google Sans" w:cs="Google Sans"/>
            <w:color w:val="0000EE"/>
            <w:sz w:val="24"/>
            <w:szCs w:val="24"/>
            <w:u w:val="single"/>
            <w:lang w:val="en-US"/>
          </w:rPr>
          <w:t>https://naturtrek.com/trekking-y-ecoturismo-en-costa-rica/</w:t>
        </w:r>
      </w:hyperlink>
      <w:r>
        <w:rPr>
          <w:rtl w:val="0"/>
        </w:rPr>
      </w:r>
    </w:p>
    <w:p xmlns:wp14="http://schemas.microsoft.com/office/word/2010/wordml" w:rsidP="12F0D589" w:rsidRDefault="00000000" w14:paraId="000000B6"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Senderismo en Costa Rica y Nicaragua por Explore! con 8 reseñas del circuito (Code - TourRadar, </w:t>
      </w:r>
      <w:hyperlink r:id="R57317609944242b9">
        <w:r w:rsidRPr="12F0D589" w:rsidR="12F0D589">
          <w:rPr>
            <w:rFonts w:ascii="Google Sans" w:hAnsi="Google Sans" w:eastAsia="Google Sans" w:cs="Google Sans"/>
            <w:color w:val="0000EE"/>
            <w:sz w:val="24"/>
            <w:szCs w:val="24"/>
            <w:u w:val="single"/>
            <w:lang w:val="en-US"/>
          </w:rPr>
          <w:t>https://www.tourradar-viajes.com/t/124747</w:t>
        </w:r>
      </w:hyperlink>
      <w:r>
        <w:rPr>
          <w:rtl w:val="0"/>
        </w:rPr>
      </w:r>
    </w:p>
    <w:p xmlns:wp14="http://schemas.microsoft.com/office/word/2010/wordml" w:rsidRDefault="00000000" w14:paraId="000000B7"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Costa Rica Travel Advisory | Travel.State.gov, </w:t>
      </w:r>
      <w:hyperlink r:id="rId99">
        <w:r>
          <w:rPr>
            <w:rFonts w:ascii="Google Sans" w:hAnsi="Google Sans" w:eastAsia="Google Sans" w:cs="Google Sans"/>
            <w:color w:val="0000ee"/>
            <w:sz w:val="24"/>
            <w:szCs w:val="24"/>
            <w:u w:val="single"/>
            <w:rtl w:val="0"/>
          </w:rPr>
          <w:t xml:space="preserve">https://travel.state.gov/en/international-travel/travel-advisories/costa-rica.html</w:t>
        </w:r>
      </w:hyperlink>
      <w:r>
        <w:rPr>
          <w:rtl w:val="0"/>
        </w:rPr>
      </w:r>
    </w:p>
    <w:p xmlns:wp14="http://schemas.microsoft.com/office/word/2010/wordml" w:rsidRDefault="00000000" w14:paraId="000000B8"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7 Rainforest Safety Tips for First-Time Hikers in Costa Rica - Mistico Hanging Bridges, </w:t>
      </w:r>
      <w:hyperlink r:id="rId100">
        <w:r>
          <w:rPr>
            <w:rFonts w:ascii="Google Sans" w:hAnsi="Google Sans" w:eastAsia="Google Sans" w:cs="Google Sans"/>
            <w:color w:val="0000ee"/>
            <w:sz w:val="24"/>
            <w:szCs w:val="24"/>
            <w:u w:val="single"/>
            <w:rtl w:val="0"/>
          </w:rPr>
          <w:t xml:space="preserve">https://misticopark.com/blog/costa-rica-travel-tips/rainforest-safety-tips-for-hikers-in-costa-rica/</w:t>
        </w:r>
      </w:hyperlink>
      <w:r>
        <w:rPr>
          <w:rtl w:val="0"/>
        </w:rPr>
      </w:r>
    </w:p>
    <w:p xmlns:wp14="http://schemas.microsoft.com/office/word/2010/wordml" w:rsidRDefault="00000000" w14:paraId="000000B9"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Travel advice and advisories for Costa Rica - Travel.gc.ca, </w:t>
      </w:r>
      <w:hyperlink r:id="rId101">
        <w:r>
          <w:rPr>
            <w:rFonts w:ascii="Google Sans" w:hAnsi="Google Sans" w:eastAsia="Google Sans" w:cs="Google Sans"/>
            <w:color w:val="0000ee"/>
            <w:sz w:val="24"/>
            <w:szCs w:val="24"/>
            <w:u w:val="single"/>
            <w:rtl w:val="0"/>
          </w:rPr>
          <w:t xml:space="preserve">https://travel.gc.ca/destinations/costa-rica</w:t>
        </w:r>
      </w:hyperlink>
      <w:r>
        <w:rPr>
          <w:rtl w:val="0"/>
        </w:rPr>
      </w:r>
    </w:p>
    <w:p xmlns:wp14="http://schemas.microsoft.com/office/word/2010/wordml" w:rsidRDefault="00000000" w14:paraId="000000BA"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(PDF) GIS in the jungle: Experiential Environmental Education (EEE) in Panama, </w:t>
      </w:r>
      <w:hyperlink r:id="rId102">
        <w:r>
          <w:rPr>
            <w:rFonts w:ascii="Google Sans" w:hAnsi="Google Sans" w:eastAsia="Google Sans" w:cs="Google Sans"/>
            <w:color w:val="0000ee"/>
            <w:sz w:val="24"/>
            <w:szCs w:val="24"/>
            <w:u w:val="single"/>
            <w:rtl w:val="0"/>
          </w:rPr>
          <w:t xml:space="preserve">https://www.researchgate.net/publication/353446752_GIS_in_the_jungle_Experiential_Environmental_Education_EEE_in_Panama</w:t>
        </w:r>
      </w:hyperlink>
      <w:r>
        <w:rPr>
          <w:rtl w:val="0"/>
        </w:rPr>
      </w:r>
    </w:p>
    <w:p xmlns:wp14="http://schemas.microsoft.com/office/word/2010/wordml" w:rsidRDefault="00000000" w14:paraId="000000BB" wp14:textId="77777777">
      <w:pPr>
        <w:numPr>
          <w:ilvl w:val="0"/>
          <w:numId w:val="3"/>
        </w:numPr>
        <w:pBdr>
          <w:top w:val="nil" w:sz="0" w:space="0"/>
          <w:left w:val="nil" w:sz="0" w:space="0"/>
          <w:bottom w:val="nil" w:sz="0" w:space="0"/>
          <w:right w:val="nil" w:sz="0" w:space="0"/>
          <w:between w:val="nil" w:sz="0" w:space="0"/>
        </w:pBdr>
        <w:shd w:val="clear" w:fill="auto"/>
        <w:ind w:left="600" w:hanging="360"/>
      </w:pPr>
      <w:r>
        <w:rPr>
          <w:rFonts w:ascii="Google Sans" w:hAnsi="Google Sans" w:eastAsia="Google Sans" w:cs="Google Sans"/>
          <w:sz w:val="24"/>
          <w:szCs w:val="24"/>
          <w:rtl w:val="0"/>
        </w:rPr>
        <w:t xml:space="preserve">Final-Report.txt - Documents &amp; Reports, </w:t>
      </w:r>
      <w:hyperlink r:id="rId103">
        <w:r>
          <w:rPr>
            <w:rFonts w:ascii="Google Sans" w:hAnsi="Google Sans" w:eastAsia="Google Sans" w:cs="Google Sans"/>
            <w:color w:val="0000ee"/>
            <w:sz w:val="24"/>
            <w:szCs w:val="24"/>
            <w:u w:val="single"/>
            <w:rtl w:val="0"/>
          </w:rPr>
          <w:t xml:space="preserve">https://documents1.worldbank.org/curated/en/867231610617174863/txt/Final-Report.txt</w:t>
        </w:r>
      </w:hyperlink>
      <w:r>
        <w:rPr>
          <w:rtl w:val="0"/>
        </w:rPr>
      </w:r>
    </w:p>
    <w:p xmlns:wp14="http://schemas.microsoft.com/office/word/2010/wordml" w:rsidP="12F0D589" w:rsidRDefault="00000000" w14:paraId="000000BC"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Parque Nacional Natural Chingaza, </w:t>
      </w:r>
      <w:hyperlink r:id="R7d9cb2a4ffff4128">
        <w:r w:rsidRPr="12F0D589" w:rsidR="12F0D589">
          <w:rPr>
            <w:rFonts w:ascii="Google Sans" w:hAnsi="Google Sans" w:eastAsia="Google Sans" w:cs="Google Sans"/>
            <w:color w:val="0000EE"/>
            <w:sz w:val="24"/>
            <w:szCs w:val="24"/>
            <w:u w:val="single"/>
            <w:lang w:val="en-US"/>
          </w:rPr>
          <w:t>https://www.parquesnacionales.gov.co/nuestros-parques/pnn-chingaza/</w:t>
        </w:r>
      </w:hyperlink>
      <w:r>
        <w:rPr>
          <w:rtl w:val="0"/>
        </w:rPr>
      </w:r>
    </w:p>
    <w:p xmlns:wp14="http://schemas.microsoft.com/office/word/2010/wordml" w:rsidP="12F0D589" w:rsidRDefault="00000000" w14:paraId="000000BD" wp14:textId="77777777">
      <w:pPr>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ind w:left="600" w:hanging="360"/>
        <w:rPr/>
      </w:pPr>
      <w:r w:rsidRPr="12F0D589" w:rsidR="12F0D589">
        <w:rPr>
          <w:rFonts w:ascii="Google Sans" w:hAnsi="Google Sans" w:eastAsia="Google Sans" w:cs="Google Sans"/>
          <w:sz w:val="24"/>
          <w:szCs w:val="24"/>
          <w:lang w:val="en-US"/>
        </w:rPr>
        <w:t xml:space="preserve">Senderismo después de los 60: rutas fáciles en Colombia para empezar sin riesgos, </w:t>
      </w:r>
      <w:hyperlink r:id="Rd7299e69d81a46f7">
        <w:r w:rsidRPr="12F0D589" w:rsidR="12F0D589">
          <w:rPr>
            <w:rFonts w:ascii="Google Sans" w:hAnsi="Google Sans" w:eastAsia="Google Sans" w:cs="Google Sans"/>
            <w:color w:val="0000EE"/>
            <w:sz w:val="24"/>
            <w:szCs w:val="24"/>
            <w:u w:val="single"/>
            <w:lang w:val="en-US"/>
          </w:rPr>
          <w:t>https://viajala.com.co/news/noticias/senderismo-despues-de-los-60-rutas-faciles-en-colombia-para-empezar-sin-riesgos-787/</w:t>
        </w:r>
      </w:hyperlink>
      <w:r>
        <w:rPr>
          <w:rtl w:val="0"/>
        </w:rPr>
      </w:r>
    </w:p>
    <w:sectPr>
      <w:pgSz w:w="12240" w:h="15840" w:orient="portrait"/>
      <w:pgMar w:top="1440" w:right="1440" w:bottom="1440" w:left="1440" w:header="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w:subsetted="0" r:id="rId1"/>
    <w:embedBold w:fontKey="{00000000-0000-0000-0000-000000000000}" w:subsetted="0" r:id="rId2"/>
    <w:embedItalic w:fontKey="{00000000-0000-0000-0000-000000000000}" w:subsetted="0" r:id="rId3"/>
    <w:embedBoldItalic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37a26d78"/>
  </w:abstractNum>
  <w:abstractNum w:abstractNumId="2">
    <w:lvl w:ilvl="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282a6918"/>
  </w:abstractNum>
  <w:abstractNum w:abstractNumId="3">
    <w:lvl w:ilvl="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4a811231"/>
  </w:abstractNum>
  <w:num w:numId="1">
    <w:abstractNumId w:val="1"/>
  </w:num>
  <w:num w:numId="2">
    <w:abstractNumId w:val="2"/>
  </w:num>
  <w:num w:numId="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72B5E0D9"/>
  <w15:docId w15:val="{EEDCF278-8E39-4B8C-9A42-4E06EE537C49}"/>
  <w:rsids>
    <w:rsidRoot w:val="12F0D589"/>
    <w:rsid w:val="12F0D589"/>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rPr>
    </w:rPrDefault>
    <w:pPrDefault>
      <w:pPr>
        <w:widowControl w:val="0"/>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val="nil" w:sz="0" w:space="0"/>
        <w:left w:val="nil" w:sz="0" w:space="0"/>
        <w:bottom w:val="nil" w:sz="0" w:space="0"/>
        <w:right w:val="nil" w:sz="0" w:space="0"/>
        <w:between w:val="nil" w:sz="0" w:space="0"/>
      </w:pBdr>
      <w:shd w:val="clear" w:fill="auto"/>
      <w:spacing w:before="240" w:after="240" w:lineRule="auto"/>
    </w:pPr>
    <w:rPr>
      <w:b w:val="1"/>
      <w:bCs w:val="1"/>
      <w:i w:val="0"/>
      <w:iCs w:val="0"/>
      <w:sz w:val="48"/>
      <w:szCs w:val="48"/>
    </w:rPr>
  </w:style>
  <w:style w:type="paragraph" w:styleId="Heading2">
    <w:name w:val="heading 2"/>
    <w:basedOn w:val="Normal"/>
    <w:next w:val="Normal"/>
    <w:pPr>
      <w:pBdr>
        <w:top w:val="nil" w:sz="0" w:space="0"/>
        <w:left w:val="nil" w:sz="0" w:space="0"/>
        <w:bottom w:val="nil" w:sz="0" w:space="0"/>
        <w:right w:val="nil" w:sz="0" w:space="0"/>
        <w:between w:val="nil" w:sz="0" w:space="0"/>
      </w:pBdr>
      <w:shd w:val="clear" w:fill="auto"/>
      <w:spacing w:before="225" w:after="225" w:lineRule="auto"/>
    </w:pPr>
    <w:rPr>
      <w:b w:val="1"/>
      <w:bCs w:val="1"/>
      <w:i w:val="0"/>
      <w:iCs w:val="0"/>
      <w:sz w:val="36"/>
      <w:szCs w:val="36"/>
    </w:rPr>
  </w:style>
  <w:style w:type="paragraph" w:styleId="Heading3">
    <w:name w:val="heading 3"/>
    <w:basedOn w:val="Normal"/>
    <w:next w:val="Normal"/>
    <w:pPr>
      <w:pBdr>
        <w:top w:val="nil" w:sz="0" w:space="0"/>
        <w:left w:val="nil" w:sz="0" w:space="0"/>
        <w:bottom w:val="nil" w:sz="0" w:space="0"/>
        <w:right w:val="nil" w:sz="0" w:space="0"/>
        <w:between w:val="nil" w:sz="0" w:space="0"/>
      </w:pBdr>
      <w:shd w:val="clear" w:fill="auto"/>
      <w:spacing w:before="240" w:after="240" w:lineRule="auto"/>
    </w:pPr>
    <w:rPr>
      <w:b w:val="1"/>
      <w:bCs w:val="1"/>
      <w:i w:val="0"/>
      <w:iCs w:val="0"/>
      <w:sz w:val="28"/>
      <w:szCs w:val="28"/>
    </w:rPr>
  </w:style>
  <w:style w:type="paragraph" w:styleId="Heading4">
    <w:name w:val="heading 4"/>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24"/>
      <w:szCs w:val="24"/>
    </w:rPr>
  </w:style>
  <w:style w:type="paragraph" w:styleId="Heading5">
    <w:name w:val="heading 5"/>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18"/>
      <w:szCs w:val="18"/>
    </w:rPr>
  </w:style>
  <w:style w:type="paragraph" w:styleId="Heading6">
    <w:name w:val="heading 6"/>
    <w:basedOn w:val="Normal"/>
    <w:next w:val="Normal"/>
    <w:pPr>
      <w:pBdr>
        <w:top w:val="nil" w:sz="0" w:space="0"/>
        <w:left w:val="nil" w:sz="0" w:space="0"/>
        <w:bottom w:val="nil" w:sz="0" w:space="0"/>
        <w:right w:val="nil" w:sz="0" w:space="0"/>
        <w:between w:val="nil" w:sz="0" w:space="0"/>
      </w:pBdr>
      <w:shd w:val="clear" w:fill="auto"/>
      <w:spacing w:before="360" w:after="360" w:lineRule="auto"/>
    </w:pPr>
    <w:rPr>
      <w:b w:val="1"/>
      <w:bCs w:val="1"/>
      <w:i w:val="0"/>
      <w:iCs w:val="0"/>
      <w:sz w:val="16"/>
      <w:szCs w:val="16"/>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&#65279;<?xml version="1.0" encoding="utf-8"?><Relationships xmlns="http://schemas.openxmlformats.org/package/2006/relationships"><Relationship Type="http://schemas.openxmlformats.org/officeDocument/2006/relationships/hyperlink" Target="https://journals.physiology.org/doi/10.1152/japplphysiol.01177.2001" TargetMode="External" Id="rId40" /><Relationship Type="http://schemas.openxmlformats.org/officeDocument/2006/relationships/hyperlink" Target="https://www.researchgate.net/publication/221696650_Cardiovascular_Drift_During_Heat_Stress_Implications_for_Exercise_Prescription" TargetMode="External" Id="rId42" /><Relationship Type="http://schemas.openxmlformats.org/officeDocument/2006/relationships/hyperlink" Target="https://www.researchgate.net/publication/366444853_Delineating_the_impacts_of_air_temperature_and_humidity_for_endurance_exercise" TargetMode="External" Id="rId41" /><Relationship Type="http://schemas.openxmlformats.org/officeDocument/2006/relationships/hyperlink" Target="https://www.preprints.org/manuscript/202501.1704" TargetMode="External" Id="rId44" /><Relationship Type="http://schemas.openxmlformats.org/officeDocument/2006/relationships/hyperlink" Target="https://www.researchgate.net/publication/11998972_Cardiovascular_Drift_During_Prolonged_Exercise_New_Perspectives" TargetMode="External" Id="rId43" /><Relationship Type="http://schemas.openxmlformats.org/officeDocument/2006/relationships/hyperlink" Target="https://labs.engineering.asu.edu/lockhart/wp-content/uploads/sites/13/2016/04/APA-HHS_v1-c14_WM.pdf" TargetMode="External" Id="rId46" /><Relationship Type="http://schemas.openxmlformats.org/officeDocument/2006/relationships/hyperlink" Target="https://pmc.ncbi.nlm.nih.gov/articles/PMC3943497/" TargetMode="External" Id="rId45" /><Relationship Type="http://schemas.openxmlformats.org/officeDocument/2006/relationships/hyperlink" Target="http://www.bostongis.com/tutbook.aspx" TargetMode="External" Id="rId48" /><Relationship Type="http://schemas.openxmlformats.org/officeDocument/2006/relationships/hyperlink" Target="https://en.wikipedia.org/wiki/Naismith%27s_rule" TargetMode="External" Id="rId49" /><Relationship Type="http://schemas.openxmlformats.org/officeDocument/2006/relationships/hyperlink" Target="https://documents1.worldbank.org/curated/en/867231610617174863/txt/Final-Report.txt" TargetMode="External" Id="rId103" /><Relationship Type="http://schemas.openxmlformats.org/officeDocument/2006/relationships/hyperlink" Target="https://www.researchgate.net/publication/353446752_GIS_in_the_jungle_Experiential_Environmental_Education_EEE_in_Panama" TargetMode="External" Id="rId102" /><Relationship Type="http://schemas.openxmlformats.org/officeDocument/2006/relationships/hyperlink" Target="https://travel.gc.ca/destinations/costa-rica" TargetMode="External" Id="rId101" /><Relationship Type="http://schemas.openxmlformats.org/officeDocument/2006/relationships/hyperlink" Target="https://misticopark.com/blog/costa-rica-travel-tips/rainforest-safety-tips-for-hikers-in-costa-rica/" TargetMode="External" Id="rId100" /><Relationship Type="http://schemas.openxmlformats.org/officeDocument/2006/relationships/image" Target="media/image29.png" Id="rId31" /><Relationship Type="http://schemas.openxmlformats.org/officeDocument/2006/relationships/image" Target="media/image3.png" Id="rId30" /><Relationship Type="http://schemas.openxmlformats.org/officeDocument/2006/relationships/image" Target="media/image14.png" Id="rId33" /><Relationship Type="http://schemas.openxmlformats.org/officeDocument/2006/relationships/image" Target="media/image10.png" Id="rId32" /><Relationship Type="http://schemas.openxmlformats.org/officeDocument/2006/relationships/image" Target="media/image22.png" Id="rId34" /><Relationship Type="http://schemas.openxmlformats.org/officeDocument/2006/relationships/hyperlink" Target="https://pubmed.ncbi.nlm.nih.gov/12183501/" TargetMode="External" Id="rId39" /><Relationship Type="http://schemas.openxmlformats.org/officeDocument/2006/relationships/hyperlink" Target="https://handbook.geospatial.psu.edu/sites/default/files/capstone/Irtenkauf_596B_20140430.docx" TargetMode="External" Id="rId38" /><Relationship Type="http://schemas.openxmlformats.org/officeDocument/2006/relationships/image" Target="media/image13.png" Id="rId20" /><Relationship Type="http://schemas.openxmlformats.org/officeDocument/2006/relationships/image" Target="media/image26.png" Id="rId22" /><Relationship Type="http://schemas.openxmlformats.org/officeDocument/2006/relationships/image" Target="media/image25.png" Id="rId21" /><Relationship Type="http://schemas.openxmlformats.org/officeDocument/2006/relationships/image" Target="media/image8.png" Id="rId24" /><Relationship Type="http://schemas.openxmlformats.org/officeDocument/2006/relationships/image" Target="media/image28.png" Id="rId23" /><Relationship Type="http://schemas.openxmlformats.org/officeDocument/2006/relationships/image" Target="media/image7.png" Id="rId26" /><Relationship Type="http://schemas.openxmlformats.org/officeDocument/2006/relationships/image" Target="media/image11.png" Id="rId25" /><Relationship Type="http://schemas.openxmlformats.org/officeDocument/2006/relationships/image" Target="media/image4.png" Id="rId28" /><Relationship Type="http://schemas.openxmlformats.org/officeDocument/2006/relationships/image" Target="media/image1.png" Id="rId27" /><Relationship Type="http://schemas.openxmlformats.org/officeDocument/2006/relationships/image" Target="media/image6.png" Id="rId29" /><Relationship Type="http://schemas.openxmlformats.org/officeDocument/2006/relationships/image" Target="media/image27.png" Id="rId11" /><Relationship Type="http://schemas.openxmlformats.org/officeDocument/2006/relationships/hyperlink" Target="https://travel.state.gov/en/international-travel/travel-advisories/costa-rica.html" TargetMode="External" Id="rId99" /><Relationship Type="http://schemas.openxmlformats.org/officeDocument/2006/relationships/image" Target="media/image9.png" Id="rId10" /><Relationship Type="http://schemas.openxmlformats.org/officeDocument/2006/relationships/image" Target="media/image2.png" Id="rId13" /><Relationship Type="http://schemas.openxmlformats.org/officeDocument/2006/relationships/image" Target="media/image15.png" Id="rId12" /><Relationship Type="http://schemas.openxmlformats.org/officeDocument/2006/relationships/image" Target="media/image12.png" Id="rId15" /><Relationship Type="http://schemas.openxmlformats.org/officeDocument/2006/relationships/image" Target="media/image23.png" Id="rId14" /><Relationship Type="http://schemas.openxmlformats.org/officeDocument/2006/relationships/image" Target="media/image21.png" Id="rId17" /><Relationship Type="http://schemas.openxmlformats.org/officeDocument/2006/relationships/image" Target="media/image16.png" Id="rId16" /><Relationship Type="http://schemas.openxmlformats.org/officeDocument/2006/relationships/image" Target="media/image19.png" Id="rId19" /><Relationship Type="http://schemas.openxmlformats.org/officeDocument/2006/relationships/image" Target="media/image18.png" Id="rId18" /><Relationship Type="http://schemas.openxmlformats.org/officeDocument/2006/relationships/hyperlink" Target="https://www.researchgate.net/figure/Shortest-path-search-with-the-dynamic-cost_fig4_269987213" TargetMode="External" Id="rId84" /><Relationship Type="http://schemas.openxmlformats.org/officeDocument/2006/relationships/hyperlink" Target="https://www.researchgate.net/publication/284725413_Implementation_of_Dynamic_Routing_as_a_Web_Service_for_Emergency_Routing_Decision_Planning" TargetMode="External" Id="rId83" /><Relationship Type="http://schemas.openxmlformats.org/officeDocument/2006/relationships/hyperlink" Target="https://www.um.edu.mt/library/oar/bitstream/123456789/62631/1/Exploring_the_Shortest_Route_Options_App.pdf" TargetMode="External" Id="rId86" /><Relationship Type="http://schemas.openxmlformats.org/officeDocument/2006/relationships/hyperlink" Target="https://www.developers.dev/tech-talk/how-to-build-a-map-app.html" TargetMode="External" Id="rId85" /><Relationship Type="http://schemas.openxmlformats.org/officeDocument/2006/relationships/hyperlink" Target="https://jakobmiksch.eu/post/openstreetmap_routing/" TargetMode="External" Id="rId82"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24.png" Id="rId9" /><Relationship Type="http://schemas.openxmlformats.org/officeDocument/2006/relationships/styles" Target="styles.xml" Id="rId5" /><Relationship Type="http://schemas.openxmlformats.org/officeDocument/2006/relationships/image" Target="media/image5.png" Id="rId6" /><Relationship Type="http://schemas.openxmlformats.org/officeDocument/2006/relationships/image" Target="media/image20.png" Id="rId7" /><Relationship Type="http://schemas.openxmlformats.org/officeDocument/2006/relationships/image" Target="media/image17.png" Id="rId8" /><Relationship Type="http://schemas.openxmlformats.org/officeDocument/2006/relationships/hyperlink" Target="https://www.researchgate.net/publication/8040993_Cardiovascular_Drift_Is_Related_to_Reduced_Maximal_Oxygen_Uptake_during_Heat_Stress" TargetMode="External" Id="rId73" /><Relationship Type="http://schemas.openxmlformats.org/officeDocument/2006/relationships/hyperlink" Target="https://www.ratc.org/at-hiking/general-info/warm-weather-hiking/" TargetMode="External" Id="rId72" /><Relationship Type="http://schemas.openxmlformats.org/officeDocument/2006/relationships/hyperlink" Target="https://www.frontiersin.org/journals/bioengineering-and-biotechnology/articles/10.3389/fbioe.2024.1377383/full" TargetMode="External" Id="rId75" /><Relationship Type="http://schemas.openxmlformats.org/officeDocument/2006/relationships/hyperlink" Target="https://www.researchgate.net/publication/229062758_Cardiovascular_drift_and_Vo2max_during_cycling_and_walking_in_a_temperate_environment" TargetMode="External" Id="rId74" /><Relationship Type="http://schemas.openxmlformats.org/officeDocument/2006/relationships/hyperlink" Target="https://drpress.org/ojs/index.php/ajst/article/download/15582/15120/15582" TargetMode="External" Id="rId76" /><Relationship Type="http://schemas.openxmlformats.org/officeDocument/2006/relationships/hyperlink" Target="https://pmc.ncbi.nlm.nih.gov/articles/PMC12876130/" TargetMode="External" Id="rId78" /><Relationship Type="http://schemas.openxmlformats.org/officeDocument/2006/relationships/hyperlink" Target="https://www.researchgate.net/publication/325866529_Cardiovascular_Drift_During_Prolonged_Exercise_New_Perspectives" TargetMode="External" Id="rId71" /><Relationship Type="http://schemas.openxmlformats.org/officeDocument/2006/relationships/hyperlink" Target="https://pmc.ncbi.nlm.nih.gov/articles/PMC7449320/" TargetMode="External" Id="rId70" /><Relationship Type="http://schemas.openxmlformats.org/officeDocument/2006/relationships/hyperlink" Target="https://content.csbs.utah.edu/~pdennison/reprints/denn/2022_Campbell_etal_CEUS.pdf" TargetMode="External" Id="rId61" /><Relationship Type="http://schemas.openxmlformats.org/officeDocument/2006/relationships/hyperlink" Target="https://www.researchgate.net/publication/11202969_Energy_Cost_of_Walking_and_Running_at_Extreme_Uphill_and_Downhill_Slopes" TargetMode="External" Id="rId66" /><Relationship Type="http://schemas.openxmlformats.org/officeDocument/2006/relationships/hyperlink" Target="https://pmc.ncbi.nlm.nih.gov/articles/PMC6054663/" TargetMode="External" Id="rId65" /><Relationship Type="http://schemas.openxmlformats.org/officeDocument/2006/relationships/hyperlink" Target="https://www.researchgate.net/publication/297448415_Energy_costs_of_walking_and_running_uphill_and_downhill_at_extreme_slopes" TargetMode="External" Id="rId68" /><Relationship Type="http://schemas.openxmlformats.org/officeDocument/2006/relationships/hyperlink" Target="https://www.researchgate.net/publication/6582560_Effects_of_Hiking_Downhill_Using_Trekking_Poles_while_Carrying_External_Loads" TargetMode="External" Id="rId67" /><Relationship Type="http://schemas.openxmlformats.org/officeDocument/2006/relationships/hyperlink" Target="https://www.researchgate.net/publication/322199303_Measuring_and_modeling_the_speed_of_human_navigation" TargetMode="External" Id="rId60" /><Relationship Type="http://schemas.openxmlformats.org/officeDocument/2006/relationships/hyperlink" Target="https://jhp-ojs-tamucc.tdl.org/JHP/article/view/jshp.0009.2013/pdf" TargetMode="External" Id="rId69" /><Relationship Type="http://schemas.openxmlformats.org/officeDocument/2006/relationships/hyperlink" Target="https://pmc.ncbi.nlm.nih.gov/articles/PMC10727444/" TargetMode="External" Id="rId50" /><Relationship Type="http://schemas.openxmlformats.org/officeDocument/2006/relationships/hyperlink" Target="https://www.hikeclock.com/" TargetMode="External" Id="rId53" /><Relationship Type="http://schemas.openxmlformats.org/officeDocument/2006/relationships/hyperlink" Target="https://journals.plos.org/plosone/article?id=10.1371/journal.pone.0295848" TargetMode="External" Id="rId52" /><Relationship Type="http://schemas.openxmlformats.org/officeDocument/2006/relationships/hyperlink" Target="https://findingspress.org/article/28107-hiking-with-tobler-tracking-movement-and-calibrating-a-cost-function-for-personalized-3d-accessibility" TargetMode="External" Id="rId55" /><Relationship Type="http://schemas.openxmlformats.org/officeDocument/2006/relationships/hyperlink" Target="https://en.wikipedia.org/wiki/Tobler%27s_hiking_function" TargetMode="External" Id="rId54" /><Relationship Type="http://schemas.openxmlformats.org/officeDocument/2006/relationships/hyperlink" Target="https://ww3.math.ucla.edu/camreport/cam18-27.pdf" TargetMode="External" Id="rId56" /><Relationship Type="http://schemas.openxmlformats.org/officeDocument/2006/relationships/hyperlink" Target="https://www.fs.usda.gov/rm/pubs_journals/2022/rmrs_2022_campbell_m001.pdf" TargetMode="External" Id="rId59" /><Relationship Type="http://schemas.openxmlformats.org/officeDocument/2006/relationships/hyperlink" Target="https://www.tandfonline.com/doi/full/10.1080/15481603.2026.2626632" TargetMode="External" Id="rId58" /><Relationship Type="http://schemas.openxmlformats.org/officeDocument/2006/relationships/hyperlink" Target="https://postgis.net/" TargetMode="External" Id="R0483636f4f35458c" /><Relationship Type="http://schemas.openxmlformats.org/officeDocument/2006/relationships/hyperlink" Target="https://medium.com/@KilgortTrout/the-modern-geospatial-stack-from-postgis-to-geoai-fcea95b311ca" TargetMode="External" Id="R7d69a2ef9a574bd0" /><Relationship Type="http://schemas.openxmlformats.org/officeDocument/2006/relationships/hyperlink" Target="https://www.researchgate.net/publication/280563940_Dynamic_shortest_route_finder_using_pgRouting_for_emergency_management" TargetMode="External" Id="R5d027231f3ca4a54" /><Relationship Type="http://schemas.openxmlformats.org/officeDocument/2006/relationships/hyperlink" Target="https://scispace.com/pdf/implementation-of-dynamic-routing-as-a-web-service-for-330m7oti9x.pdf" TargetMode="External" Id="Ra6a43ed0ece04869" /><Relationship Type="http://schemas.openxmlformats.org/officeDocument/2006/relationships/hyperlink" Target="https://www.hikeclock.com/learn/book-time" TargetMode="External" Id="R525b144588c54004" /><Relationship Type="http://schemas.openxmlformats.org/officeDocument/2006/relationships/hyperlink" Target="https://www.researchgate.net/figure/Existing-functions-used-to-calculate-walking-speed-Naismiths-rule-5-Toblers-hiking_fig1_376634004" TargetMode="External" Id="R0018974d35094bc1" /><Relationship Type="http://schemas.openxmlformats.org/officeDocument/2006/relationships/hyperlink" Target="https://www.rdocumentation.org/packages/movecost/versions/0.4" TargetMode="External" Id="Rd726020f235c4b94" /><Relationship Type="http://schemas.openxmlformats.org/officeDocument/2006/relationships/hyperlink" Target="http://download.nust.na/pub3/cran/web/packages/movecost/movecost.pdf" TargetMode="External" Id="Re39affd926ba4738" /><Relationship Type="http://schemas.openxmlformats.org/officeDocument/2006/relationships/hyperlink" Target="https://air.unimi.it/retrieve/dfa8b9a3-6bf8-748b-e053-3a05fe0a3a96/Minetti%20et%20al.%202020%20-%20A%20slow%20VO2%20on-response%20allows%20comfortable%20adoption%20of%20aerobically%20unaffordable%20walking%20and%20running%20speeds%20on%20short%20stair%20ascents.pdf" TargetMode="External" Id="Rc1071f68d5444225" /><Relationship Type="http://schemas.openxmlformats.org/officeDocument/2006/relationships/hyperlink" Target="https://mavmatrix.uta.edu/cgi/viewcontent.cgi?article=1047&amp;context=kinesiology_dissertations" TargetMode="External" Id="R29f8915d0808471e" /><Relationship Type="http://schemas.openxmlformats.org/officeDocument/2006/relationships/hyperlink" Target="https://postgis.net/docs/manual-3.1/postgis_usage.html" TargetMode="External" Id="Rde08fa9ddf164cce" /><Relationship Type="http://schemas.openxmlformats.org/officeDocument/2006/relationships/hyperlink" Target="https://www.thenile.dev/docs/extensions/pgrouting" TargetMode="External" Id="R30b11fdb3e7a48d6" /><Relationship Type="http://schemas.openxmlformats.org/officeDocument/2006/relationships/hyperlink" Target="https://github.com/sacridini/Awesome-Geospatial" TargetMode="External" Id="R328ccd7113c64994" /><Relationship Type="http://schemas.openxmlformats.org/officeDocument/2006/relationships/hyperlink" Target="https://dialnet.unirioja.es/descarga/articulo/5249430.pdf" TargetMode="External" Id="Rcf37d013eaf742a0" /><Relationship Type="http://schemas.openxmlformats.org/officeDocument/2006/relationships/hyperlink" Target="https://www.ucm.es/data/cont/media/www/pag-51898/1992_METODOLOG%C3%8DA%20CIFUENTES.pdf" TargetMode="External" Id="Raa9fbec06f6c4744" /><Relationship Type="http://schemas.openxmlformats.org/officeDocument/2006/relationships/hyperlink" Target="https://www.senderismograncanaria.com/descargas/gestion-ambiental/04_Capacidad_de_carga_turistica.pdf" TargetMode="External" Id="R6f2ac209b19443b0" /><Relationship Type="http://schemas.openxmlformats.org/officeDocument/2006/relationships/hyperlink" Target="https://www.redalyc.org/pdf/401/40119956005.pdf" TargetMode="External" Id="Rca23e9c0c69f4305" /><Relationship Type="http://schemas.openxmlformats.org/officeDocument/2006/relationships/hyperlink" Target="https://investigacionesturisticas.ua.es/article/view/15145/pdf" TargetMode="External" Id="Rcf3c7a5591514504" /><Relationship Type="http://schemas.openxmlformats.org/officeDocument/2006/relationships/hyperlink" Target="https://www.picosdeeuropaleon.com/que-es-el-mide/" TargetMode="External" Id="R8a2746824f124aa7" /><Relationship Type="http://schemas.openxmlformats.org/officeDocument/2006/relationships/hyperlink" Target="https://montanasegura.com/MIDE/manualMIDE.pdf" TargetMode="External" Id="R5b242cf417d0416e" /><Relationship Type="http://schemas.openxmlformats.org/officeDocument/2006/relationships/hyperlink" Target="https://atrochando.com/el-metodo-mide/" TargetMode="External" Id="R9007205373984353" /><Relationship Type="http://schemas.openxmlformats.org/officeDocument/2006/relationships/hyperlink" Target="https://www.senditur.com/es/blog/mide-que-es-y-como-funciona/" TargetMode="External" Id="R6835c83f3f2d499b" /><Relationship Type="http://schemas.openxmlformats.org/officeDocument/2006/relationships/hyperlink" Target="https://matadornetwork.com/es/rutas-de-trekking-en-costa-rica/" TargetMode="External" Id="Re88e166db9af4803" /><Relationship Type="http://schemas.openxmlformats.org/officeDocument/2006/relationships/hyperlink" Target="https://naturtrek.com/trekking-y-ecoturismo-en-costa-rica/" TargetMode="External" Id="R653042e981964494" /><Relationship Type="http://schemas.openxmlformats.org/officeDocument/2006/relationships/hyperlink" Target="https://www.tourradar-viajes.com/t/124747" TargetMode="External" Id="R57317609944242b9" /><Relationship Type="http://schemas.openxmlformats.org/officeDocument/2006/relationships/hyperlink" Target="https://www.parquesnacionales.gov.co/nuestros-parques/pnn-chingaza/" TargetMode="External" Id="R7d9cb2a4ffff4128" /><Relationship Type="http://schemas.openxmlformats.org/officeDocument/2006/relationships/hyperlink" Target="https://viajala.com.co/news/noticias/senderismo-despues-de-los-60-rutas-faciles-en-colombia-para-empezar-sin-riesgos-787/" TargetMode="External" Id="Rd7299e69d81a46f7" /></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