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💰 Revenue Metrics Report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📆 Date: 08.03.2025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📊 Author: Iryna Marinchuk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📍 Project: Revenue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report presents an in-depth analysis of revenue distribution across different regions and products. The goal is to identify key revenue drivers, track changes over time, and suggest strategic improvements for business growth.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🔹 Data sources: Internal transaction database, customer purchase logs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🔹 Time period analyzed: June 2022 - May 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🔹 Tools used: Tableau, SQL, Python (Pandas, Matplotlib), Excel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Methodology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applied the following methods for revenue analysis: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SQL queries to extract revenue data from the database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Cohort analysis to track revenue trends over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ARPPU calculation to assess average revenue per paying user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Tableau visualizations for trend identification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Key Findings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Revenue by Region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 remains the top revenue generator, but its share has decreased by 6% YoY.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APAC &amp; EMEA show strong growth, with revenue increasing by 14% in the last quarter.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📊 Tableau Visualization: Revenue trends across regions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ARPPU (Average Revenue Per Paying User)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ARPPU has dropped from $56 to $48 (-14%) over the last 6 months.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APAC users spend less per transaction but purchase more frequently.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📊 Graph: ARPPU trend by region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Product Performance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Main App &amp; Customer Success generate the highest revenue.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Publishing is the weakest performer, contributing only 5% of total revenue.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📊 Chart: Revenue share by product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Recommendations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Develop premium pricing strategies for APAC &amp; EMEA markets.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Increase high-value product offerings to boost ARPPU.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Implement targeted promotions in slow revenue months.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Conclusion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report highlights key revenue trends, regional variations, and product performance insights. The next steps involve implementing strategic recommendations to optimize revenue streams and improve overall profitability.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📌 Appendix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🔗 Tableau Dashboard (https://public.tableau.com/app/profile/iryna.marinchuk/viz/Revenuemetrics/Dashboard1)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