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💰 Total Cash Receipts Report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📆 Date: 08.03.2025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📊 Author: Iryna Marinchuk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📍 Project: Revenue Analysis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Introduction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report presents an in-depth analysis of total cash receipts, tracking financial trends over time, identifying seasonal revenue fluctuations, and understanding key revenue sources.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objective is to improve revenue forecasting and optimize business strategies.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🔹 Data sources: Internal financial transactions database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🔹 Time period analyzed: June 2022 - May 2023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🔹 Tools used: Tableau, SQL, Python (Pandas, Matplotlib), Excel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Methodology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 analyze total cash receipts, the following methodologies were used: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SQL queries to extract financial transaction 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Time-series analysis to track revenue fluctuations and seasonal trends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Breakdown of revenue contributions at the product and regional level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Data visualization using Tableau for key insights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Key Findings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Total Revenue Trends Over Time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Total revenue has steadily increased, with a peak observed in Spring 2023.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Noticeable seasonal fluctuations, with revenue dips in Q3.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📊 Tableau Visualization: Total Revenue Over Time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Regional Performance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USA remains the highest revenue-generating region, but its growth rate has slightly declined.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EMEA region is expanding, contributing an increasing share of total revenue.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📊 Chart: Revenue Breakdown by Region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Product Revenue Contributions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Customer Success and Main App continue to generate the highest revenue.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Marketing Automation and Publishing contribute the least and require strategic adjustments.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📊 Chart: Revenue Share by Product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4️⃣ Recommendations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Implement targeted marketing campaigns in underperforming regions to drive revenue growth.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Adjust product pricing models to improve revenue from low-performing segments.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Develop retention-focused strategies to mitigate seasonal revenue dips in Q3.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5️⃣ Conclusion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report highlights financial trends in total cash receipts, breaking down revenue by region and product.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findings suggest strategic opportunities for increasing revenue, improving product positioning, and reducing revenue volatility.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📌 Appendix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🔗 Tableau Dashboard(https://public.tableau.com/app/profile/iryna.marinchuk/viz/Thetotalamountofcashreceipts/Dashboard1)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