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Typora 公文写作 Word 导出参考样式</w:t>
      </w:r>
    </w:p>
    <w:p>
      <w:pPr>
        <w:pStyle w:val="Subtitle"/>
      </w:pPr>
      <w:r>
        <w:t>本文件作为 Typora / Pandoc 导出 DOCX 的 reference.docx 使用</w:t>
      </w:r>
    </w:p>
    <w:p>
      <w:pPr>
        <w:pStyle w:val="Heading1"/>
      </w:pPr>
      <w:r>
        <w:t>一、一级标题示例</w:t>
      </w:r>
    </w:p>
    <w:p>
      <w:pPr>
        <w:pStyle w:val="Heading2"/>
      </w:pPr>
      <w:r>
        <w:t>（一）二级标题示例</w:t>
      </w:r>
    </w:p>
    <w:p>
      <w:pPr>
        <w:pStyle w:val="Heading3"/>
      </w:pPr>
      <w:r>
        <w:t>1. 三级标题示例</w:t>
      </w:r>
    </w:p>
    <w:p>
      <w:pPr/>
      <w:r>
        <w:t>（1）四级标题示例。正文使用三号仿宋，首行缩进两个汉字，固定行距 28 磅。</w:t>
      </w:r>
    </w:p>
    <w:p>
      <w:pPr/>
      <w:r>
        <w:t>这是正文段落示例。用于检查 Typora 将 Markdown 段落导出为 Word 后，是否套用公文正文样式。</w:t>
      </w:r>
    </w:p>
    <w:p>
      <w:pPr>
        <w:pStyle w:val="NoIndent"/>
      </w:pPr>
      <w:r>
        <w:t>附件：示例材料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  <w:vAlign w:val="center"/>
          </w:tcPr>
          <w:p>
            <w:r>
              <w:t>项目</w:t>
            </w:r>
          </w:p>
        </w:tc>
        <w:tc>
          <w:tcPr>
            <w:tcW w:type="dxa" w:w="2948"/>
            <w:vAlign w:val="center"/>
          </w:tcPr>
          <w:p>
            <w:r>
              <w:t>要求</w:t>
            </w:r>
          </w:p>
        </w:tc>
        <w:tc>
          <w:tcPr>
            <w:tcW w:type="dxa" w:w="2948"/>
            <w:vAlign w:val="center"/>
          </w:tcPr>
          <w:p>
            <w: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r>
              <w:t>页面</w:t>
            </w:r>
          </w:p>
        </w:tc>
        <w:tc>
          <w:tcPr>
            <w:tcW w:type="dxa" w:w="2948"/>
            <w:vAlign w:val="center"/>
          </w:tcPr>
          <w:p>
            <w:r>
              <w:t>A4</w:t>
            </w:r>
          </w:p>
        </w:tc>
        <w:tc>
          <w:tcPr>
            <w:tcW w:type="dxa" w:w="2948"/>
            <w:vAlign w:val="center"/>
          </w:tcPr>
          <w:p>
            <w:r>
              <w:t>上37mm、下35mm、左28mm、右26mm</w:t>
            </w:r>
          </w:p>
        </w:tc>
      </w:tr>
      <w:tr>
        <w:tc>
          <w:tcPr>
            <w:tcW w:type="dxa" w:w="2948"/>
            <w:vAlign w:val="center"/>
          </w:tcPr>
          <w:p>
            <w:r>
              <w:t>正文</w:t>
            </w:r>
          </w:p>
        </w:tc>
        <w:tc>
          <w:tcPr>
            <w:tcW w:type="dxa" w:w="2948"/>
            <w:vAlign w:val="center"/>
          </w:tcPr>
          <w:p>
            <w:r>
              <w:t>三号仿宋</w:t>
            </w:r>
          </w:p>
        </w:tc>
        <w:tc>
          <w:tcPr>
            <w:tcW w:type="dxa" w:w="2948"/>
            <w:vAlign w:val="center"/>
          </w:tcPr>
          <w:p>
            <w:r>
              <w:t>固定行距28磅</w:t>
            </w:r>
          </w:p>
        </w:tc>
      </w:tr>
    </w:tbl>
    <w:sectPr w:rsidR="00FC693F" w:rsidRPr="0006063C" w:rsidSect="00034616">
      <w:pgSz w:w="11906" w:h="16838"/>
      <w:pgMar w:top="2098" w:right="1474" w:bottom="1984" w:left="1587" w:header="850" w:footer="992" w:gutter="0"/>
      <w:cols w:space="720"/>
      <w:docGrid w:type="lines" w:linePitch="5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560" w:lineRule="exact"/>
      <w:ind w:firstLine="640"/>
    </w:pPr>
    <w:rPr>
      <w:rFonts w:ascii="仿宋_GB2312" w:hAnsi="仿宋_GB2312" w:eastAsia="仿宋_GB2312" w:cs="仿宋_GB2312" w:hint="eastAsia"/>
      <w:b w:val="0"/>
      <w:i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640" w:lineRule="exact"/>
      <w:jc w:val="center"/>
      <w:outlineLvl w:val="0"/>
    </w:pPr>
    <w:rPr>
      <w:rFonts w:ascii="黑体" w:hAnsi="黑体" w:eastAsia="黑体" w:cs="黑体" w:hint="eastAsia"/>
      <w:b/>
      <w:bCs/>
      <w:i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600" w:lineRule="exact"/>
      <w:jc w:val="left"/>
      <w:outlineLvl w:val="1"/>
    </w:pPr>
    <w:rPr>
      <w:rFonts w:ascii="黑体" w:hAnsi="黑体" w:eastAsia="黑体" w:cs="黑体" w:hint="eastAsia"/>
      <w:b/>
      <w:bCs/>
      <w:i w:val="0"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jc w:val="left"/>
      <w:keepNext/>
      <w:keepLines/>
      <w:spacing w:before="240" w:after="0" w:line="560" w:lineRule="exact"/>
      <w:outlineLvl w:val="2"/>
    </w:pPr>
    <w:rPr>
      <w:rFonts w:ascii="黑体" w:hAnsi="黑体" w:eastAsia="黑体" w:cs="黑体" w:hint="eastAsia"/>
      <w:b/>
      <w:bCs/>
      <w:i w:val="0"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jc w:val="left"/>
      <w:keepNext/>
      <w:keepLines/>
      <w:spacing w:before="0" w:after="0" w:line="560" w:lineRule="exact"/>
      <w:outlineLvl w:val="3"/>
    </w:pPr>
    <w:rPr>
      <w:rFonts w:ascii="黑体" w:hAnsi="黑体" w:eastAsia="黑体" w:cs="黑体" w:hint="eastAsia"/>
      <w:b w:val="0"/>
      <w:bCs/>
      <w:i w:val="0"/>
      <w:iCs/>
      <w:color w:val="00000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jc w:val="left"/>
      <w:keepNext/>
      <w:keepLines/>
      <w:spacing w:before="200" w:after="0"/>
      <w:outlineLvl w:val="4"/>
    </w:pPr>
    <w:rPr>
      <w:rFonts w:ascii="黑体" w:hAnsi="黑体" w:eastAsia="黑体" w:cs="黑体" w:hint="eastAsia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jc w:val="left"/>
      <w:keepNext/>
      <w:keepLines/>
      <w:spacing w:before="200" w:after="0"/>
      <w:outlineLvl w:val="5"/>
    </w:pPr>
    <w:rPr>
      <w:rFonts w:ascii="黑体" w:hAnsi="黑体" w:eastAsia="黑体" w:cs="黑体" w:hint="eastAsia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jc w:val="left"/>
      <w:keepNext/>
      <w:keepLines/>
      <w:spacing w:before="200" w:after="0"/>
      <w:outlineLvl w:val="6"/>
    </w:pPr>
    <w:rPr>
      <w:rFonts w:ascii="黑体" w:hAnsi="黑体" w:eastAsia="黑体" w:cs="黑体" w:hint="eastAsia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jc w:val="left"/>
      <w:keepNext/>
      <w:keepLines/>
      <w:spacing w:before="200" w:after="0"/>
      <w:outlineLvl w:val="7"/>
    </w:pPr>
    <w:rPr>
      <w:rFonts w:ascii="黑体" w:hAnsi="黑体" w:eastAsia="黑体" w:cs="黑体" w:hint="eastAsia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jc w:val="left"/>
      <w:keepNext/>
      <w:keepLines/>
      <w:spacing w:before="200" w:after="0"/>
      <w:outlineLvl w:val="8"/>
    </w:pPr>
    <w:rPr>
      <w:rFonts w:ascii="黑体" w:hAnsi="黑体" w:eastAsia="黑体" w:cs="黑体" w:hint="eastAsia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600" w:lineRule="exact" w:before="0"/>
      <w:contextualSpacing/>
      <w:jc w:val="center"/>
    </w:pPr>
    <w:rPr>
      <w:rFonts w:ascii="黑体" w:hAnsi="黑体" w:eastAsia="黑体" w:cs="黑体" w:hint="eastAsia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 w:line="560" w:lineRule="exact"/>
      <w:jc w:val="left"/>
    </w:pPr>
    <w:rPr>
      <w:rFonts w:ascii="黑体" w:hAnsi="黑体" w:eastAsia="黑体" w:cs="黑体" w:hint="eastAsia"/>
      <w:b/>
      <w:i w:val="0"/>
      <w:iCs/>
      <w:color w:val="000000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0" w:line="560" w:lineRule="exact"/>
      <w:ind w:left="839" w:hanging="210"/>
      <w:contextualSpacing/>
    </w:pPr>
    <w:rPr>
      <w:rFonts w:ascii="仿宋_GB2312" w:hAnsi="仿宋_GB2312" w:eastAsia="仿宋_GB2312" w:cs="仿宋_GB2312" w:hint="eastAsia"/>
      <w:b w:val="0"/>
      <w:i w:val="0"/>
      <w:color w:val="000000"/>
      <w:sz w:val="3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560" w:lineRule="exact"/>
      <w:ind w:firstLine="640"/>
    </w:pPr>
    <w:rPr>
      <w:rFonts w:ascii="仿宋_GB2312" w:hAnsi="仿宋_GB2312" w:eastAsia="仿宋_GB2312" w:cs="仿宋_GB2312" w:hint="eastAsia"/>
      <w:b w:val="0"/>
      <w:i w:val="0"/>
      <w:color w:val="000000"/>
      <w:sz w:val="3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0" w:line="560" w:lineRule="exact"/>
      <w:ind w:left="839" w:hanging="210"/>
      <w:contextualSpacing/>
    </w:pPr>
    <w:rPr>
      <w:rFonts w:ascii="仿宋_GB2312" w:hAnsi="仿宋_GB2312" w:eastAsia="仿宋_GB2312" w:cs="仿宋_GB2312" w:hint="eastAsia"/>
      <w:b w:val="0"/>
      <w:i w:val="0"/>
      <w:color w:val="000000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numPr>
        <w:numId w:val="5"/>
      </w:numPr>
      <w:spacing w:before="0" w:after="0" w:line="560" w:lineRule="exact"/>
      <w:ind w:left="839" w:hanging="210"/>
      <w:contextualSpacing/>
    </w:pPr>
    <w:rPr>
      <w:rFonts w:ascii="仿宋_GB2312" w:hAnsi="仿宋_GB2312" w:eastAsia="仿宋_GB2312" w:cs="仿宋_GB2312" w:hint="eastAsia"/>
      <w:b w:val="0"/>
      <w:i w:val="0"/>
      <w:color w:val="000000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440" w:lineRule="exact" w:before="120" w:after="120"/>
      <w:jc w:val="center"/>
    </w:pPr>
    <w:rPr>
      <w:rFonts w:ascii="仿宋_GB2312" w:hAnsi="仿宋_GB2312" w:eastAsia="仿宋_GB2312" w:cs="仿宋_GB2312" w:hint="eastAsia"/>
      <w:b w:val="0"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仿宋_GB2312" w:hAnsi="仿宋_GB2312" w:eastAsia="仿宋_GB2312" w:cs="仿宋_GB2312" w:hint="eastAsia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keepNext w:val="0"/>
      <w:spacing w:before="0" w:after="0" w:line="560" w:lineRule="exact"/>
      <w:ind w:firstLine="640"/>
    </w:pPr>
    <w:rPr>
      <w:rFonts w:ascii="仿宋_GB2312" w:hAnsi="仿宋_GB2312" w:eastAsia="仿宋_GB2312" w:cs="仿宋_GB2312" w:hint="eastAsia"/>
      <w:b w:val="0"/>
      <w:i w:val="0"/>
      <w:color w:val="000000"/>
      <w:sz w:val="32"/>
    </w:rPr>
  </w:style>
  <w:style w:type="paragraph" w:customStyle="1" w:styleId="NoIndent">
    <w:name w:val="No Indent"/>
    <w:basedOn w:val="Normal"/>
    <w:pPr>
      <w:keepNext w:val="0"/>
      <w:spacing w:before="0" w:after="0" w:line="560" w:lineRule="exact"/>
    </w:pPr>
    <w:rPr>
      <w:rFonts w:ascii="仿宋_GB2312" w:hAnsi="仿宋_GB2312" w:eastAsia="仿宋_GB2312" w:cs="仿宋_GB2312" w:hint="eastAsia"/>
      <w:b w:val="0"/>
      <w:i w:val="0"/>
      <w:color w:val="000000"/>
      <w:sz w:val="32"/>
    </w:rPr>
  </w:style>
  <w:style w:type="paragraph" w:customStyle="1" w:styleId="CenteredGongwen">
    <w:name w:val="Centered Gongwen"/>
    <w:basedOn w:val="Normal"/>
    <w:pPr>
      <w:keepNext w:val="0"/>
      <w:spacing w:before="0" w:after="0" w:line="560" w:lineRule="exact"/>
      <w:jc w:val="center"/>
    </w:pPr>
    <w:rPr>
      <w:rFonts w:ascii="仿宋_GB2312" w:hAnsi="仿宋_GB2312" w:eastAsia="仿宋_GB2312" w:cs="仿宋_GB2312" w:hint="eastAsia"/>
      <w:b w:val="0"/>
      <w:i w:val="0"/>
      <w:color w:val="000000"/>
      <w:sz w:val="32"/>
    </w:rPr>
  </w:style>
  <w:style w:type="paragraph" w:customStyle="1" w:styleId="BlockText">
    <w:name w:val="Block Text"/>
    <w:basedOn w:val="Normal"/>
    <w:pPr>
      <w:keepNext w:val="0"/>
      <w:spacing w:before="0" w:after="0" w:line="560" w:lineRule="exact"/>
      <w:ind w:left="1134" w:right="1134"/>
    </w:pPr>
    <w:rPr>
      <w:rFonts w:ascii="仿宋_GB2312" w:hAnsi="仿宋_GB2312" w:eastAsia="仿宋_GB2312" w:cs="仿宋_GB2312" w:hint="eastAsia"/>
      <w:b w:val="0"/>
      <w:i w:val="0"/>
      <w:color w:val="000000"/>
      <w:sz w:val="32"/>
    </w:rPr>
  </w:style>
  <w:style w:type="paragraph" w:customStyle="1" w:styleId="SourceCode">
    <w:name w:val="Source Code"/>
    <w:pPr>
      <w:keepNext w:val="0"/>
      <w:spacing w:before="120" w:after="120" w:line="320" w:lineRule="exact"/>
    </w:pPr>
    <w:rPr>
      <w:rFonts w:ascii="Consolas" w:hAnsi="Consolas" w:eastAsia="Consolas" w:cs="Consolas" w:hint="eastAsia"/>
      <w:b w:val="0"/>
      <w:i w:val="0"/>
      <w:color w:val="000000"/>
      <w:sz w:val="21"/>
    </w:rPr>
  </w:style>
  <w:style w:type="character" w:customStyle="1" w:styleId="Hyperlink">
    <w:name w:val="Hyperlink"/>
    <w:rPr>
      <w:color w:val="000000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Typora 公文写作 Word 导出参考样式</dc:title>
  <dc:subject>Typora reference.docx for official document style</dc:subject>
  <dc:creator>python-docx</dc:creator>
  <cp:keywords>Typora, Pandoc, reference.docx, 公文写作, Word样式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