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555555"/>
          <w:sz w:val="20"/>
          <w:szCs w:val="20"/>
        </w:rPr>
        <w:t xml:space="preserve">SI4006 · Proyecto Integrador</w:t>
      </w:r>
    </w:p>
    <w:p>
      <w:pPr>
        <w:spacing w:after="60"/>
      </w:pPr>
      <w:r>
        <w:rPr>
          <w:b/>
          <w:bCs/>
          <w:color w:val="1a2a4a"/>
          <w:sz w:val="36"/>
          <w:szCs w:val="36"/>
        </w:rPr>
        <w:t xml:space="preserve">M1 — Modelo base y dataset de dominio</w:t>
      </w:r>
    </w:p>
    <w:p>
      <w:pPr>
        <w:spacing w:after="200"/>
      </w:pPr>
      <w:r>
        <w:rPr>
          <w:i/>
          <w:iCs/>
          <w:color w:val="555555"/>
          <w:sz w:val="22"/>
          <w:szCs w:val="22"/>
        </w:rPr>
        <w:t xml:space="preserve">Triage dermatológico asistido por IA (urgente / no urgente)</w:t>
      </w:r>
    </w:p>
    <w:p>
      <w:pPr>
        <w:pStyle w:val="Heading2"/>
        <w:spacing w:after="120" w:before="240"/>
      </w:pPr>
      <w:r>
        <w:t xml:space="preserve">Equipo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1a2a4a" w:val="clear"/>
            <w:tcMar>
              <w:top w:type="dxa" w:w="80"/>
              <w:left w:type="dxa" w:w="100"/>
              <w:bottom w:type="dxa" w:w="80"/>
              <w:right w:type="dxa" w:w="100"/>
            </w:tcMar>
          </w:tcPr>
          <w:p>
            <w:r>
              <w:rPr>
                <w:b/>
                <w:bCs/>
                <w:color w:val="FFFFFF"/>
              </w:rPr>
              <w:t xml:space="preserve">Integrante</w:t>
            </w:r>
          </w:p>
        </w:tc>
        <w:tc>
          <w:tcPr>
            <w:tcW w:type="dxa" w:w="4500"/>
            <w:shd w:fill="1a2a4a" w:val="clear"/>
            <w:tcMar>
              <w:top w:type="dxa" w:w="80"/>
              <w:left w:type="dxa" w:w="100"/>
              <w:bottom w:type="dxa" w:w="80"/>
              <w:right w:type="dxa" w:w="100"/>
            </w:tcMar>
          </w:tcPr>
          <w:p>
            <w:r>
              <w:rPr>
                <w:b/>
                <w:bCs/>
                <w:color w:val="FFFFFF"/>
              </w:rPr>
              <w:t xml:space="preserve">Módulo a cargo</w:t>
            </w:r>
          </w:p>
        </w:tc>
      </w:tr>
      <w:tr>
        <w:tc>
          <w:tcPr>
            <w:tcW w:type="dxa" w:w="4500"/>
            <w:tcMar>
              <w:top w:type="dxa" w:w="80"/>
              <w:left w:type="dxa" w:w="100"/>
              <w:bottom w:type="dxa" w:w="80"/>
              <w:right w:type="dxa" w:w="100"/>
            </w:tcMar>
          </w:tcPr>
          <w:p>
            <w:r>
              <w:rPr>
                <w:b w:val="false"/>
                <w:bCs w:val="false"/>
                <w:color w:val="000000"/>
              </w:rPr>
              <w:t xml:space="preserve">Isabella Idárraga</w:t>
            </w:r>
          </w:p>
        </w:tc>
        <w:tc>
          <w:tcPr>
            <w:tcW w:type="dxa" w:w="4500"/>
            <w:tcMar>
              <w:top w:type="dxa" w:w="80"/>
              <w:left w:type="dxa" w:w="100"/>
              <w:bottom w:type="dxa" w:w="80"/>
              <w:right w:type="dxa" w:w="100"/>
            </w:tcMar>
          </w:tcPr>
          <w:p>
            <w:r>
              <w:rPr>
                <w:b w:val="false"/>
                <w:bCs w:val="false"/>
                <w:color w:val="000000"/>
              </w:rPr>
              <w:t xml:space="preserve">Dataset y preprocesamiento</w:t>
            </w:r>
          </w:p>
        </w:tc>
      </w:tr>
      <w:tr>
        <w:tc>
          <w:tcPr>
            <w:tcW w:type="dxa" w:w="4500"/>
            <w:tcMar>
              <w:top w:type="dxa" w:w="80"/>
              <w:left w:type="dxa" w:w="100"/>
              <w:bottom w:type="dxa" w:w="80"/>
              <w:right w:type="dxa" w:w="100"/>
            </w:tcMar>
          </w:tcPr>
          <w:p>
            <w:r>
              <w:rPr>
                <w:b w:val="false"/>
                <w:bCs w:val="false"/>
                <w:color w:val="000000"/>
              </w:rPr>
              <w:t xml:space="preserve">María Alejandra Ocampo</w:t>
            </w:r>
          </w:p>
        </w:tc>
        <w:tc>
          <w:tcPr>
            <w:tcW w:type="dxa" w:w="4500"/>
            <w:tcMar>
              <w:top w:type="dxa" w:w="80"/>
              <w:left w:type="dxa" w:w="100"/>
              <w:bottom w:type="dxa" w:w="80"/>
              <w:right w:type="dxa" w:w="100"/>
            </w:tcMar>
          </w:tcPr>
          <w:p>
            <w:r>
              <w:rPr>
                <w:b w:val="false"/>
                <w:bCs w:val="false"/>
                <w:color w:val="000000"/>
              </w:rPr>
              <w:t xml:space="preserve">Modelo de texto (M1) y métricas</w:t>
            </w:r>
          </w:p>
        </w:tc>
      </w:tr>
      <w:tr>
        <w:tc>
          <w:tcPr>
            <w:tcW w:type="dxa" w:w="4500"/>
            <w:tcMar>
              <w:top w:type="dxa" w:w="80"/>
              <w:left w:type="dxa" w:w="100"/>
              <w:bottom w:type="dxa" w:w="80"/>
              <w:right w:type="dxa" w:w="100"/>
            </w:tcMar>
          </w:tcPr>
          <w:p>
            <w:r>
              <w:rPr>
                <w:b w:val="false"/>
                <w:bCs w:val="false"/>
                <w:color w:val="000000"/>
              </w:rPr>
              <w:t xml:space="preserve">Camilo Salazar</w:t>
            </w:r>
          </w:p>
        </w:tc>
        <w:tc>
          <w:tcPr>
            <w:tcW w:type="dxa" w:w="4500"/>
            <w:tcMar>
              <w:top w:type="dxa" w:w="80"/>
              <w:left w:type="dxa" w:w="100"/>
              <w:bottom w:type="dxa" w:w="80"/>
              <w:right w:type="dxa" w:w="100"/>
            </w:tcMar>
          </w:tcPr>
          <w:p>
            <w:r>
              <w:rPr>
                <w:b w:val="false"/>
                <w:bCs w:val="false"/>
                <w:color w:val="000000"/>
              </w:rPr>
              <w:t xml:space="preserve">Componente visual (M4)</w:t>
            </w:r>
          </w:p>
        </w:tc>
      </w:tr>
      <w:tr>
        <w:tc>
          <w:tcPr>
            <w:tcW w:type="dxa" w:w="4500"/>
            <w:tcMar>
              <w:top w:type="dxa" w:w="80"/>
              <w:left w:type="dxa" w:w="100"/>
              <w:bottom w:type="dxa" w:w="80"/>
              <w:right w:type="dxa" w:w="100"/>
            </w:tcMar>
          </w:tcPr>
          <w:p>
            <w:r>
              <w:rPr>
                <w:b w:val="false"/>
                <w:bCs w:val="false"/>
                <w:color w:val="000000"/>
              </w:rPr>
              <w:t xml:space="preserve">Juan Esteban Alzate</w:t>
            </w:r>
          </w:p>
        </w:tc>
        <w:tc>
          <w:tcPr>
            <w:tcW w:type="dxa" w:w="4500"/>
            <w:tcMar>
              <w:top w:type="dxa" w:w="80"/>
              <w:left w:type="dxa" w:w="100"/>
              <w:bottom w:type="dxa" w:w="80"/>
              <w:right w:type="dxa" w:w="100"/>
            </w:tcMar>
          </w:tcPr>
          <w:p>
            <w:r>
              <w:rPr>
                <w:b w:val="false"/>
                <w:bCs w:val="false"/>
                <w:color w:val="000000"/>
              </w:rPr>
              <w:t xml:space="preserve">Integración y ética</w:t>
            </w:r>
          </w:p>
        </w:tc>
      </w:tr>
    </w:tbl>
    <w:p>
      <w:pPr>
        <w:pBdr>
          <w:bottom w:val="single" w:color="cccccc" w:sz="6" w:space="1"/>
        </w:pBdr>
        <w:spacing w:after="200"/>
      </w:pPr>
    </w:p>
    <w:p>
      <w:pPr>
        <w:pStyle w:val="Heading1"/>
        <w:spacing w:after="150" w:before="300"/>
      </w:pPr>
      <w:r>
        <w:t xml:space="preserve">1. Selección y justificación del modelo base</w:t>
      </w:r>
    </w:p>
    <w:p>
      <w:pPr>
        <w:spacing w:after="120"/>
      </w:pPr>
      <w:r>
        <w:t xml:space="preserve">Nuestra tarea (M1) es clasificar la descripción de síntomas del paciente en dos clases: urgente / no urgente. Según la regla de la Sesión 3 (clasificar/extraer → familia encoder), descartamos modelos decoder (generación) y encoder-decoder (transformación texto-a-texto), y comparamos dos candidatos encoder:</w:t>
      </w:r>
    </w:p>
    <w:p>
      <w:pPr>
        <w:pStyle w:val="ListParagraph"/>
        <w:numPr>
          <w:ilvl w:val="0"/>
          <w:numId w:val="1"/>
        </w:numPr>
        <w:spacing w:after="80"/>
      </w:pPr>
      <w:r>
        <w:t xml:space="preserve">distilbert-base-multilingual-cased — ~135M parámetros, cubre más de 100 idiomas, licencia Apache 2.0.</w:t>
      </w:r>
    </w:p>
    <w:p>
      <w:pPr>
        <w:pStyle w:val="ListParagraph"/>
        <w:numPr>
          <w:ilvl w:val="0"/>
          <w:numId w:val="1"/>
        </w:numPr>
        <w:spacing w:after="80"/>
      </w:pPr>
      <w:r>
        <w:t xml:space="preserve">dccuchile/bert-base-spanish-wwm-cased (BETO) — ~110M parámetros, entrenado solo en español, licencia CC BY 4.0.</w:t>
      </w:r>
    </w:p>
    <w:p>
      <w:pPr>
        <w:spacing w:after="120"/>
      </w:pPr>
      <w:r>
        <w:t xml:space="preserve">Siguiendo la metodología del Lab A/B, tokenizamos nuestro corpus de dominio con ambos modelos y comparamos cómo fragmentan los términos clínicos clave: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2100"/>
        <w:gridCol w:w="2100"/>
        <w:gridCol w:w="2000"/>
      </w:tblGrid>
      <w:tr>
        <w:tc>
          <w:tcPr>
            <w:tcW w:type="dxa" w:w="2800"/>
            <w:shd w:fill="1a2a4a" w:val="clear"/>
            <w:tcMar>
              <w:top w:type="dxa" w:w="80"/>
              <w:left w:type="dxa" w:w="100"/>
              <w:bottom w:type="dxa" w:w="80"/>
              <w:right w:type="dxa" w:w="100"/>
            </w:tcMar>
          </w:tcPr>
          <w:p>
            <w:r>
              <w:rPr>
                <w:b/>
                <w:bCs/>
                <w:color w:val="FFFFFF"/>
              </w:rPr>
              <w:t xml:space="preserve">Término</w:t>
            </w:r>
          </w:p>
        </w:tc>
        <w:tc>
          <w:tcPr>
            <w:tcW w:type="dxa" w:w="2100"/>
            <w:shd w:fill="1a2a4a" w:val="clear"/>
            <w:tcMar>
              <w:top w:type="dxa" w:w="80"/>
              <w:left w:type="dxa" w:w="100"/>
              <w:bottom w:type="dxa" w:w="80"/>
              <w:right w:type="dxa" w:w="100"/>
            </w:tcMar>
          </w:tcPr>
          <w:p>
            <w:r>
              <w:rPr>
                <w:b/>
                <w:bCs/>
                <w:color w:val="FFFFFF"/>
              </w:rPr>
              <w:t xml:space="preserve">distilbert-multilingual</w:t>
            </w:r>
          </w:p>
        </w:tc>
        <w:tc>
          <w:tcPr>
            <w:tcW w:type="dxa" w:w="2100"/>
            <w:shd w:fill="1a2a4a" w:val="clear"/>
            <w:tcMar>
              <w:top w:type="dxa" w:w="80"/>
              <w:left w:type="dxa" w:w="100"/>
              <w:bottom w:type="dxa" w:w="80"/>
              <w:right w:type="dxa" w:w="100"/>
            </w:tcMar>
          </w:tcPr>
          <w:p>
            <w:r>
              <w:rPr>
                <w:b/>
                <w:bCs/>
                <w:color w:val="FFFFFF"/>
              </w:rPr>
              <w:t xml:space="preserve">BETO (español)</w:t>
            </w:r>
          </w:p>
        </w:tc>
        <w:tc>
          <w:tcPr>
            <w:tcW w:type="dxa" w:w="2000"/>
            <w:shd w:fill="1a2a4a" w:val="clear"/>
            <w:tcMar>
              <w:top w:type="dxa" w:w="80"/>
              <w:left w:type="dxa" w:w="100"/>
              <w:bottom w:type="dxa" w:w="80"/>
              <w:right w:type="dxa" w:w="100"/>
            </w:tcMar>
          </w:tcPr>
          <w:p>
            <w:r>
              <w:rPr>
                <w:b/>
                <w:bCs/>
                <w:color w:val="FFFFFF"/>
              </w:rPr>
              <w:t xml:space="preserve">Ganador</w:t>
            </w:r>
          </w:p>
        </w:tc>
      </w:tr>
      <w:tr>
        <w:tc>
          <w:tcPr>
            <w:tcW w:type="dxa" w:w="2800"/>
            <w:tcMar>
              <w:top w:type="dxa" w:w="80"/>
              <w:left w:type="dxa" w:w="100"/>
              <w:bottom w:type="dxa" w:w="80"/>
              <w:right w:type="dxa" w:w="100"/>
            </w:tcMar>
          </w:tcPr>
          <w:p>
            <w:r>
              <w:rPr>
                <w:b w:val="false"/>
                <w:bCs w:val="false"/>
                <w:color w:val="000000"/>
              </w:rPr>
              <w:t xml:space="preserve">asimetría</w:t>
            </w:r>
          </w:p>
        </w:tc>
        <w:tc>
          <w:tcPr>
            <w:tcW w:type="dxa" w:w="2100"/>
            <w:tcMar>
              <w:top w:type="dxa" w:w="80"/>
              <w:left w:type="dxa" w:w="100"/>
              <w:bottom w:type="dxa" w:w="80"/>
              <w:right w:type="dxa" w:w="100"/>
            </w:tcMar>
          </w:tcPr>
          <w:p>
            <w:r>
              <w:rPr>
                <w:b w:val="false"/>
                <w:bCs w:val="false"/>
                <w:color w:val="000000"/>
              </w:rPr>
              <w:t xml:space="preserve">3 piezas</w:t>
            </w:r>
          </w:p>
        </w:tc>
        <w:tc>
          <w:tcPr>
            <w:tcW w:type="dxa" w:w="2100"/>
            <w:tcMar>
              <w:top w:type="dxa" w:w="80"/>
              <w:left w:type="dxa" w:w="100"/>
              <w:bottom w:type="dxa" w:w="80"/>
              <w:right w:type="dxa" w:w="100"/>
            </w:tcMar>
          </w:tcPr>
          <w:p>
            <w:r>
              <w:rPr>
                <w:b w:val="false"/>
                <w:bCs w:val="false"/>
                <w:color w:val="000000"/>
              </w:rPr>
              <w:t xml:space="preserve">3 piezas</w:t>
            </w:r>
          </w:p>
        </w:tc>
        <w:tc>
          <w:tcPr>
            <w:tcW w:type="dxa" w:w="2000"/>
            <w:tcMar>
              <w:top w:type="dxa" w:w="80"/>
              <w:left w:type="dxa" w:w="100"/>
              <w:bottom w:type="dxa" w:w="80"/>
              <w:right w:type="dxa" w:w="100"/>
            </w:tcMar>
          </w:tcPr>
          <w:p>
            <w:r>
              <w:rPr>
                <w:b w:val="false"/>
                <w:bCs w:val="false"/>
                <w:color w:val="000000"/>
              </w:rPr>
              <w:t xml:space="preserve">empate</w:t>
            </w:r>
          </w:p>
        </w:tc>
      </w:tr>
      <w:tr>
        <w:tc>
          <w:tcPr>
            <w:tcW w:type="dxa" w:w="2800"/>
            <w:tcMar>
              <w:top w:type="dxa" w:w="80"/>
              <w:left w:type="dxa" w:w="100"/>
              <w:bottom w:type="dxa" w:w="80"/>
              <w:right w:type="dxa" w:w="100"/>
            </w:tcMar>
          </w:tcPr>
          <w:p>
            <w:r>
              <w:rPr>
                <w:b w:val="false"/>
                <w:bCs w:val="false"/>
                <w:color w:val="000000"/>
              </w:rPr>
              <w:t xml:space="preserve">melanoma</w:t>
            </w:r>
          </w:p>
        </w:tc>
        <w:tc>
          <w:tcPr>
            <w:tcW w:type="dxa" w:w="2100"/>
            <w:tcMar>
              <w:top w:type="dxa" w:w="80"/>
              <w:left w:type="dxa" w:w="100"/>
              <w:bottom w:type="dxa" w:w="80"/>
              <w:right w:type="dxa" w:w="100"/>
            </w:tcMar>
          </w:tcPr>
          <w:p>
            <w:r>
              <w:rPr>
                <w:b w:val="false"/>
                <w:bCs w:val="false"/>
                <w:color w:val="000000"/>
              </w:rPr>
              <w:t xml:space="preserve">3 piezas</w:t>
            </w:r>
          </w:p>
        </w:tc>
        <w:tc>
          <w:tcPr>
            <w:tcW w:type="dxa" w:w="2100"/>
            <w:tcMar>
              <w:top w:type="dxa" w:w="80"/>
              <w:left w:type="dxa" w:w="100"/>
              <w:bottom w:type="dxa" w:w="80"/>
              <w:right w:type="dxa" w:w="100"/>
            </w:tcMar>
          </w:tcPr>
          <w:p>
            <w:r>
              <w:rPr>
                <w:b w:val="false"/>
                <w:bCs w:val="false"/>
                <w:color w:val="000000"/>
              </w:rPr>
              <w:t xml:space="preserve">2 piezas</w:t>
            </w:r>
          </w:p>
        </w:tc>
        <w:tc>
          <w:tcPr>
            <w:tcW w:type="dxa" w:w="2000"/>
            <w:tcMar>
              <w:top w:type="dxa" w:w="80"/>
              <w:left w:type="dxa" w:w="100"/>
              <w:bottom w:type="dxa" w:w="80"/>
              <w:right w:type="dxa" w:w="100"/>
            </w:tcMar>
          </w:tcPr>
          <w:p>
            <w:r>
              <w:rPr>
                <w:b w:val="false"/>
                <w:bCs w:val="false"/>
                <w:color w:val="000000"/>
              </w:rPr>
              <w:t xml:space="preserve">BETO</w:t>
            </w:r>
          </w:p>
        </w:tc>
      </w:tr>
      <w:tr>
        <w:tc>
          <w:tcPr>
            <w:tcW w:type="dxa" w:w="2800"/>
            <w:tcMar>
              <w:top w:type="dxa" w:w="80"/>
              <w:left w:type="dxa" w:w="100"/>
              <w:bottom w:type="dxa" w:w="80"/>
              <w:right w:type="dxa" w:w="100"/>
            </w:tcMar>
          </w:tcPr>
          <w:p>
            <w:r>
              <w:rPr>
                <w:b w:val="false"/>
                <w:bCs w:val="false"/>
                <w:color w:val="000000"/>
              </w:rPr>
              <w:t xml:space="preserve">queratosis</w:t>
            </w:r>
          </w:p>
        </w:tc>
        <w:tc>
          <w:tcPr>
            <w:tcW w:type="dxa" w:w="2100"/>
            <w:tcMar>
              <w:top w:type="dxa" w:w="80"/>
              <w:left w:type="dxa" w:w="100"/>
              <w:bottom w:type="dxa" w:w="80"/>
              <w:right w:type="dxa" w:w="100"/>
            </w:tcMar>
          </w:tcPr>
          <w:p>
            <w:r>
              <w:rPr>
                <w:b w:val="false"/>
                <w:bCs w:val="false"/>
                <w:color w:val="000000"/>
              </w:rPr>
              <w:t xml:space="preserve">3 piezas</w:t>
            </w:r>
          </w:p>
        </w:tc>
        <w:tc>
          <w:tcPr>
            <w:tcW w:type="dxa" w:w="2100"/>
            <w:tcMar>
              <w:top w:type="dxa" w:w="80"/>
              <w:left w:type="dxa" w:w="100"/>
              <w:bottom w:type="dxa" w:w="80"/>
              <w:right w:type="dxa" w:w="100"/>
            </w:tcMar>
          </w:tcPr>
          <w:p>
            <w:r>
              <w:rPr>
                <w:b w:val="false"/>
                <w:bCs w:val="false"/>
                <w:color w:val="000000"/>
              </w:rPr>
              <w:t xml:space="preserve">3 piezas</w:t>
            </w:r>
          </w:p>
        </w:tc>
        <w:tc>
          <w:tcPr>
            <w:tcW w:type="dxa" w:w="2000"/>
            <w:tcMar>
              <w:top w:type="dxa" w:w="80"/>
              <w:left w:type="dxa" w:w="100"/>
              <w:bottom w:type="dxa" w:w="80"/>
              <w:right w:type="dxa" w:w="100"/>
            </w:tcMar>
          </w:tcPr>
          <w:p>
            <w:r>
              <w:rPr>
                <w:b w:val="false"/>
                <w:bCs w:val="false"/>
                <w:color w:val="000000"/>
              </w:rPr>
              <w:t xml:space="preserve">empate</w:t>
            </w:r>
          </w:p>
        </w:tc>
      </w:tr>
      <w:tr>
        <w:tc>
          <w:tcPr>
            <w:tcW w:type="dxa" w:w="2800"/>
            <w:tcMar>
              <w:top w:type="dxa" w:w="80"/>
              <w:left w:type="dxa" w:w="100"/>
              <w:bottom w:type="dxa" w:w="80"/>
              <w:right w:type="dxa" w:w="100"/>
            </w:tcMar>
          </w:tcPr>
          <w:p>
            <w:r>
              <w:rPr>
                <w:b w:val="false"/>
                <w:bCs w:val="false"/>
                <w:color w:val="000000"/>
              </w:rPr>
              <w:t xml:space="preserve">dermatofibroma</w:t>
            </w:r>
          </w:p>
        </w:tc>
        <w:tc>
          <w:tcPr>
            <w:tcW w:type="dxa" w:w="2100"/>
            <w:tcMar>
              <w:top w:type="dxa" w:w="80"/>
              <w:left w:type="dxa" w:w="100"/>
              <w:bottom w:type="dxa" w:w="80"/>
              <w:right w:type="dxa" w:w="100"/>
            </w:tcMar>
          </w:tcPr>
          <w:p>
            <w:r>
              <w:rPr>
                <w:b w:val="false"/>
                <w:bCs w:val="false"/>
                <w:color w:val="000000"/>
              </w:rPr>
              <w:t xml:space="preserve">5 piezas</w:t>
            </w:r>
          </w:p>
        </w:tc>
        <w:tc>
          <w:tcPr>
            <w:tcW w:type="dxa" w:w="2100"/>
            <w:tcMar>
              <w:top w:type="dxa" w:w="80"/>
              <w:left w:type="dxa" w:w="100"/>
              <w:bottom w:type="dxa" w:w="80"/>
              <w:right w:type="dxa" w:w="100"/>
            </w:tcMar>
          </w:tcPr>
          <w:p>
            <w:r>
              <w:rPr>
                <w:b w:val="false"/>
                <w:bCs w:val="false"/>
                <w:color w:val="000000"/>
              </w:rPr>
              <w:t xml:space="preserve">6 piezas</w:t>
            </w:r>
          </w:p>
        </w:tc>
        <w:tc>
          <w:tcPr>
            <w:tcW w:type="dxa" w:w="2000"/>
            <w:tcMar>
              <w:top w:type="dxa" w:w="80"/>
              <w:left w:type="dxa" w:w="100"/>
              <w:bottom w:type="dxa" w:w="80"/>
              <w:right w:type="dxa" w:w="100"/>
            </w:tcMar>
          </w:tcPr>
          <w:p>
            <w:r>
              <w:rPr>
                <w:b w:val="false"/>
                <w:bCs w:val="false"/>
                <w:color w:val="000000"/>
              </w:rPr>
              <w:t xml:space="preserve">multilingual</w:t>
            </w:r>
          </w:p>
        </w:tc>
      </w:tr>
      <w:tr>
        <w:tc>
          <w:tcPr>
            <w:tcW w:type="dxa" w:w="2800"/>
            <w:tcMar>
              <w:top w:type="dxa" w:w="80"/>
              <w:left w:type="dxa" w:w="100"/>
              <w:bottom w:type="dxa" w:w="80"/>
              <w:right w:type="dxa" w:w="100"/>
            </w:tcMar>
          </w:tcPr>
          <w:p>
            <w:r>
              <w:rPr>
                <w:b w:val="false"/>
                <w:bCs w:val="false"/>
                <w:color w:val="000000"/>
              </w:rPr>
              <w:t xml:space="preserve">carcinoma</w:t>
            </w:r>
          </w:p>
        </w:tc>
        <w:tc>
          <w:tcPr>
            <w:tcW w:type="dxa" w:w="2100"/>
            <w:tcMar>
              <w:top w:type="dxa" w:w="80"/>
              <w:left w:type="dxa" w:w="100"/>
              <w:bottom w:type="dxa" w:w="80"/>
              <w:right w:type="dxa" w:w="100"/>
            </w:tcMar>
          </w:tcPr>
          <w:p>
            <w:r>
              <w:rPr>
                <w:b w:val="false"/>
                <w:bCs w:val="false"/>
                <w:color w:val="000000"/>
              </w:rPr>
              <w:t xml:space="preserve">3 piezas</w:t>
            </w:r>
          </w:p>
        </w:tc>
        <w:tc>
          <w:tcPr>
            <w:tcW w:type="dxa" w:w="2100"/>
            <w:tcMar>
              <w:top w:type="dxa" w:w="80"/>
              <w:left w:type="dxa" w:w="100"/>
              <w:bottom w:type="dxa" w:w="80"/>
              <w:right w:type="dxa" w:w="100"/>
            </w:tcMar>
          </w:tcPr>
          <w:p>
            <w:r>
              <w:rPr>
                <w:b w:val="false"/>
                <w:bCs w:val="false"/>
                <w:color w:val="000000"/>
              </w:rPr>
              <w:t xml:space="preserve">3 piezas</w:t>
            </w:r>
          </w:p>
        </w:tc>
        <w:tc>
          <w:tcPr>
            <w:tcW w:type="dxa" w:w="2000"/>
            <w:tcMar>
              <w:top w:type="dxa" w:w="80"/>
              <w:left w:type="dxa" w:w="100"/>
              <w:bottom w:type="dxa" w:w="80"/>
              <w:right w:type="dxa" w:w="100"/>
            </w:tcMar>
          </w:tcPr>
          <w:p>
            <w:r>
              <w:rPr>
                <w:b w:val="false"/>
                <w:bCs w:val="false"/>
                <w:color w:val="000000"/>
              </w:rPr>
              <w:t xml:space="preserve">empate</w:t>
            </w:r>
          </w:p>
        </w:tc>
      </w:tr>
      <w:tr>
        <w:tc>
          <w:tcPr>
            <w:tcW w:type="dxa" w:w="2800"/>
            <w:tcMar>
              <w:top w:type="dxa" w:w="80"/>
              <w:left w:type="dxa" w:w="100"/>
              <w:bottom w:type="dxa" w:w="80"/>
              <w:right w:type="dxa" w:w="100"/>
            </w:tcMar>
          </w:tcPr>
          <w:p>
            <w:r>
              <w:rPr>
                <w:b w:val="false"/>
                <w:bCs w:val="false"/>
                <w:color w:val="000000"/>
              </w:rPr>
              <w:t xml:space="preserve">basocelular</w:t>
            </w:r>
          </w:p>
        </w:tc>
        <w:tc>
          <w:tcPr>
            <w:tcW w:type="dxa" w:w="2100"/>
            <w:tcMar>
              <w:top w:type="dxa" w:w="80"/>
              <w:left w:type="dxa" w:w="100"/>
              <w:bottom w:type="dxa" w:w="80"/>
              <w:right w:type="dxa" w:w="100"/>
            </w:tcMar>
          </w:tcPr>
          <w:p>
            <w:r>
              <w:rPr>
                <w:b w:val="false"/>
                <w:bCs w:val="false"/>
                <w:color w:val="000000"/>
              </w:rPr>
              <w:t xml:space="preserve">4 piezas</w:t>
            </w:r>
          </w:p>
        </w:tc>
        <w:tc>
          <w:tcPr>
            <w:tcW w:type="dxa" w:w="2100"/>
            <w:tcMar>
              <w:top w:type="dxa" w:w="80"/>
              <w:left w:type="dxa" w:w="100"/>
              <w:bottom w:type="dxa" w:w="80"/>
              <w:right w:type="dxa" w:w="100"/>
            </w:tcMar>
          </w:tcPr>
          <w:p>
            <w:r>
              <w:rPr>
                <w:b w:val="false"/>
                <w:bCs w:val="false"/>
                <w:color w:val="000000"/>
              </w:rPr>
              <w:t xml:space="preserve">4 piezas</w:t>
            </w:r>
          </w:p>
        </w:tc>
        <w:tc>
          <w:tcPr>
            <w:tcW w:type="dxa" w:w="2000"/>
            <w:tcMar>
              <w:top w:type="dxa" w:w="80"/>
              <w:left w:type="dxa" w:w="100"/>
              <w:bottom w:type="dxa" w:w="80"/>
              <w:right w:type="dxa" w:w="100"/>
            </w:tcMar>
          </w:tcPr>
          <w:p>
            <w:r>
              <w:rPr>
                <w:b w:val="false"/>
                <w:bCs w:val="false"/>
                <w:color w:val="000000"/>
              </w:rPr>
              <w:t xml:space="preserve">empate</w:t>
            </w:r>
          </w:p>
        </w:tc>
      </w:tr>
      <w:tr>
        <w:tc>
          <w:tcPr>
            <w:tcW w:type="dxa" w:w="2800"/>
            <w:tcMar>
              <w:top w:type="dxa" w:w="80"/>
              <w:left w:type="dxa" w:w="100"/>
              <w:bottom w:type="dxa" w:w="80"/>
              <w:right w:type="dxa" w:w="100"/>
            </w:tcMar>
          </w:tcPr>
          <w:p>
            <w:r>
              <w:rPr>
                <w:b w:val="false"/>
                <w:bCs w:val="false"/>
                <w:color w:val="000000"/>
              </w:rPr>
              <w:t xml:space="preserve">nevus</w:t>
            </w:r>
          </w:p>
        </w:tc>
        <w:tc>
          <w:tcPr>
            <w:tcW w:type="dxa" w:w="2100"/>
            <w:tcMar>
              <w:top w:type="dxa" w:w="80"/>
              <w:left w:type="dxa" w:w="100"/>
              <w:bottom w:type="dxa" w:w="80"/>
              <w:right w:type="dxa" w:w="100"/>
            </w:tcMar>
          </w:tcPr>
          <w:p>
            <w:r>
              <w:rPr>
                <w:b w:val="false"/>
                <w:bCs w:val="false"/>
                <w:color w:val="000000"/>
              </w:rPr>
              <w:t xml:space="preserve">2 piezas</w:t>
            </w:r>
          </w:p>
        </w:tc>
        <w:tc>
          <w:tcPr>
            <w:tcW w:type="dxa" w:w="2100"/>
            <w:tcMar>
              <w:top w:type="dxa" w:w="80"/>
              <w:left w:type="dxa" w:w="100"/>
              <w:bottom w:type="dxa" w:w="80"/>
              <w:right w:type="dxa" w:w="100"/>
            </w:tcMar>
          </w:tcPr>
          <w:p>
            <w:r>
              <w:rPr>
                <w:b w:val="false"/>
                <w:bCs w:val="false"/>
                <w:color w:val="000000"/>
              </w:rPr>
              <w:t xml:space="preserve">3 piezas</w:t>
            </w:r>
          </w:p>
        </w:tc>
        <w:tc>
          <w:tcPr>
            <w:tcW w:type="dxa" w:w="2000"/>
            <w:tcMar>
              <w:top w:type="dxa" w:w="80"/>
              <w:left w:type="dxa" w:w="100"/>
              <w:bottom w:type="dxa" w:w="80"/>
              <w:right w:type="dxa" w:w="100"/>
            </w:tcMar>
          </w:tcPr>
          <w:p>
            <w:r>
              <w:rPr>
                <w:b w:val="false"/>
                <w:bCs w:val="false"/>
                <w:color w:val="000000"/>
              </w:rPr>
              <w:t xml:space="preserve">multilingual</w:t>
            </w:r>
          </w:p>
        </w:tc>
      </w:tr>
      <w:tr>
        <w:tc>
          <w:tcPr>
            <w:tcW w:type="dxa" w:w="2800"/>
            <w:tcMar>
              <w:top w:type="dxa" w:w="80"/>
              <w:left w:type="dxa" w:w="100"/>
              <w:bottom w:type="dxa" w:w="80"/>
              <w:right w:type="dxa" w:w="100"/>
            </w:tcMar>
          </w:tcPr>
          <w:p>
            <w:r>
              <w:rPr>
                <w:b w:val="false"/>
                <w:bCs w:val="false"/>
                <w:color w:val="000000"/>
              </w:rPr>
              <w:t xml:space="preserve">vascular</w:t>
            </w:r>
          </w:p>
        </w:tc>
        <w:tc>
          <w:tcPr>
            <w:tcW w:type="dxa" w:w="2100"/>
            <w:tcMar>
              <w:top w:type="dxa" w:w="80"/>
              <w:left w:type="dxa" w:w="100"/>
              <w:bottom w:type="dxa" w:w="80"/>
              <w:right w:type="dxa" w:w="100"/>
            </w:tcMar>
          </w:tcPr>
          <w:p>
            <w:r>
              <w:rPr>
                <w:b w:val="false"/>
                <w:bCs w:val="false"/>
                <w:color w:val="000000"/>
              </w:rPr>
              <w:t xml:space="preserve">2 piezas</w:t>
            </w:r>
          </w:p>
        </w:tc>
        <w:tc>
          <w:tcPr>
            <w:tcW w:type="dxa" w:w="2100"/>
            <w:tcMar>
              <w:top w:type="dxa" w:w="80"/>
              <w:left w:type="dxa" w:w="100"/>
              <w:bottom w:type="dxa" w:w="80"/>
              <w:right w:type="dxa" w:w="100"/>
            </w:tcMar>
          </w:tcPr>
          <w:p>
            <w:r>
              <w:rPr>
                <w:b w:val="false"/>
                <w:bCs w:val="false"/>
                <w:color w:val="000000"/>
              </w:rPr>
              <w:t xml:space="preserve">2 piezas</w:t>
            </w:r>
          </w:p>
        </w:tc>
        <w:tc>
          <w:tcPr>
            <w:tcW w:type="dxa" w:w="2000"/>
            <w:tcMar>
              <w:top w:type="dxa" w:w="80"/>
              <w:left w:type="dxa" w:w="100"/>
              <w:bottom w:type="dxa" w:w="80"/>
              <w:right w:type="dxa" w:w="100"/>
            </w:tcMar>
          </w:tcPr>
          <w:p>
            <w:r>
              <w:rPr>
                <w:b w:val="false"/>
                <w:bCs w:val="false"/>
                <w:color w:val="000000"/>
              </w:rPr>
              <w:t xml:space="preserve">empate</w:t>
            </w:r>
          </w:p>
        </w:tc>
      </w:tr>
      <w:tr>
        <w:tc>
          <w:tcPr>
            <w:tcW w:type="dxa" w:w="2800"/>
            <w:tcMar>
              <w:top w:type="dxa" w:w="80"/>
              <w:left w:type="dxa" w:w="100"/>
              <w:bottom w:type="dxa" w:w="80"/>
              <w:right w:type="dxa" w:w="100"/>
            </w:tcMar>
          </w:tcPr>
          <w:p>
            <w:r>
              <w:rPr>
                <w:b w:val="false"/>
                <w:bCs w:val="false"/>
                <w:color w:val="000000"/>
              </w:rPr>
              <w:t xml:space="preserve">escamosa</w:t>
            </w:r>
          </w:p>
        </w:tc>
        <w:tc>
          <w:tcPr>
            <w:tcW w:type="dxa" w:w="2100"/>
            <w:tcMar>
              <w:top w:type="dxa" w:w="80"/>
              <w:left w:type="dxa" w:w="100"/>
              <w:bottom w:type="dxa" w:w="80"/>
              <w:right w:type="dxa" w:w="100"/>
            </w:tcMar>
          </w:tcPr>
          <w:p>
            <w:r>
              <w:rPr>
                <w:b w:val="false"/>
                <w:bCs w:val="false"/>
                <w:color w:val="000000"/>
              </w:rPr>
              <w:t xml:space="preserve">3 piezas</w:t>
            </w:r>
          </w:p>
        </w:tc>
        <w:tc>
          <w:tcPr>
            <w:tcW w:type="dxa" w:w="2100"/>
            <w:tcMar>
              <w:top w:type="dxa" w:w="80"/>
              <w:left w:type="dxa" w:w="100"/>
              <w:bottom w:type="dxa" w:w="80"/>
              <w:right w:type="dxa" w:w="100"/>
            </w:tcMar>
          </w:tcPr>
          <w:p>
            <w:r>
              <w:rPr>
                <w:b w:val="false"/>
                <w:bCs w:val="false"/>
                <w:color w:val="000000"/>
              </w:rPr>
              <w:t xml:space="preserve">3 piezas</w:t>
            </w:r>
          </w:p>
        </w:tc>
        <w:tc>
          <w:tcPr>
            <w:tcW w:type="dxa" w:w="2000"/>
            <w:tcMar>
              <w:top w:type="dxa" w:w="80"/>
              <w:left w:type="dxa" w:w="100"/>
              <w:bottom w:type="dxa" w:w="80"/>
              <w:right w:type="dxa" w:w="100"/>
            </w:tcMar>
          </w:tcPr>
          <w:p>
            <w:r>
              <w:rPr>
                <w:b w:val="false"/>
                <w:bCs w:val="false"/>
                <w:color w:val="000000"/>
              </w:rPr>
              <w:t xml:space="preserve">empate</w:t>
            </w:r>
          </w:p>
        </w:tc>
      </w:tr>
      <w:tr>
        <w:tc>
          <w:tcPr>
            <w:tcW w:type="dxa" w:w="2800"/>
            <w:tcMar>
              <w:top w:type="dxa" w:w="80"/>
              <w:left w:type="dxa" w:w="100"/>
              <w:bottom w:type="dxa" w:w="80"/>
              <w:right w:type="dxa" w:w="100"/>
            </w:tcMar>
          </w:tcPr>
          <w:p>
            <w:r>
              <w:rPr>
                <w:b w:val="false"/>
                <w:bCs w:val="false"/>
                <w:color w:val="000000"/>
              </w:rPr>
              <w:t xml:space="preserve">perlado</w:t>
            </w:r>
          </w:p>
        </w:tc>
        <w:tc>
          <w:tcPr>
            <w:tcW w:type="dxa" w:w="2100"/>
            <w:tcMar>
              <w:top w:type="dxa" w:w="80"/>
              <w:left w:type="dxa" w:w="100"/>
              <w:bottom w:type="dxa" w:w="80"/>
              <w:right w:type="dxa" w:w="100"/>
            </w:tcMar>
          </w:tcPr>
          <w:p>
            <w:r>
              <w:rPr>
                <w:b w:val="false"/>
                <w:bCs w:val="false"/>
                <w:color w:val="000000"/>
              </w:rPr>
              <w:t xml:space="preserve">2 piezas</w:t>
            </w:r>
          </w:p>
        </w:tc>
        <w:tc>
          <w:tcPr>
            <w:tcW w:type="dxa" w:w="2100"/>
            <w:tcMar>
              <w:top w:type="dxa" w:w="80"/>
              <w:left w:type="dxa" w:w="100"/>
              <w:bottom w:type="dxa" w:w="80"/>
              <w:right w:type="dxa" w:w="100"/>
            </w:tcMar>
          </w:tcPr>
          <w:p>
            <w:r>
              <w:rPr>
                <w:b w:val="false"/>
                <w:bCs w:val="false"/>
                <w:color w:val="000000"/>
              </w:rPr>
              <w:t xml:space="preserve">2 piezas</w:t>
            </w:r>
          </w:p>
        </w:tc>
        <w:tc>
          <w:tcPr>
            <w:tcW w:type="dxa" w:w="2000"/>
            <w:tcMar>
              <w:top w:type="dxa" w:w="80"/>
              <w:left w:type="dxa" w:w="100"/>
              <w:bottom w:type="dxa" w:w="80"/>
              <w:right w:type="dxa" w:w="100"/>
            </w:tcMar>
          </w:tcPr>
          <w:p>
            <w:r>
              <w:rPr>
                <w:b w:val="false"/>
                <w:bCs w:val="false"/>
                <w:color w:val="000000"/>
              </w:rPr>
              <w:t xml:space="preserve">empate</w:t>
            </w:r>
          </w:p>
        </w:tc>
      </w:tr>
      <w:tr>
        <w:tc>
          <w:tcPr>
            <w:tcW w:type="dxa" w:w="2800"/>
            <w:tcMar>
              <w:top w:type="dxa" w:w="80"/>
              <w:left w:type="dxa" w:w="100"/>
              <w:bottom w:type="dxa" w:w="80"/>
              <w:right w:type="dxa" w:w="100"/>
            </w:tcMar>
          </w:tcPr>
          <w:p>
            <w:r>
              <w:rPr>
                <w:b w:val="false"/>
                <w:bCs w:val="false"/>
                <w:color w:val="000000"/>
              </w:rPr>
              <w:t xml:space="preserve">descamativa</w:t>
            </w:r>
          </w:p>
        </w:tc>
        <w:tc>
          <w:tcPr>
            <w:tcW w:type="dxa" w:w="2100"/>
            <w:tcMar>
              <w:top w:type="dxa" w:w="80"/>
              <w:left w:type="dxa" w:w="100"/>
              <w:bottom w:type="dxa" w:w="80"/>
              <w:right w:type="dxa" w:w="100"/>
            </w:tcMar>
          </w:tcPr>
          <w:p>
            <w:r>
              <w:rPr>
                <w:b w:val="false"/>
                <w:bCs w:val="false"/>
                <w:color w:val="000000"/>
              </w:rPr>
              <w:t xml:space="preserve">3 piezas</w:t>
            </w:r>
          </w:p>
        </w:tc>
        <w:tc>
          <w:tcPr>
            <w:tcW w:type="dxa" w:w="2100"/>
            <w:tcMar>
              <w:top w:type="dxa" w:w="80"/>
              <w:left w:type="dxa" w:w="100"/>
              <w:bottom w:type="dxa" w:w="80"/>
              <w:right w:type="dxa" w:w="100"/>
            </w:tcMar>
          </w:tcPr>
          <w:p>
            <w:r>
              <w:rPr>
                <w:b w:val="false"/>
                <w:bCs w:val="false"/>
                <w:color w:val="000000"/>
              </w:rPr>
              <w:t xml:space="preserve">3 piezas</w:t>
            </w:r>
          </w:p>
        </w:tc>
        <w:tc>
          <w:tcPr>
            <w:tcW w:type="dxa" w:w="2000"/>
            <w:tcMar>
              <w:top w:type="dxa" w:w="80"/>
              <w:left w:type="dxa" w:w="100"/>
              <w:bottom w:type="dxa" w:w="80"/>
              <w:right w:type="dxa" w:w="100"/>
            </w:tcMar>
          </w:tcPr>
          <w:p>
            <w:r>
              <w:rPr>
                <w:b w:val="false"/>
                <w:bCs w:val="false"/>
                <w:color w:val="000000"/>
              </w:rPr>
              <w:t xml:space="preserve">empate</w:t>
            </w:r>
          </w:p>
        </w:tc>
      </w:tr>
      <w:tr>
        <w:tc>
          <w:tcPr>
            <w:tcW w:type="dxa" w:w="2800"/>
            <w:tcMar>
              <w:top w:type="dxa" w:w="80"/>
              <w:left w:type="dxa" w:w="100"/>
              <w:bottom w:type="dxa" w:w="80"/>
              <w:right w:type="dxa" w:w="100"/>
            </w:tcMar>
          </w:tcPr>
          <w:p>
            <w:r>
              <w:rPr>
                <w:b w:val="false"/>
                <w:bCs w:val="false"/>
                <w:color w:val="000000"/>
              </w:rPr>
              <w:t xml:space="preserve">Promedio tokens/palabra (corpus completo)</w:t>
            </w:r>
          </w:p>
        </w:tc>
        <w:tc>
          <w:tcPr>
            <w:tcW w:type="dxa" w:w="2100"/>
            <w:tcMar>
              <w:top w:type="dxa" w:w="80"/>
              <w:left w:type="dxa" w:w="100"/>
              <w:bottom w:type="dxa" w:w="80"/>
              <w:right w:type="dxa" w:w="100"/>
            </w:tcMar>
          </w:tcPr>
          <w:p>
            <w:r>
              <w:rPr>
                <w:b w:val="false"/>
                <w:bCs w:val="false"/>
                <w:color w:val="000000"/>
              </w:rPr>
              <w:t xml:space="preserve">1.46</w:t>
            </w:r>
          </w:p>
        </w:tc>
        <w:tc>
          <w:tcPr>
            <w:tcW w:type="dxa" w:w="2100"/>
            <w:tcMar>
              <w:top w:type="dxa" w:w="80"/>
              <w:left w:type="dxa" w:w="100"/>
              <w:bottom w:type="dxa" w:w="80"/>
              <w:right w:type="dxa" w:w="100"/>
            </w:tcMar>
          </w:tcPr>
          <w:p>
            <w:r>
              <w:rPr>
                <w:b w:val="false"/>
                <w:bCs w:val="false"/>
                <w:color w:val="000000"/>
              </w:rPr>
              <w:t xml:space="preserve">1.26</w:t>
            </w:r>
          </w:p>
        </w:tc>
        <w:tc>
          <w:tcPr>
            <w:tcW w:type="dxa" w:w="2000"/>
            <w:tcMar>
              <w:top w:type="dxa" w:w="80"/>
              <w:left w:type="dxa" w:w="100"/>
              <w:bottom w:type="dxa" w:w="80"/>
              <w:right w:type="dxa" w:w="100"/>
            </w:tcMar>
          </w:tcPr>
          <w:p>
            <w:r>
              <w:rPr>
                <w:b w:val="false"/>
                <w:bCs w:val="false"/>
                <w:color w:val="000000"/>
              </w:rPr>
              <w:t xml:space="preserve">BETO</w:t>
            </w:r>
          </w:p>
        </w:tc>
      </w:tr>
    </w:tbl>
    <w:p>
      <w:pPr>
        <w:spacing w:after="120"/>
      </w:pPr>
    </w:p>
    <w:p>
      <w:pPr>
        <w:spacing w:after="120"/>
      </w:pPr>
      <w:r>
        <w:t xml:space="preserve">Observaciones:</w:t>
      </w:r>
    </w:p>
    <w:p>
      <w:pPr>
        <w:pStyle w:val="ListParagraph"/>
        <w:numPr>
          <w:ilvl w:val="0"/>
          <w:numId w:val="1"/>
        </w:numPr>
        <w:spacing w:after="80"/>
      </w:pPr>
      <w:r>
        <w:t xml:space="preserve">BETO fragmenta menos en promedio (1.26 tokens/palabra vs. 1.46), y gana claramente en "melanoma" (2 piezas vs. 3).</w:t>
      </w:r>
    </w:p>
    <w:p>
      <w:pPr>
        <w:pStyle w:val="ListParagraph"/>
        <w:numPr>
          <w:ilvl w:val="0"/>
          <w:numId w:val="1"/>
        </w:numPr>
        <w:spacing w:after="80"/>
      </w:pPr>
      <w:r>
        <w:t xml:space="preserve">El resultado no es un barrido total: distilbert-multilingual fragmenta menos "dermatofibroma" y "nevus".</w:t>
      </w:r>
    </w:p>
    <w:p>
      <w:pPr>
        <w:pStyle w:val="ListParagraph"/>
        <w:numPr>
          <w:ilvl w:val="0"/>
          <w:numId w:val="1"/>
        </w:numPr>
        <w:spacing w:after="80"/>
      </w:pPr>
      <w:r>
        <w:t xml:space="preserve">BETO tiene menos parámetros (~110M vs. ~135M) por estar entrenado únicamente en español, en línea con la lección de Chinchilla: no se necesita el modelo más grande, sino el correcto para el dominio.</w:t>
      </w:r>
    </w:p>
    <w:p>
      <w:pPr>
        <w:pStyle w:val="Heading2"/>
        <w:spacing w:after="120" w:before="240"/>
      </w:pPr>
      <w:r>
        <w:t xml:space="preserve">Cómo leer la tabla anterior</w:t>
      </w:r>
    </w:p>
    <w:p>
      <w:pPr>
        <w:spacing w:after="120"/>
      </w:pPr>
      <w:r>
        <w:t xml:space="preserve">La fila que decide la comparación es la última (promedio sobre las 16 frases completas del corpus): 1.26 vs. 1.46 tokens por palabra. Las 11 filas de términos sueltos son ilustrativas, no una votación -- que el modelo multilingüe fragmente menos 2 de esos 11 términos no invalida que, sobre el corpus completo (que tiene muchas más palabras que esas 11), BETO fragmenta menos en general. Ningún modelo gana el 100% de los casos puntuales; lo relevante es la tendencia agregada.</w:t>
      </w:r>
    </w:p>
    <w:p>
      <w:pPr>
        <w:pStyle w:val="Heading2"/>
        <w:spacing w:after="120" w:before="240"/>
      </w:pPr>
      <w:r>
        <w:t xml:space="preserve">Decisión</w:t>
      </w:r>
    </w:p>
    <w:p>
      <w:pPr>
        <w:spacing w:after="120"/>
      </w:pPr>
      <w:r>
        <w:t xml:space="preserve">Elegimos dccuchile/bert-base-spanish-wwm-cased (BETO) como modelo base para M1, por su menor fragmentación general de términos clínicos en español y su menor tamaño.</w:t>
      </w:r>
    </w:p>
    <w:p>
      <w:pPr>
        <w:pStyle w:val="Heading2"/>
        <w:spacing w:after="120" w:before="240"/>
      </w:pPr>
      <w:r>
        <w:t xml:space="preserve">Licencia</w:t>
      </w:r>
    </w:p>
    <w:p>
      <w:pPr>
        <w:spacing w:after="120"/>
      </w:pPr>
      <w:r>
        <w:t xml:space="preserve">BETO se distribuye bajo licencia CC BY 4.0. Los propios autores señalan que no pueden garantizar que todas las fuentes de entrenamiento originales sean 100% compatibles con esa licencia para uso comercial, pero para el uso académico de este proyecto, CC BY 4.0 es suficiente y compatible.</w:t>
      </w:r>
    </w:p>
    <w:p>
      <w:pPr>
        <w:spacing w:after="160" w:before="60"/>
        <w:ind w:left="431"/>
      </w:pPr>
      <w:r>
        <w:rPr>
          <w:i/>
          <w:iCs/>
          <w:color w:val="555555"/>
        </w:rPr>
        <w:t xml:space="preserve">[PENDIENTE] Confirmar cita exacta de la model card de Hugging Face antes de la entrega final.</w:t>
      </w:r>
    </w:p>
    <w:p>
      <w:pPr>
        <w:pBdr>
          <w:bottom w:val="single" w:color="cccccc" w:sz="6" w:space="1"/>
        </w:pBdr>
        <w:spacing w:after="200"/>
      </w:pPr>
    </w:p>
    <w:p>
      <w:pPr>
        <w:pStyle w:val="Heading1"/>
        <w:spacing w:after="150" w:before="300"/>
      </w:pPr>
      <w:r>
        <w:t xml:space="preserve">2. Dataset: construcción y documentación</w:t>
      </w:r>
    </w:p>
    <w:p>
      <w:pPr>
        <w:pStyle w:val="Heading2"/>
        <w:spacing w:after="120" w:before="240"/>
      </w:pPr>
      <w:r>
        <w:t xml:space="preserve">Origen — dos fuentes combinadas</w:t>
      </w:r>
    </w:p>
    <w:p>
      <w:pPr>
        <w:pStyle w:val="ListParagraph"/>
        <w:numPr>
          <w:ilvl w:val="0"/>
          <w:numId w:val="1"/>
        </w:numPr>
        <w:spacing w:after="80"/>
      </w:pPr>
      <w:r>
        <w:t xml:space="preserve">10 casos REALES verificados, extraídos de dos corpus clínicos públicos en español: SPACCC (1.000 casos clínicos reales de SciELO) y CodiEsp (1.000 casos clínicos con códigos CIE-10 oficiales de diagnóstico). Filtrados primero por código CIE-10 (C43, C44, D22, D23, L57, L82 — específicos de piel), luego verificados uno por uno a mano para descartar falsos positivos (ej. melanoma ocular/mucoso, casos donde el hallazgo fue negativo).</w:t>
      </w:r>
    </w:p>
    <w:p>
      <w:pPr>
        <w:pStyle w:val="ListParagraph"/>
        <w:numPr>
          <w:ilvl w:val="0"/>
          <w:numId w:val="1"/>
        </w:numPr>
        <w:spacing w:after="80"/>
      </w:pPr>
      <w:r>
        <w:t xml:space="preserve">126 ejemplos SINTÉTICOS, generados por plantillas del equipo con variación de ubicación/tiempo de evolución, basados en los mismos criterios clínicos que aparecen en los 10 casos reales (regla ABCDE, aspecto perlado, textura áspera, etc.). Documentados como sintéticos en cada fila (columna tipo_fuente), nunca presentados como reales.</w:t>
      </w:r>
    </w:p>
    <w:p>
      <w:pPr>
        <w:pStyle w:val="Heading2"/>
        <w:spacing w:after="120" w:before="240"/>
      </w:pPr>
      <w:r>
        <w:t xml:space="preserve">Por qué solo 10 reales (y por qué no es un problema en esta etapa)</w:t>
      </w:r>
    </w:p>
    <w:p>
      <w:pPr>
        <w:spacing w:after="120"/>
      </w:pPr>
      <w:r>
        <w:t xml:space="preserve">SPACCC y CodiEsp son corpus clínicos GENERALES (oncología, cardiología, urología, neumología...); dermatología es una fracción pequeña. De 2.292 documentos revisados entre los dos corpus, 10 resultaron ser casos reales de piel, correctamente verificados. Se prefirió esta cifra chica pero confiable en vez de inflar el número aceptando falsos positivos — la primera pasada con búsqueda por palabras dio 292 "casos" de los cuales ninguno de la muestra revisada era realmente de dermatología.</w:t>
      </w:r>
    </w:p>
    <w:p>
      <w:pPr>
        <w:pStyle w:val="Heading2"/>
        <w:spacing w:after="120" w:before="240"/>
      </w:pPr>
      <w:r>
        <w:t xml:space="preserve">Criterios de inclusión (mapeo de urgencia)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600"/>
      </w:tblGrid>
      <w:tr>
        <w:tc>
          <w:tcPr>
            <w:tcW w:type="dxa" w:w="2200"/>
            <w:shd w:fill="1a2a4a" w:val="clear"/>
            <w:tcMar>
              <w:top w:type="dxa" w:w="80"/>
              <w:left w:type="dxa" w:w="100"/>
              <w:bottom w:type="dxa" w:w="80"/>
              <w:right w:type="dxa" w:w="100"/>
            </w:tcMar>
          </w:tcPr>
          <w:p>
            <w:r>
              <w:rPr>
                <w:b/>
                <w:bCs/>
                <w:color w:val="FFFFFF"/>
              </w:rPr>
              <w:t xml:space="preserve">Categoría HAM10000</w:t>
            </w:r>
          </w:p>
        </w:tc>
        <w:tc>
          <w:tcPr>
            <w:tcW w:type="dxa" w:w="2200"/>
            <w:shd w:fill="1a2a4a" w:val="clear"/>
            <w:tcMar>
              <w:top w:type="dxa" w:w="80"/>
              <w:left w:type="dxa" w:w="100"/>
              <w:bottom w:type="dxa" w:w="80"/>
              <w:right w:type="dxa" w:w="100"/>
            </w:tcMar>
          </w:tcPr>
          <w:p>
            <w:r>
              <w:rPr>
                <w:b/>
                <w:bCs/>
                <w:color w:val="FFFFFF"/>
              </w:rPr>
              <w:t xml:space="preserve">Etiqueta de urgencia</w:t>
            </w:r>
          </w:p>
        </w:tc>
        <w:tc>
          <w:tcPr>
            <w:tcW w:type="dxa" w:w="4600"/>
            <w:shd w:fill="1a2a4a" w:val="clear"/>
            <w:tcMar>
              <w:top w:type="dxa" w:w="80"/>
              <w:left w:type="dxa" w:w="100"/>
              <w:bottom w:type="dxa" w:w="80"/>
              <w:right w:type="dxa" w:w="100"/>
            </w:tcMar>
          </w:tcPr>
          <w:p>
            <w:r>
              <w:rPr>
                <w:b/>
                <w:bCs/>
                <w:color w:val="FFFFFF"/>
              </w:rPr>
              <w:t xml:space="preserve">Justificación clínica</w:t>
            </w:r>
          </w:p>
        </w:tc>
      </w:tr>
      <w:tr>
        <w:tc>
          <w:tcPr>
            <w:tcW w:type="dxa" w:w="2200"/>
            <w:tcMar>
              <w:top w:type="dxa" w:w="80"/>
              <w:left w:type="dxa" w:w="100"/>
              <w:bottom w:type="dxa" w:w="80"/>
              <w:right w:type="dxa" w:w="100"/>
            </w:tcMar>
          </w:tcPr>
          <w:p>
            <w:r>
              <w:rPr>
                <w:b w:val="false"/>
                <w:bCs w:val="false"/>
                <w:color w:val="000000"/>
              </w:rPr>
              <w:t xml:space="preserve">mel — melanoma</w:t>
            </w:r>
          </w:p>
        </w:tc>
        <w:tc>
          <w:tcPr>
            <w:tcW w:type="dxa" w:w="2200"/>
            <w:tcMar>
              <w:top w:type="dxa" w:w="80"/>
              <w:left w:type="dxa" w:w="100"/>
              <w:bottom w:type="dxa" w:w="80"/>
              <w:right w:type="dxa" w:w="100"/>
            </w:tcMar>
          </w:tcPr>
          <w:p>
            <w:r>
              <w:rPr>
                <w:b w:val="false"/>
                <w:bCs w:val="false"/>
                <w:color w:val="000000"/>
              </w:rPr>
              <w:t xml:space="preserve">urgente</w:t>
            </w:r>
          </w:p>
        </w:tc>
        <w:tc>
          <w:tcPr>
            <w:tcW w:type="dxa" w:w="4600"/>
            <w:tcMar>
              <w:top w:type="dxa" w:w="80"/>
              <w:left w:type="dxa" w:w="100"/>
              <w:bottom w:type="dxa" w:w="80"/>
              <w:right w:type="dxa" w:w="100"/>
            </w:tcMar>
          </w:tcPr>
          <w:p>
            <w:r>
              <w:rPr>
                <w:b w:val="false"/>
                <w:bCs w:val="false"/>
                <w:color w:val="000000"/>
              </w:rPr>
              <w:t xml:space="preserve">Maligno, alto riesgo de metástasis; regla ABCDE (asimetría, bordes irregulares, color no uniforme, diámetro &gt; 6mm, evolución) indica sospecha.</w:t>
            </w:r>
          </w:p>
        </w:tc>
      </w:tr>
      <w:tr>
        <w:tc>
          <w:tcPr>
            <w:tcW w:type="dxa" w:w="2200"/>
            <w:tcMar>
              <w:top w:type="dxa" w:w="80"/>
              <w:left w:type="dxa" w:w="100"/>
              <w:bottom w:type="dxa" w:w="80"/>
              <w:right w:type="dxa" w:w="100"/>
            </w:tcMar>
          </w:tcPr>
          <w:p>
            <w:r>
              <w:rPr>
                <w:b w:val="false"/>
                <w:bCs w:val="false"/>
                <w:color w:val="000000"/>
              </w:rPr>
              <w:t xml:space="preserve">akiec — queratosis actínica / Bowen</w:t>
            </w:r>
          </w:p>
        </w:tc>
        <w:tc>
          <w:tcPr>
            <w:tcW w:type="dxa" w:w="2200"/>
            <w:tcMar>
              <w:top w:type="dxa" w:w="80"/>
              <w:left w:type="dxa" w:w="100"/>
              <w:bottom w:type="dxa" w:w="80"/>
              <w:right w:type="dxa" w:w="100"/>
            </w:tcMar>
          </w:tcPr>
          <w:p>
            <w:r>
              <w:rPr>
                <w:b w:val="false"/>
                <w:bCs w:val="false"/>
                <w:color w:val="000000"/>
              </w:rPr>
              <w:t xml:space="preserve">urgente</w:t>
            </w:r>
          </w:p>
        </w:tc>
        <w:tc>
          <w:tcPr>
            <w:tcW w:type="dxa" w:w="4600"/>
            <w:tcMar>
              <w:top w:type="dxa" w:w="80"/>
              <w:left w:type="dxa" w:w="100"/>
              <w:bottom w:type="dxa" w:w="80"/>
              <w:right w:type="dxa" w:w="100"/>
            </w:tcMar>
          </w:tcPr>
          <w:p>
            <w:r>
              <w:rPr>
                <w:b w:val="false"/>
                <w:bCs w:val="false"/>
                <w:color w:val="000000"/>
              </w:rPr>
              <w:t xml:space="preserve">Lesión premaligna con riesgo de progresar a carcinoma escamoso si no se trata a tiempo.</w:t>
            </w:r>
          </w:p>
        </w:tc>
      </w:tr>
      <w:tr>
        <w:tc>
          <w:tcPr>
            <w:tcW w:type="dxa" w:w="2200"/>
            <w:tcMar>
              <w:top w:type="dxa" w:w="80"/>
              <w:left w:type="dxa" w:w="100"/>
              <w:bottom w:type="dxa" w:w="80"/>
              <w:right w:type="dxa" w:w="100"/>
            </w:tcMar>
          </w:tcPr>
          <w:p>
            <w:r>
              <w:rPr>
                <w:b w:val="false"/>
                <w:bCs w:val="false"/>
                <w:color w:val="000000"/>
              </w:rPr>
              <w:t xml:space="preserve">bcc — carcinoma basocelular</w:t>
            </w:r>
          </w:p>
        </w:tc>
        <w:tc>
          <w:tcPr>
            <w:tcW w:type="dxa" w:w="2200"/>
            <w:tcMar>
              <w:top w:type="dxa" w:w="80"/>
              <w:left w:type="dxa" w:w="100"/>
              <w:bottom w:type="dxa" w:w="80"/>
              <w:right w:type="dxa" w:w="100"/>
            </w:tcMar>
          </w:tcPr>
          <w:p>
            <w:r>
              <w:rPr>
                <w:b w:val="false"/>
                <w:bCs w:val="false"/>
                <w:color w:val="000000"/>
              </w:rPr>
              <w:t xml:space="preserve">urgente</w:t>
            </w:r>
          </w:p>
        </w:tc>
        <w:tc>
          <w:tcPr>
            <w:tcW w:type="dxa" w:w="4600"/>
            <w:tcMar>
              <w:top w:type="dxa" w:w="80"/>
              <w:left w:type="dxa" w:w="100"/>
              <w:bottom w:type="dxa" w:w="80"/>
              <w:right w:type="dxa" w:w="100"/>
            </w:tcMar>
          </w:tcPr>
          <w:p>
            <w:r>
              <w:rPr>
                <w:b w:val="false"/>
                <w:bCs w:val="false"/>
                <w:color w:val="000000"/>
              </w:rPr>
              <w:t xml:space="preserve">Maligno; crecimiento lento pero requiere tratamiento — decisión de equipo: se prioriza sobre-referir antes que sub-referir un cáncer.</w:t>
            </w:r>
          </w:p>
        </w:tc>
      </w:tr>
      <w:tr>
        <w:tc>
          <w:tcPr>
            <w:tcW w:type="dxa" w:w="2200"/>
            <w:tcMar>
              <w:top w:type="dxa" w:w="80"/>
              <w:left w:type="dxa" w:w="100"/>
              <w:bottom w:type="dxa" w:w="80"/>
              <w:right w:type="dxa" w:w="100"/>
            </w:tcMar>
          </w:tcPr>
          <w:p>
            <w:r>
              <w:rPr>
                <w:b w:val="false"/>
                <w:bCs w:val="false"/>
                <w:color w:val="000000"/>
              </w:rPr>
              <w:t xml:space="preserve">bkl — queratosis benigna</w:t>
            </w:r>
          </w:p>
        </w:tc>
        <w:tc>
          <w:tcPr>
            <w:tcW w:type="dxa" w:w="2200"/>
            <w:tcMar>
              <w:top w:type="dxa" w:w="80"/>
              <w:left w:type="dxa" w:w="100"/>
              <w:bottom w:type="dxa" w:w="80"/>
              <w:right w:type="dxa" w:w="100"/>
            </w:tcMar>
          </w:tcPr>
          <w:p>
            <w:r>
              <w:rPr>
                <w:b w:val="false"/>
                <w:bCs w:val="false"/>
                <w:color w:val="000000"/>
              </w:rPr>
              <w:t xml:space="preserve">no urgente</w:t>
            </w:r>
          </w:p>
        </w:tc>
        <w:tc>
          <w:tcPr>
            <w:tcW w:type="dxa" w:w="4600"/>
            <w:tcMar>
              <w:top w:type="dxa" w:w="80"/>
              <w:left w:type="dxa" w:w="100"/>
              <w:bottom w:type="dxa" w:w="80"/>
              <w:right w:type="dxa" w:w="100"/>
            </w:tcMar>
          </w:tcPr>
          <w:p>
            <w:r>
              <w:rPr>
                <w:b w:val="false"/>
                <w:bCs w:val="false"/>
                <w:color w:val="000000"/>
              </w:rPr>
              <w:t xml:space="preserve">Lesión benigna, sin potencial maligno significativo.</w:t>
            </w:r>
          </w:p>
        </w:tc>
      </w:tr>
      <w:tr>
        <w:tc>
          <w:tcPr>
            <w:tcW w:type="dxa" w:w="2200"/>
            <w:tcMar>
              <w:top w:type="dxa" w:w="80"/>
              <w:left w:type="dxa" w:w="100"/>
              <w:bottom w:type="dxa" w:w="80"/>
              <w:right w:type="dxa" w:w="100"/>
            </w:tcMar>
          </w:tcPr>
          <w:p>
            <w:r>
              <w:rPr>
                <w:b w:val="false"/>
                <w:bCs w:val="false"/>
                <w:color w:val="000000"/>
              </w:rPr>
              <w:t xml:space="preserve">nv — nevus melanocítico</w:t>
            </w:r>
          </w:p>
        </w:tc>
        <w:tc>
          <w:tcPr>
            <w:tcW w:type="dxa" w:w="2200"/>
            <w:tcMar>
              <w:top w:type="dxa" w:w="80"/>
              <w:left w:type="dxa" w:w="100"/>
              <w:bottom w:type="dxa" w:w="80"/>
              <w:right w:type="dxa" w:w="100"/>
            </w:tcMar>
          </w:tcPr>
          <w:p>
            <w:r>
              <w:rPr>
                <w:b w:val="false"/>
                <w:bCs w:val="false"/>
                <w:color w:val="000000"/>
              </w:rPr>
              <w:t xml:space="preserve">no urgente</w:t>
            </w:r>
          </w:p>
        </w:tc>
        <w:tc>
          <w:tcPr>
            <w:tcW w:type="dxa" w:w="4600"/>
            <w:tcMar>
              <w:top w:type="dxa" w:w="80"/>
              <w:left w:type="dxa" w:w="100"/>
              <w:bottom w:type="dxa" w:w="80"/>
              <w:right w:type="dxa" w:w="100"/>
            </w:tcMar>
          </w:tcPr>
          <w:p>
            <w:r>
              <w:rPr>
                <w:b w:val="false"/>
                <w:bCs w:val="false"/>
                <w:color w:val="000000"/>
              </w:rPr>
              <w:t xml:space="preserve">Lunar común, estable, sin signos de alarma.</w:t>
            </w:r>
          </w:p>
        </w:tc>
      </w:tr>
      <w:tr>
        <w:tc>
          <w:tcPr>
            <w:tcW w:type="dxa" w:w="2200"/>
            <w:tcMar>
              <w:top w:type="dxa" w:w="80"/>
              <w:left w:type="dxa" w:w="100"/>
              <w:bottom w:type="dxa" w:w="80"/>
              <w:right w:type="dxa" w:w="100"/>
            </w:tcMar>
          </w:tcPr>
          <w:p>
            <w:r>
              <w:rPr>
                <w:b w:val="false"/>
                <w:bCs w:val="false"/>
                <w:color w:val="000000"/>
              </w:rPr>
              <w:t xml:space="preserve">df — dermatofibroma</w:t>
            </w:r>
          </w:p>
        </w:tc>
        <w:tc>
          <w:tcPr>
            <w:tcW w:type="dxa" w:w="2200"/>
            <w:tcMar>
              <w:top w:type="dxa" w:w="80"/>
              <w:left w:type="dxa" w:w="100"/>
              <w:bottom w:type="dxa" w:w="80"/>
              <w:right w:type="dxa" w:w="100"/>
            </w:tcMar>
          </w:tcPr>
          <w:p>
            <w:r>
              <w:rPr>
                <w:b w:val="false"/>
                <w:bCs w:val="false"/>
                <w:color w:val="000000"/>
              </w:rPr>
              <w:t xml:space="preserve">no urgente</w:t>
            </w:r>
          </w:p>
        </w:tc>
        <w:tc>
          <w:tcPr>
            <w:tcW w:type="dxa" w:w="4600"/>
            <w:tcMar>
              <w:top w:type="dxa" w:w="80"/>
              <w:left w:type="dxa" w:w="100"/>
              <w:bottom w:type="dxa" w:w="80"/>
              <w:right w:type="dxa" w:w="100"/>
            </w:tcMar>
          </w:tcPr>
          <w:p>
            <w:r>
              <w:rPr>
                <w:b w:val="false"/>
                <w:bCs w:val="false"/>
                <w:color w:val="000000"/>
              </w:rPr>
              <w:t xml:space="preserve">Lesión benigna fibrosa, no evoluciona a malignidad.</w:t>
            </w:r>
          </w:p>
        </w:tc>
      </w:tr>
      <w:tr>
        <w:tc>
          <w:tcPr>
            <w:tcW w:type="dxa" w:w="2200"/>
            <w:tcMar>
              <w:top w:type="dxa" w:w="80"/>
              <w:left w:type="dxa" w:w="100"/>
              <w:bottom w:type="dxa" w:w="80"/>
              <w:right w:type="dxa" w:w="100"/>
            </w:tcMar>
          </w:tcPr>
          <w:p>
            <w:r>
              <w:rPr>
                <w:b w:val="false"/>
                <w:bCs w:val="false"/>
                <w:color w:val="000000"/>
              </w:rPr>
              <w:t xml:space="preserve">vasc — lesión vascular</w:t>
            </w:r>
          </w:p>
        </w:tc>
        <w:tc>
          <w:tcPr>
            <w:tcW w:type="dxa" w:w="2200"/>
            <w:tcMar>
              <w:top w:type="dxa" w:w="80"/>
              <w:left w:type="dxa" w:w="100"/>
              <w:bottom w:type="dxa" w:w="80"/>
              <w:right w:type="dxa" w:w="100"/>
            </w:tcMar>
          </w:tcPr>
          <w:p>
            <w:r>
              <w:rPr>
                <w:b w:val="false"/>
                <w:bCs w:val="false"/>
                <w:color w:val="000000"/>
              </w:rPr>
              <w:t xml:space="preserve">no urgente</w:t>
            </w:r>
          </w:p>
        </w:tc>
        <w:tc>
          <w:tcPr>
            <w:tcW w:type="dxa" w:w="4600"/>
            <w:tcMar>
              <w:top w:type="dxa" w:w="80"/>
              <w:left w:type="dxa" w:w="100"/>
              <w:bottom w:type="dxa" w:w="80"/>
              <w:right w:type="dxa" w:w="100"/>
            </w:tcMar>
          </w:tcPr>
          <w:p>
            <w:r>
              <w:rPr>
                <w:b w:val="false"/>
                <w:bCs w:val="false"/>
                <w:color w:val="000000"/>
              </w:rPr>
              <w:t xml:space="preserve">Generalmente benigna, salvo sangrado activo (caso no cubierto en el corpus semilla).</w:t>
            </w:r>
          </w:p>
        </w:tc>
      </w:tr>
    </w:tbl>
    <w:p>
      <w:pPr>
        <w:spacing w:after="120"/>
      </w:pPr>
    </w:p>
    <w:p>
      <w:pPr>
        <w:pStyle w:val="Heading2"/>
        <w:spacing w:after="120" w:before="240"/>
      </w:pPr>
      <w:r>
        <w:t xml:space="preserve">Licencia</w:t>
      </w:r>
    </w:p>
    <w:p>
      <w:pPr>
        <w:pStyle w:val="ListParagraph"/>
        <w:numPr>
          <w:ilvl w:val="0"/>
          <w:numId w:val="1"/>
        </w:numPr>
        <w:spacing w:after="80"/>
      </w:pPr>
      <w:r>
        <w:t xml:space="preserve">SPACCC: CC BY 4.0 — Intxaurrondo A, et al. Zenodo. doi:10.5281/zenodo.2560316</w:t>
      </w:r>
    </w:p>
    <w:p>
      <w:pPr>
        <w:pStyle w:val="ListParagraph"/>
        <w:numPr>
          <w:ilvl w:val="0"/>
          <w:numId w:val="1"/>
        </w:numPr>
        <w:spacing w:after="80"/>
      </w:pPr>
      <w:r>
        <w:t xml:space="preserve">CodiEsp: CC BY 4.0 — Miranda-Escalada A, et al. Zenodo. doi:10.5281/zenodo.3758054</w:t>
      </w:r>
    </w:p>
    <w:p>
      <w:pPr>
        <w:pStyle w:val="ListParagraph"/>
        <w:numPr>
          <w:ilvl w:val="0"/>
          <w:numId w:val="1"/>
        </w:numPr>
        <w:spacing w:after="80"/>
      </w:pPr>
      <w:r>
        <w:t xml:space="preserve">Ambas licencias permiten reproducir el texto en nuestro dataset citando la fuente (ya incluido en la columna fuente_detalle del CSV final).</w:t>
      </w:r>
    </w:p>
    <w:p>
      <w:pPr>
        <w:pStyle w:val="Heading2"/>
        <w:spacing w:after="120" w:before="240"/>
      </w:pPr>
      <w:r>
        <w:t xml:space="preserve">Tamaño final y splits</w:t>
      </w:r>
    </w:p>
    <w:p>
      <w:pPr>
        <w:spacing w:after="120"/>
      </w:pPr>
      <w:r>
        <w:t xml:space="preserve">136 ejemplos totales (10 reales + 126 sintéticos), balanceados entre las 7 categorías (18-22 ejemplos c/u). Split estratificado por categoría con semilla fija (42): 93 train / 17 val / 26 test.</w:t>
      </w:r>
    </w:p>
    <w:p>
      <w:pPr>
        <w:pStyle w:val="Heading2"/>
        <w:spacing w:after="120" w:before="240"/>
      </w:pPr>
      <w:r>
        <w:t xml:space="preserve">Limitaciones conocidas</w:t>
      </w:r>
    </w:p>
    <w:p>
      <w:pPr>
        <w:pStyle w:val="ListParagraph"/>
        <w:numPr>
          <w:ilvl w:val="0"/>
          <w:numId w:val="1"/>
        </w:numPr>
        <w:spacing w:after="80"/>
      </w:pPr>
      <w:r>
        <w:t xml:space="preserve">No se encontraron casos reales publicados de nv (nevus) ni bkl (queratosis benigna) en ninguno de los dos corpus — las revistas médicas publican casos "interesantes", no lunares benignos rutinarios. Esas dos categorías dependen enteramente del corpus sintético por ahora.</w:t>
      </w:r>
    </w:p>
    <w:p>
      <w:pPr>
        <w:pStyle w:val="ListParagraph"/>
        <w:numPr>
          <w:ilvl w:val="0"/>
          <w:numId w:val="1"/>
        </w:numPr>
        <w:spacing w:after="80"/>
      </w:pPr>
      <w:r>
        <w:t xml:space="preserve">Algunos casos reales de la categoría bcc son en realidad variantes poco comunes (carcinoma sebáceo, carcinoma de folículo piloso) en vez de carcinoma basocelular clásico — se agruparon en el mismo bucket binario "urgente" por ser todas malignidades cutáneas, pero no son diagnósticamente idénticas.</w:t>
      </w:r>
    </w:p>
    <w:p>
      <w:pPr>
        <w:pStyle w:val="ListParagraph"/>
        <w:numPr>
          <w:ilvl w:val="0"/>
          <w:numId w:val="1"/>
        </w:numPr>
        <w:spacing w:after="80"/>
      </w:pPr>
      <w:r>
        <w:t xml:space="preserve">El corpus sintético, aunque basado en criterios clínicos reales, no reemplaza texto real de pacientes — es aumentación de datos para balancear categorías y volumen, no una fuente independiente de verdad clínica.</w:t>
      </w:r>
    </w:p>
    <w:p>
      <w:pPr>
        <w:pStyle w:val="ListParagraph"/>
        <w:numPr>
          <w:ilvl w:val="0"/>
          <w:numId w:val="1"/>
        </w:numPr>
        <w:spacing w:after="80"/>
      </w:pPr>
      <w:r>
        <w:t xml:space="preserve">136 ejemplos siguen siendo un corpus pequeño para fine-tuning profundo; es razonable para esta etapa porque BETO ya viene preentrenado en español general y el fine-tuning solo debe afinar una frontera de decisión binaria, no aprender el idioma desde cero.</w:t>
      </w:r>
    </w:p>
    <w:p>
      <w:pPr>
        <w:pBdr>
          <w:bottom w:val="single" w:color="cccccc" w:sz="6" w:space="1"/>
        </w:pBdr>
        <w:spacing w:after="200"/>
      </w:pPr>
    </w:p>
    <w:p>
      <w:pPr>
        <w:pStyle w:val="Heading1"/>
        <w:spacing w:after="150" w:before="300"/>
      </w:pPr>
      <w:r>
        <w:t xml:space="preserve">3. Implementación del fine-tuning con LoRA</w:t>
      </w:r>
    </w:p>
    <w:p>
      <w:pPr>
        <w:spacing w:after="120"/>
      </w:pPr>
      <w:r>
        <w:t xml:space="preserve">[PENDIENTE — contenido de la Sesión 4, aún no cubierto en clase]</w:t>
      </w:r>
    </w:p>
    <w:p>
      <w:pPr>
        <w:pBdr>
          <w:bottom w:val="single" w:color="cccccc" w:sz="6" w:space="1"/>
        </w:pBdr>
        <w:spacing w:after="200"/>
      </w:pPr>
    </w:p>
    <w:p>
      <w:pPr>
        <w:pStyle w:val="Heading1"/>
        <w:spacing w:after="150" w:before="300"/>
      </w:pPr>
      <w:r>
        <w:t xml:space="preserve">4. Baseline y reporte de métricas</w:t>
      </w:r>
    </w:p>
    <w:p>
      <w:pPr>
        <w:spacing w:after="120"/>
      </w:pPr>
      <w:r>
        <w:t xml:space="preserve">[PENDIENTE — se completa junto con el punto 3]</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2026-08-03T17:53:45.611Z</dcterms:created>
  <dcterms:modified xsi:type="dcterms:W3CDTF">2026-08-03T17:53:45.627Z</dcterms:modified>
</cp:coreProperties>
</file>

<file path=docProps/custom.xml><?xml version="1.0" encoding="utf-8"?>
<Properties xmlns="http://schemas.openxmlformats.org/officeDocument/2006/custom-properties" xmlns:vt="http://schemas.openxmlformats.org/officeDocument/2006/docPropsVTypes"/>
</file>