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Normal"/>
        <w:jc w:val="center"/>
        <w:rPr>
          <w:sz w:val="40"/>
          <w:lang w:val="pt-BR"/>
        </w:rPr>
      </w:pPr>
      <w:r>
        <w:rPr>
          <w:sz w:val="40"/>
          <w:lang w:val="pt-BR"/>
        </w:rPr>
      </w:r>
    </w:p>
    <w:p>
      <w:pPr>
        <w:pStyle w:val="Normal"/>
        <w:jc w:val="center"/>
        <w:rPr>
          <w:sz w:val="40"/>
          <w:lang w:val="pt-BR"/>
        </w:rPr>
      </w:pPr>
      <w:r>
        <w:rPr>
          <w:sz w:val="40"/>
          <w:lang w:val="pt-BR"/>
        </w:rPr>
      </w:r>
    </w:p>
    <w:p>
      <w:pPr>
        <w:pStyle w:val="Normal"/>
        <w:jc w:val="center"/>
        <w:rPr>
          <w:sz w:val="40"/>
          <w:lang w:val="pt-BR"/>
        </w:rPr>
      </w:pPr>
      <w:r>
        <w:rPr>
          <w:sz w:val="40"/>
          <w:lang w:val="pt-BR"/>
        </w:rPr>
      </w:r>
    </w:p>
    <w:p>
      <w:pPr>
        <w:pStyle w:val="Normal"/>
        <w:jc w:val="center"/>
        <w:rPr>
          <w:sz w:val="40"/>
          <w:lang w:val="pt-BR"/>
        </w:rPr>
      </w:pPr>
      <w:r>
        <w:rPr>
          <w:sz w:val="40"/>
          <w:lang w:val="pt-BR"/>
        </w:rPr>
      </w:r>
    </w:p>
    <w:p>
      <w:pPr>
        <w:pStyle w:val="BodyText"/>
        <w:rPr>
          <w:sz w:val="40"/>
          <w:lang w:val="pt-BR"/>
        </w:rPr>
      </w:pPr>
      <w:r>
        <w:rPr>
          <w:sz w:val="40"/>
          <w:lang w:val="pt-B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cs="Arial" w:ascii="Arial" w:hAnsi="Arial"/>
          <w:b/>
          <w:sz w:val="44"/>
          <w:szCs w:val="44"/>
          <w:shd w:fill="auto" w:val="clear"/>
          <w:lang w:val="pt-BR"/>
        </w:rPr>
        <w:t>HistoricoPrecoService</w:t>
      </w:r>
    </w:p>
    <w:p>
      <w:pPr>
        <w:pStyle w:val="Normal"/>
        <w:jc w:val="center"/>
        <w:rPr>
          <w:rFonts w:ascii="Arial" w:hAnsi="Arial" w:cs="Arial"/>
          <w:b/>
          <w:sz w:val="44"/>
          <w:szCs w:val="44"/>
          <w:lang w:val="pt-BR"/>
        </w:rPr>
      </w:pPr>
      <w:r>
        <w:rPr>
          <w:rFonts w:cs="Arial" w:ascii="Arial" w:hAnsi="Arial"/>
          <w:b/>
          <w:sz w:val="44"/>
          <w:szCs w:val="44"/>
          <w:lang w:val="pt-BR"/>
        </w:rPr>
      </w:r>
    </w:p>
    <w:p>
      <w:pPr>
        <w:pStyle w:val="Normal"/>
        <w:rPr>
          <w:rFonts w:ascii="Arial" w:hAnsi="Arial" w:cs="Arial"/>
          <w:b/>
          <w:sz w:val="44"/>
          <w:szCs w:val="44"/>
          <w:lang w:val="pt-BR"/>
        </w:rPr>
      </w:pPr>
      <w:r>
        <w:rPr>
          <w:rFonts w:cs="Arial" w:ascii="Arial" w:hAnsi="Arial"/>
          <w:b/>
          <w:sz w:val="44"/>
          <w:szCs w:val="44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center"/>
        <w:rPr>
          <w:rFonts w:ascii="Arial" w:hAnsi="Arial" w:cs="Arial"/>
          <w:lang w:val="pt-BR"/>
        </w:rPr>
      </w:pPr>
      <w:r>
        <w:rPr>
          <w:rFonts w:cs="Arial" w:ascii="Arial" w:hAnsi="Arial"/>
          <w:b/>
          <w:sz w:val="44"/>
          <w:szCs w:val="44"/>
          <w:lang w:val="pt-BR"/>
        </w:rPr>
        <w:t>Design de Serviços</w:t>
      </w:r>
    </w:p>
    <w:p>
      <w:pPr>
        <w:pStyle w:val="Normal"/>
        <w:jc w:val="center"/>
        <w:rPr>
          <w:rFonts w:ascii="Arial" w:hAnsi="Arial" w:cs="Arial"/>
          <w:b/>
          <w:lang w:val="pt-BR"/>
        </w:rPr>
      </w:pPr>
      <w:r>
        <w:rPr>
          <w:rFonts w:cs="Arial" w:ascii="Arial" w:hAnsi="Arial"/>
          <w:b/>
          <w:lang w:val="pt-BR"/>
        </w:rPr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114300" distR="114935" simplePos="0" locked="0" layoutInCell="0" allowOverlap="1" relativeHeight="7">
                <wp:simplePos x="0" y="0"/>
                <wp:positionH relativeFrom="column">
                  <wp:align>center</wp:align>
                </wp:positionH>
                <wp:positionV relativeFrom="margin">
                  <wp:align>bottom</wp:align>
                </wp:positionV>
                <wp:extent cx="5751195" cy="77851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1360" cy="77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9057" w:type="dxa"/>
                              <w:jc w:val="start"/>
                              <w:tblInd w:w="70" w:type="dxa"/>
                              <w:tblLayout w:type="fixed"/>
                              <w:tblCellMar>
                                <w:top w:w="0" w:type="dxa"/>
                                <w:start w:w="70" w:type="dxa"/>
                                <w:bottom w:w="0" w:type="dxa"/>
                                <w:end w:w="70" w:type="dxa"/>
                              </w:tblCellMar>
                            </w:tblPr>
                            <w:tblGrid>
                              <w:gridCol w:w="5756"/>
                              <w:gridCol w:w="3300"/>
                            </w:tblGrid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575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lang w:val="pt-BR"/>
                                    </w:rPr>
                                    <w:t>Autores: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sz w:val="2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8"/>
                                      <w:lang w:val="pt-BR"/>
                                    </w:rPr>
                                    <w:t xml:space="preserve">Gustavo Bertoluzzi Cardoso 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sz w:val="2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8"/>
                                      <w:lang w:val="pt-BR"/>
                                    </w:rPr>
                                    <w:t>RA:22.123.016-2</w:t>
                                  </w:r>
                                </w:p>
                              </w:tc>
                              <w:tc>
                                <w:tcPr>
                                  <w:tcW w:w="330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rFonts w:cs="Arial" w:ascii="Arial" w:hAnsi="Arial"/>
                                      <w:lang w:val="pt-BR"/>
                                    </w:rPr>
                                    <w:t>Data de emissão</w:t>
                                  </w:r>
                                  <w:r>
                                    <w:rPr>
                                      <w:rFonts w:cs="Arial" w:ascii="Arial" w:hAnsi="Arial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rFonts w:cs="Arial" w:ascii="Arial" w:hAnsi="Arial"/>
                                      <w:sz w:val="28"/>
                                      <w:lang w:val="pt-BR"/>
                                    </w:rPr>
                                    <w:t>13/04/2026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575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lang w:val="pt-BR"/>
                                    </w:rPr>
                                    <w:t>Revisor:</w:t>
                                  </w:r>
                                </w:p>
                              </w:tc>
                              <w:tc>
                                <w:tcPr>
                                  <w:tcW w:w="330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lang w:val="pt-BR"/>
                                    </w:rPr>
                                    <w:t>Data de revisão</w:t>
                                  </w:r>
                                </w:p>
                                <w:p>
                                  <w:pPr>
                                    <w:pStyle w:val="Normal"/>
                                    <w:jc w:val="end"/>
                                    <w:rPr>
                                      <w:rFonts w:ascii="Arial" w:hAnsi="Arial" w:cs="Arial"/>
                                      <w:sz w:val="2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8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.3pt;margin-top:564.05pt;width:452.8pt;height:61.25pt;mso-wrap-style:none;v-text-anchor:middle;mso-position-horizontal:center;mso-position-vertical:bottom;mso-position-vertical-relative:margin">
                <v:fill o:detectmouseclick="t" type="solid" color2="black" opacity="0"/>
                <v:stroke color="#3465a4" joinstyle="round" endcap="flat"/>
                <v:textbox>
                  <w:txbxContent>
                    <w:tbl>
                      <w:tblPr>
                        <w:tblW w:w="9057" w:type="dxa"/>
                        <w:jc w:val="start"/>
                        <w:tblInd w:w="70" w:type="dxa"/>
                        <w:tblLayout w:type="fixed"/>
                        <w:tblCellMar>
                          <w:top w:w="0" w:type="dxa"/>
                          <w:start w:w="70" w:type="dxa"/>
                          <w:bottom w:w="0" w:type="dxa"/>
                          <w:end w:w="70" w:type="dxa"/>
                        </w:tblCellMar>
                      </w:tblPr>
                      <w:tblGrid>
                        <w:gridCol w:w="5756"/>
                        <w:gridCol w:w="3300"/>
                      </w:tblGrid>
                      <w:tr>
                        <w:trPr>
                          <w:trHeight w:val="600" w:hRule="atLeast"/>
                        </w:trPr>
                        <w:tc>
                          <w:tcPr>
                            <w:tcW w:w="575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pt-BR"/>
                              </w:rPr>
                              <w:t>Autores: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8"/>
                                <w:lang w:val="pt-BR"/>
                              </w:rPr>
                              <w:t xml:space="preserve">Gustavo Bertoluzzi Cardoso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8"/>
                                <w:lang w:val="pt-BR"/>
                              </w:rPr>
                              <w:t>RA:22.123.016-2</w:t>
                            </w:r>
                          </w:p>
                        </w:tc>
                        <w:tc>
                          <w:tcPr>
                            <w:tcW w:w="330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Arial" w:ascii="Arial" w:hAnsi="Arial"/>
                                <w:lang w:val="pt-BR"/>
                              </w:rPr>
                              <w:t>Data de emissão</w:t>
                            </w:r>
                            <w:r>
                              <w:rPr>
                                <w:rFonts w:cs="Arial" w:ascii="Arial" w:hAnsi="Arial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Arial" w:ascii="Arial" w:hAnsi="Arial"/>
                                <w:sz w:val="28"/>
                                <w:lang w:val="pt-BR"/>
                              </w:rPr>
                              <w:t>13/04/2026</w:t>
                            </w: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575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pt-BR"/>
                              </w:rPr>
                              <w:t>Revisor:</w:t>
                            </w:r>
                          </w:p>
                        </w:tc>
                        <w:tc>
                          <w:tcPr>
                            <w:tcW w:w="330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pt-BR"/>
                              </w:rPr>
                              <w:t>Data de revisão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Arial" w:hAnsi="Arial" w:cs="Arial"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8"/>
                                <w:lang w:val="pt-BR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Arial" w:hAnsi="Arial" w:cs="Arial"/>
          <w:b/>
          <w:lang w:val="pt-BR"/>
        </w:rPr>
      </w:pPr>
      <w:r>
        <w:rPr>
          <w:rFonts w:cs="Arial" w:ascii="Arial" w:hAnsi="Arial"/>
          <w:b/>
          <w:lang w:val="pt-BR"/>
        </w:rPr>
      </w:r>
    </w:p>
    <w:p>
      <w:pPr>
        <w:pStyle w:val="Ttulo"/>
        <w:rPr/>
      </w:pPr>
      <w:r>
        <w:rPr/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80" w:leader="none"/>
              <w:tab w:val="right" w:pos="9061" w:leader="dot"/>
            </w:tabs>
            <w:rPr>
              <w:rFonts w:ascii="Aptos" w:hAnsi="Aptos" w:cs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</w:pPr>
          <w:r>
            <w:fldChar w:fldCharType="begin"/>
          </w:r>
          <w:r>
            <w:rPr>
              <w:smallCaps w:val="false"/>
              <w:caps w:val="false"/>
              <w:sz w:val="24"/>
              <w:b w:val="false"/>
              <w:kern w:val="2"/>
              <w:szCs w:val="24"/>
              <w:bCs w:val="false"/>
              <w:rFonts w:cs="Aptos" w:ascii="Aptos" w:hAnsi="Aptos"/>
              <w:lang w:val="pt-BR" w:eastAsia="en-US"/>
            </w:rPr>
            <w:instrText xml:space="preserve"> TOC \o "1-3" \u \h</w:instrText>
          </w:r>
          <w:r>
            <w:rPr>
              <w:smallCaps w:val="false"/>
              <w:caps w:val="false"/>
              <w:sz w:val="24"/>
              <w:b w:val="false"/>
              <w:kern w:val="2"/>
              <w:szCs w:val="24"/>
              <w:bCs w:val="false"/>
              <w:rFonts w:cs="Aptos" w:ascii="Aptos" w:hAnsi="Aptos"/>
              <w:lang w:val="pt-BR" w:eastAsia="en-US"/>
            </w:rPr>
            <w:fldChar w:fldCharType="separate"/>
          </w:r>
          <w:r>
            <w:rPr>
              <w:rFonts w:cs="Aptos" w:ascii="Aptos" w:hAnsi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>1</w:t>
            <w:tab/>
          </w:r>
          <w:r>
            <w:rPr>
              <w:rFonts w:cs="Arial" w:ascii="Arial" w:hAnsi="Arial"/>
              <w:lang w:val="en-US" w:eastAsia="en-US"/>
            </w:rPr>
            <w:t>Objetivo do Documento</w:t>
          </w:r>
          <w:r>
            <w:rPr>
              <w:rFonts w:cs="Arial"/>
              <w:lang w:val="en-US" w:eastAsia="en-US"/>
            </w:rPr>
            <w:tab/>
          </w:r>
          <w:hyperlink w:anchor="__RefHeading___Toc226973004">
            <w:r>
              <w:rPr>
                <w:rStyle w:val="IndexLink"/>
                <w:rFonts w:cs="Arial"/>
                <w:lang w:val="en-US" w:eastAsia="en-US"/>
              </w:rPr>
              <w:t>3</w:t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61" w:leader="dot"/>
            </w:tabs>
            <w:rPr>
              <w:rFonts w:ascii="Aptos" w:hAnsi="Aptos" w:cs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</w:pPr>
          <w:r>
            <w:rPr>
              <w:rFonts w:cs="Arial" w:ascii="Arial" w:hAnsi="Arial"/>
              <w:lang w:val="pt-BR" w:eastAsia="en-US"/>
            </w:rPr>
            <w:t>2</w:t>
          </w:r>
          <w:r>
            <w:rPr>
              <w:rFonts w:cs="Aptos" w:ascii="Aptos" w:hAnsi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ab/>
          </w:r>
          <w:r>
            <w:rPr>
              <w:rFonts w:cs="Arial" w:ascii="Arial" w:hAnsi="Arial"/>
              <w:lang w:val="pt-BR" w:eastAsia="en-US"/>
            </w:rPr>
            <w:t>Especificar os Esquemas de Mensagens dos Serviços</w:t>
          </w:r>
          <w:r>
            <w:rPr>
              <w:lang w:val="pt-BR" w:eastAsia="en-US"/>
            </w:rPr>
            <w:tab/>
          </w:r>
          <w:hyperlink w:anchor="__RefHeading___Toc226973005">
            <w:r>
              <w:rPr>
                <w:rStyle w:val="IndexLink"/>
                <w:lang w:val="pt-BR" w:eastAsia="en-US"/>
              </w:rPr>
              <w:t>3</w:t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61" w:leader="dot"/>
            </w:tabs>
            <w:rPr>
              <w:rFonts w:ascii="Aptos" w:hAnsi="Aptos" w:cs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</w:pPr>
          <w:r>
            <w:rPr>
              <w:rFonts w:cs="Arial" w:ascii="Arial" w:hAnsi="Arial"/>
              <w:lang w:val="pt-BR" w:eastAsia="en-US"/>
            </w:rPr>
            <w:t>3</w:t>
          </w:r>
          <w:r>
            <w:rPr>
              <w:rFonts w:cs="Aptos" w:ascii="Aptos" w:hAnsi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ab/>
          </w:r>
          <w:r>
            <w:rPr>
              <w:rFonts w:cs="Arial" w:ascii="Arial" w:hAnsi="Arial"/>
              <w:lang w:val="pt-BR" w:eastAsia="en-US"/>
            </w:rPr>
            <w:t>Especificar Interfaces dos Serviços</w:t>
          </w:r>
          <w:r>
            <w:rPr>
              <w:lang w:val="pt-BR" w:eastAsia="en-US"/>
            </w:rPr>
            <w:tab/>
          </w:r>
          <w:hyperlink w:anchor="__RefHeading___Toc226973006">
            <w:r>
              <w:rPr>
                <w:rStyle w:val="IndexLink"/>
                <w:lang w:val="pt-BR" w:eastAsia="en-US"/>
              </w:rPr>
              <w:t>3</w:t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61" w:leader="dot"/>
            </w:tabs>
            <w:rPr>
              <w:rFonts w:ascii="Aptos" w:hAnsi="Aptos" w:cs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</w:pPr>
          <w:r>
            <w:rPr>
              <w:rFonts w:cs="Arial" w:ascii="Arial" w:hAnsi="Arial"/>
              <w:lang w:val="pt-BR" w:eastAsia="en-US"/>
            </w:rPr>
            <w:t>4</w:t>
          </w:r>
          <w:r>
            <w:rPr>
              <w:rFonts w:cs="Aptos" w:ascii="Aptos" w:hAnsi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ab/>
          </w:r>
          <w:r>
            <w:rPr>
              <w:rFonts w:cs="Arial" w:ascii="Arial" w:hAnsi="Arial"/>
              <w:lang w:val="pt-BR" w:eastAsia="en-US"/>
            </w:rPr>
            <w:t>Especificar Políticas</w:t>
          </w:r>
          <w:r>
            <w:rPr>
              <w:lang w:val="pt-BR" w:eastAsia="en-US"/>
            </w:rPr>
            <w:tab/>
          </w:r>
          <w:hyperlink w:anchor="__RefHeading___Toc226973007">
            <w:r>
              <w:rPr>
                <w:rStyle w:val="IndexLink"/>
                <w:lang w:val="pt-BR" w:eastAsia="en-US"/>
              </w:rPr>
              <w:t>3</w:t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61" w:leader="dot"/>
            </w:tabs>
            <w:rPr>
              <w:rFonts w:ascii="Aptos" w:hAnsi="Aptos" w:cs="Aptos"/>
              <w:kern w:val="2"/>
              <w:sz w:val="24"/>
              <w:szCs w:val="24"/>
              <w:lang w:val="pt-BR" w:eastAsia="en-US"/>
            </w:rPr>
          </w:pPr>
          <w:r>
            <w:rPr>
              <w:rFonts w:cs="Arial" w:ascii="Arial" w:hAnsi="Arial"/>
              <w:b w:val="false"/>
              <w:bCs w:val="false"/>
              <w:caps w:val="false"/>
              <w:smallCaps w:val="false"/>
              <w:lang w:val="en-US" w:eastAsia="en-US"/>
            </w:rPr>
            <w:t>5</w:t>
          </w:r>
          <w:r>
            <w:rPr>
              <w:rFonts w:cs="Aptos" w:ascii="Aptos" w:hAnsi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ab/>
          </w:r>
          <w:r>
            <w:rPr>
              <w:rFonts w:cs="Arial" w:ascii="Arial" w:hAnsi="Arial"/>
              <w:b w:val="false"/>
              <w:bCs w:val="false"/>
              <w:caps w:val="false"/>
              <w:smallCaps w:val="false"/>
              <w:lang w:val="en-US" w:eastAsia="en-US"/>
            </w:rPr>
            <w:t>Definir as SLA</w:t>
          </w:r>
          <w:r>
            <w:rPr>
              <w:b w:val="false"/>
              <w:bCs w:val="false"/>
              <w:caps w:val="false"/>
              <w:smallCaps w:val="false"/>
              <w:lang w:val="en-US" w:eastAsia="en-US"/>
            </w:rPr>
            <w:tab/>
          </w:r>
          <w:hyperlink w:anchor="__RefHeading___Toc226973008">
            <w:r>
              <w:rPr>
                <w:rStyle w:val="IndexLink"/>
                <w:b w:val="false"/>
                <w:bCs w:val="false"/>
                <w:caps w:val="false"/>
                <w:smallCaps w:val="false"/>
                <w:lang w:val="en-US" w:eastAsia="en-US"/>
              </w:rPr>
              <w:t>3</w:t>
            </w:r>
          </w:hyperlink>
          <w:r>
            <w:rPr>
              <w:rStyle w:val="IndexLink"/>
              <w:smallCaps w:val="false"/>
              <w:caps w:val="false"/>
              <w:b w:val="false"/>
              <w:bCs w:val="false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Arial" w:hAnsi="Arial" w:cs="Arial"/>
          <w:b/>
          <w:bCs/>
          <w:caps/>
          <w:kern w:val="2"/>
          <w:sz w:val="24"/>
          <w:szCs w:val="24"/>
          <w:lang w:val="pt-BR" w:eastAsia="en-US"/>
        </w:rPr>
      </w:pPr>
      <w:r>
        <w:rPr>
          <w:rFonts w:cs="Arial" w:ascii="Arial" w:hAnsi="Arial"/>
          <w:b/>
          <w:bCs/>
          <w:caps/>
          <w:kern w:val="2"/>
          <w:sz w:val="24"/>
          <w:szCs w:val="24"/>
          <w:lang w:val="pt-BR" w:eastAsia="en-US"/>
        </w:rPr>
      </w:r>
      <w:r>
        <w:br w:type="page"/>
      </w:r>
    </w:p>
    <w:p>
      <w:pPr>
        <w:pStyle w:val="Heading1"/>
        <w:tabs>
          <w:tab w:val="clear" w:pos="720"/>
          <w:tab w:val="left" w:pos="432" w:leader="none"/>
        </w:tabs>
        <w:suppressAutoHyphens w:val="false"/>
        <w:ind w:hanging="431" w:start="431" w:end="0"/>
        <w:rPr>
          <w:rFonts w:ascii="Arial" w:hAnsi="Arial" w:cs="Arial"/>
        </w:rPr>
      </w:pPr>
      <w:bookmarkStart w:id="0" w:name="__RefHeading___Toc226973004"/>
      <w:bookmarkEnd w:id="0"/>
      <w:r>
        <w:rPr>
          <w:rFonts w:cs="Arial" w:ascii="Arial" w:hAnsi="Arial"/>
        </w:rPr>
        <w:t>Objetivo do Documento</w:t>
      </w:r>
    </w:p>
    <w:p>
      <w:pPr>
        <w:pStyle w:val="Normal"/>
        <w:rPr>
          <w:rFonts w:ascii="Arial" w:hAnsi="Arial" w:cs="Arial"/>
          <w:highlight w:val="yellow"/>
          <w:lang w:val="pt-BR"/>
        </w:rPr>
      </w:pPr>
      <w:r>
        <w:rPr>
          <w:rFonts w:cs="Arial" w:ascii="Arial" w:hAnsi="Arial"/>
          <w:highlight w:val="yellow"/>
          <w:lang w:val="pt-BR"/>
        </w:rPr>
      </w:r>
    </w:p>
    <w:p>
      <w:pPr>
        <w:pStyle w:val="Normal"/>
        <w:spacing w:lineRule="auto" w:line="360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O objetivo deste documento é descrever o design dos serviços, incluindo suas interfaces, esquemas de mensagens, políticas e acordos de nível de serviço (SLA), de forma a orientar sua implementação e garantir a correta comunicação entre eles.</w:t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Heading1"/>
        <w:ind w:hanging="340" w:start="340" w:end="0"/>
        <w:jc w:val="start"/>
        <w:rPr/>
      </w:pPr>
      <w:bookmarkStart w:id="1" w:name="__RefHeading___Toc226973005"/>
      <w:bookmarkEnd w:id="1"/>
      <w:r>
        <w:rPr>
          <w:rFonts w:cs="Arial" w:ascii="Arial" w:hAnsi="Arial"/>
        </w:rPr>
        <w:t>Especificar os Esquemas de Mensagens dos Serviços</w:t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057" w:type="dxa"/>
        <w:jc w:val="start"/>
        <w:tblInd w:w="0" w:type="dxa"/>
        <w:tblLayout w:type="fixed"/>
        <w:tblCellMar>
          <w:top w:w="55" w:type="dxa"/>
          <w:start w:w="100" w:type="dxa"/>
          <w:bottom w:w="55" w:type="dxa"/>
          <w:end w:w="100" w:type="dxa"/>
        </w:tblCellMar>
      </w:tblPr>
      <w:tblGrid>
        <w:gridCol w:w="3800"/>
        <w:gridCol w:w="5256"/>
      </w:tblGrid>
      <w:tr>
        <w:trPr/>
        <w:tc>
          <w:tcPr>
            <w:tcW w:w="9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&lt;&lt;Mensagem&gt;&gt;  registrarHistoricoPreco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Entrada: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Tipo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ofertas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List&lt;OfertaNormalizada&gt;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oferta.idProduto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String (UUID)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oferta.idFonte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String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oferta.preco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Decimal (BRL)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oferta.frete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Decimal (BRL)  [opcional]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oferta.urlOferta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String (URL)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dataHoraConsulta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Timestamp (UTC)  ISO 8601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Saida: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Tipo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sucesso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Boolean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totalRegistros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Integer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erros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List&lt;String&gt;  [vazio se sucesso total]</w:t>
            </w:r>
          </w:p>
        </w:tc>
      </w:tr>
    </w:tbl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057" w:type="dxa"/>
        <w:jc w:val="start"/>
        <w:tblInd w:w="0" w:type="dxa"/>
        <w:tblLayout w:type="fixed"/>
        <w:tblCellMar>
          <w:top w:w="55" w:type="dxa"/>
          <w:start w:w="100" w:type="dxa"/>
          <w:bottom w:w="55" w:type="dxa"/>
          <w:end w:w="100" w:type="dxa"/>
        </w:tblCellMar>
      </w:tblPr>
      <w:tblGrid>
        <w:gridCol w:w="3800"/>
        <w:gridCol w:w="5256"/>
      </w:tblGrid>
      <w:tr>
        <w:trPr/>
        <w:tc>
          <w:tcPr>
            <w:tcW w:w="9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&lt;&lt;Mensagem&gt;&gt;  consultarHistoricoPreco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Entrada: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Tipo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idProduto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String (UUID)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dias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Integer  [1 a 90, conforme RN05]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idFonte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String  [opcional]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Saida: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Tipo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historico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List&lt;RegistroHistorico&gt;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registro.idFonte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String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registro.preco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Decimal (BRL)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registro.frete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Decimal (BRL)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registro.dataHora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Timestamp (UTC)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totalRegistros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Integer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precoMinimo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Decimal (BRL)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precoMaximo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Decimal (BRL)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 xml:space="preserve">  </w:t>
            </w:r>
            <w:r>
              <w:rPr>
                <w:rFonts w:cs="Arial" w:ascii="Arial" w:hAnsi="Arial"/>
                <w:lang w:val="pt-BR"/>
              </w:rPr>
              <w:t>- precoMedio</w:t>
            </w:r>
          </w:p>
        </w:tc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Decimal (BRL)</w:t>
            </w:r>
          </w:p>
        </w:tc>
      </w:tr>
    </w:tbl>
    <w:p>
      <w:pPr>
        <w:pStyle w:val="Normal"/>
        <w:jc w:val="start"/>
        <w:rPr>
          <w:rFonts w:ascii="Arial" w:hAnsi="Arial" w:cs="Arial"/>
          <w:highlight w:val="yellow"/>
          <w:lang w:val="pt-BR"/>
        </w:rPr>
      </w:pPr>
      <w:r>
        <w:rPr>
          <w:rFonts w:cs="Arial" w:ascii="Arial" w:hAnsi="Arial"/>
          <w:highlight w:val="yellow"/>
          <w:lang w:val="pt-BR"/>
        </w:rPr>
      </w:r>
    </w:p>
    <w:p>
      <w:pPr>
        <w:pStyle w:val="Heading1"/>
        <w:ind w:hanging="340" w:start="340" w:end="0"/>
        <w:jc w:val="start"/>
        <w:rPr/>
      </w:pPr>
      <w:bookmarkStart w:id="2" w:name="__RefHeading___Toc226973006"/>
      <w:bookmarkEnd w:id="2"/>
      <w:r>
        <w:rPr>
          <w:rFonts w:cs="Arial" w:ascii="Arial" w:hAnsi="Arial"/>
        </w:rPr>
        <w:t>Especificar Interfaces dos Serviços</w:t>
      </w:r>
    </w:p>
    <w:tbl>
      <w:tblPr>
        <w:tblW w:w="9057" w:type="dxa"/>
        <w:jc w:val="start"/>
        <w:tblInd w:w="0" w:type="dxa"/>
        <w:tblLayout w:type="fixed"/>
        <w:tblCellMar>
          <w:top w:w="55" w:type="dxa"/>
          <w:start w:w="100" w:type="dxa"/>
          <w:bottom w:w="55" w:type="dxa"/>
          <w:end w:w="100" w:type="dxa"/>
        </w:tblCellMar>
      </w:tblPr>
      <w:tblGrid>
        <w:gridCol w:w="9057"/>
      </w:tblGrid>
      <w:tr>
        <w:trPr/>
        <w:tc>
          <w:tcPr>
            <w:tcW w:w="9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b/>
                <w:lang w:val="pt-BR"/>
              </w:rPr>
              <w:t>&lt;&lt;Interface&gt;&gt;  HistoricoPrecoService</w:t>
            </w:r>
          </w:p>
        </w:tc>
      </w:tr>
      <w:tr>
        <w:trPr/>
        <w:tc>
          <w:tcPr>
            <w:tcW w:w="9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Classificacao: Servico de Entidade (Entity Service)</w:t>
            </w:r>
          </w:p>
        </w:tc>
      </w:tr>
      <w:tr>
        <w:trPr/>
        <w:tc>
          <w:tcPr>
            <w:tcW w:w="9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+registrarHistoricoPreco(ofertas:List&lt;OfertaNormalizada&gt;, dataHoraConsulta:Timestamp) : RegistroResponse</w:t>
            </w:r>
          </w:p>
        </w:tc>
      </w:tr>
      <w:tr>
        <w:trPr/>
        <w:tc>
          <w:tcPr>
            <w:tcW w:w="9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cs="Arial" w:ascii="Arial" w:hAnsi="Arial"/>
                <w:lang w:val="pt-BR"/>
              </w:rPr>
              <w:t>+consultarHistoricoPreco(idProduto:String,dias:Integer,idFonte?:String) : List&lt;RegistroHistorico&gt;</w:t>
            </w:r>
          </w:p>
        </w:tc>
      </w:tr>
    </w:tbl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start"/>
        <w:rPr/>
      </w:pPr>
      <w:r>
        <w:rPr>
          <w:rFonts w:cs="Arial" w:ascii="Arial" w:hAnsi="Arial"/>
          <w:lang w:val="pt-BR"/>
        </w:rPr>
        <w:t>Dependencias: LogService (registrarLogAuditoria) — acionado apos cada chamada para rastreabilidade completa conforme RNF05.</w:t>
      </w:r>
    </w:p>
    <w:p>
      <w:pPr>
        <w:pStyle w:val="Normal"/>
        <w:jc w:val="start"/>
        <w:rPr>
          <w:rFonts w:ascii="Arial" w:hAnsi="Arial" w:cs="Arial"/>
          <w:highlight w:val="yellow"/>
          <w:lang w:val="pt-BR"/>
        </w:rPr>
      </w:pPr>
      <w:r>
        <w:rPr>
          <w:rFonts w:cs="Arial" w:ascii="Arial" w:hAnsi="Arial"/>
          <w:highlight w:val="yellow"/>
          <w:lang w:val="pt-BR"/>
        </w:rPr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Heading1"/>
        <w:ind w:hanging="340" w:start="340" w:end="0"/>
        <w:jc w:val="start"/>
        <w:rPr/>
      </w:pPr>
      <w:bookmarkStart w:id="3" w:name="__RefHeading___Toc226973007"/>
      <w:bookmarkEnd w:id="3"/>
      <w:r>
        <w:rPr>
          <w:rFonts w:cs="Arial" w:ascii="Arial" w:hAnsi="Arial"/>
        </w:rPr>
        <w:t xml:space="preserve">Especificar Políticas </w:t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start"/>
        <w:rPr/>
      </w:pPr>
      <w:r>
        <w:rPr>
          <w:rFonts w:cs="Arial" w:ascii="Arial" w:hAnsi="Arial"/>
          <w:b/>
          <w:lang w:val="pt-BR"/>
        </w:rPr>
        <w:t xml:space="preserve">Autenticacao: </w:t>
      </w:r>
      <w:r>
        <w:rPr>
          <w:rFonts w:cs="Arial" w:ascii="Arial" w:hAnsi="Arial"/>
          <w:lang w:val="pt-BR"/>
        </w:rPr>
        <w:t>Token JWT obrigatorio no header Authorization: Bearer &lt;token&gt;, emitido pelo AutenticacaoService. Expiracao maxima de 1 hora. Aplicavel a todas as chamadas entre microservicos.</w:t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start"/>
        <w:rPr/>
      </w:pPr>
      <w:r>
        <w:rPr>
          <w:rFonts w:cs="Arial" w:ascii="Arial" w:hAnsi="Arial"/>
          <w:b/>
          <w:lang w:val="pt-BR"/>
        </w:rPr>
        <w:t xml:space="preserve">Autorizacao (RBAC): </w:t>
      </w:r>
      <w:r>
        <w:rPr>
          <w:rFonts w:cs="Arial" w:ascii="Arial" w:hAnsi="Arial"/>
          <w:lang w:val="pt-BR"/>
        </w:rPr>
        <w:t>SERVICE_INTERNAL (ColetaDadosService, WishlistService) pode chamar registrarHistoricoPreco. SERVICE_INTERNAL e USER_AUTHENTICATED podem chamar consultarHistoricoPreco. Usuario autenticado consulta apenas historico de produtos que buscou ou adicionou a wishlist. Chamadas sem papel adequado retornam HTTP 403 Forbidden.</w:t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start"/>
        <w:rPr/>
      </w:pPr>
      <w:r>
        <w:rPr>
          <w:rFonts w:cs="Arial" w:ascii="Arial" w:hAnsi="Arial"/>
          <w:b/>
          <w:lang w:val="pt-BR"/>
        </w:rPr>
        <w:t xml:space="preserve">Criptografia: </w:t>
      </w:r>
      <w:r>
        <w:rPr>
          <w:rFonts w:cs="Arial" w:ascii="Arial" w:hAnsi="Arial"/>
          <w:lang w:val="pt-BR"/>
        </w:rPr>
        <w:t>HTTPS obrigatorio com TLS 1.3 em todas as chamadas (RNF04). Dados em repouso protegidos com AES-256. Nos logs de auditoria, idUsuario armazenado como hash SHA-256 em conformidade com a LGPD. registrarHistoricoPreco e idempotente: mesmo (idProduto, idFonte, dataHoraConsulta) nao gera duplicatas.</w:t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start"/>
        <w:rPr/>
      </w:pPr>
      <w:r>
        <w:rPr>
          <w:rFonts w:cs="Arial" w:ascii="Arial" w:hAnsi="Arial"/>
          <w:b/>
          <w:lang w:val="pt-BR"/>
        </w:rPr>
        <w:t xml:space="preserve">Limite de uso: </w:t>
      </w:r>
      <w:r>
        <w:rPr>
          <w:rFonts w:cs="Arial" w:ascii="Arial" w:hAnsi="Arial"/>
          <w:lang w:val="pt-BR"/>
        </w:rPr>
        <w:t>consultarHistoricoPreco: maximo de 60 requisicoes por minuto por sessao. Excedentes recebem HTTP 429 com header Retry-After. Politica de retencao: registros mantidos por no minimo 90 dias corridos (RN05); job de expurgo automatico roda diariamente com log de auditoria obrigatorio.</w:t>
      </w:r>
    </w:p>
    <w:p>
      <w:pPr>
        <w:pStyle w:val="Normal"/>
        <w:jc w:val="start"/>
        <w:rPr>
          <w:rFonts w:ascii="Arial" w:hAnsi="Arial" w:cs="Arial"/>
          <w:highlight w:val="yellow"/>
          <w:lang w:val="pt-BR"/>
        </w:rPr>
      </w:pPr>
      <w:r>
        <w:rPr>
          <w:rFonts w:cs="Arial" w:ascii="Arial" w:hAnsi="Arial"/>
          <w:highlight w:val="yellow"/>
          <w:lang w:val="pt-BR"/>
        </w:rPr>
      </w:r>
    </w:p>
    <w:p>
      <w:pPr>
        <w:pStyle w:val="Normal"/>
        <w:jc w:val="start"/>
        <w:rPr>
          <w:rFonts w:ascii="Arial" w:hAnsi="Arial" w:cs="Arial"/>
          <w:highlight w:val="yellow"/>
          <w:lang w:val="pt-BR"/>
        </w:rPr>
      </w:pPr>
      <w:r>
        <w:rPr>
          <w:rFonts w:cs="Arial" w:ascii="Arial" w:hAnsi="Arial"/>
          <w:highlight w:val="yellow"/>
          <w:lang w:val="pt-BR"/>
        </w:rPr>
      </w:r>
    </w:p>
    <w:p>
      <w:pPr>
        <w:pStyle w:val="Heading1"/>
        <w:ind w:hanging="340" w:start="340" w:end="0"/>
        <w:jc w:val="start"/>
        <w:rPr/>
      </w:pPr>
      <w:bookmarkStart w:id="4" w:name="__RefHeading___Toc226973008"/>
      <w:bookmarkEnd w:id="4"/>
      <w:r>
        <w:rPr>
          <w:rFonts w:cs="Arial" w:ascii="Arial" w:hAnsi="Arial"/>
        </w:rPr>
        <w:t xml:space="preserve">Definir as SLA  </w:t>
      </w:r>
    </w:p>
    <w:p>
      <w:pPr>
        <w:pStyle w:val="Normal"/>
        <w:jc w:val="start"/>
        <w:rPr/>
      </w:pPr>
      <w:r>
        <w:rPr>
          <w:rFonts w:cs="Arial" w:ascii="Arial" w:hAnsi="Arial"/>
          <w:b/>
          <w:lang w:val="pt-BR"/>
        </w:rPr>
        <w:t xml:space="preserve">Disponibilidade: </w:t>
      </w:r>
      <w:r>
        <w:rPr>
          <w:rFonts w:cs="Arial" w:ascii="Arial" w:hAnsi="Arial"/>
          <w:lang w:val="pt-BR"/>
        </w:rPr>
        <w:t>99,5% mensal. Failover automatico para replica em standby. Manutencao programada com aviso previo de 24 horas.</w:t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start"/>
        <w:rPr/>
      </w:pPr>
      <w:r>
        <w:rPr>
          <w:rFonts w:cs="Arial" w:ascii="Arial" w:hAnsi="Arial"/>
          <w:b/>
          <w:lang w:val="pt-BR"/>
        </w:rPr>
        <w:t xml:space="preserve">Tempo de resposta: </w:t>
      </w:r>
      <w:r>
        <w:rPr>
          <w:rFonts w:cs="Arial" w:ascii="Arial" w:hAnsi="Arial"/>
          <w:lang w:val="pt-BR"/>
        </w:rPr>
        <w:t>registrarHistoricoPreco ate 500 ms (p95) para lotes de ate 50 ofertas. consultarHistoricoPreco ate 800 ms (p95) para janelas de ate 90 dias e ate 5.000 registros. Consultas maiores usam paginacao.</w:t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start"/>
        <w:rPr/>
      </w:pPr>
      <w:r>
        <w:rPr>
          <w:rFonts w:cs="Arial" w:ascii="Arial" w:hAnsi="Arial"/>
          <w:b/>
          <w:lang w:val="pt-BR"/>
        </w:rPr>
        <w:t xml:space="preserve">Taxa de sucesso: </w:t>
      </w:r>
      <w:r>
        <w:rPr>
          <w:rFonts w:cs="Arial" w:ascii="Arial" w:hAnsi="Arial"/>
          <w:lang w:val="pt-BR"/>
        </w:rPr>
        <w:t>99% das requisicoes processadas com sucesso. Em caso de falha no banco de dados: 3 tentativas com backoff exponencial (1 s, 2 s, 4 s). Apos 3 falhas, Circuit Breaker abre e retorna HTTP 503 com Retry-After: 30.</w:t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start"/>
        <w:rPr/>
      </w:pPr>
      <w:r>
        <w:rPr>
          <w:rFonts w:cs="Arial" w:ascii="Arial" w:hAnsi="Arial"/>
          <w:b/>
          <w:lang w:val="pt-BR"/>
        </w:rPr>
        <w:t xml:space="preserve">Capacidade de processamento: </w:t>
      </w:r>
      <w:r>
        <w:rPr>
          <w:rFonts w:cs="Arial" w:ascii="Arial" w:hAnsi="Arial"/>
          <w:lang w:val="pt-BR"/>
        </w:rPr>
        <w:t>registrarHistoricoPreco: 500 req/min. consultarHistoricoPreco: 1.000 req/min. Escalamento horizontal automatico acionado acima de 70% da capacidade. Retencao garantida de 90 dias corridos (RN05).</w:t>
      </w:r>
    </w:p>
    <w:p>
      <w:pPr>
        <w:pStyle w:val="Normal"/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start"/>
        <w:rPr/>
      </w:pPr>
      <w:r>
        <w:rPr>
          <w:rFonts w:cs="Arial" w:ascii="Arial" w:hAnsi="Arial"/>
          <w:b/>
          <w:lang w:val="pt-BR"/>
        </w:rPr>
        <w:t xml:space="preserve">Suporte tecnico: </w:t>
      </w:r>
      <w:r>
        <w:rPr>
          <w:rFonts w:cs="Arial" w:ascii="Arial" w:hAnsi="Arial"/>
          <w:lang w:val="pt-BR"/>
        </w:rPr>
        <w:t>Alertas automaticos para a equipe em menos de 2 minutos quando disponibilidade cair abaixo de 99% ou latencia p95 exceder o SLA. RTO de 15 minutos. RPO de 1 hora (backup incremental a cada hora).</w:t>
      </w:r>
    </w:p>
    <w:p>
      <w:pPr>
        <w:pStyle w:val="Normal"/>
        <w:jc w:val="start"/>
        <w:rPr>
          <w:rFonts w:ascii="Arial" w:hAnsi="Arial" w:cs="Arial"/>
          <w:highlight w:val="yellow"/>
          <w:lang w:val="pt-BR"/>
        </w:rPr>
      </w:pPr>
      <w:r>
        <w:rPr>
          <w:rFonts w:cs="Arial" w:ascii="Arial" w:hAnsi="Arial"/>
          <w:highlight w:val="yellow"/>
          <w:lang w:val="pt-B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Wingdings 2">
    <w:charset w:val="01" w:characterSet="utf-8"/>
    <w:family w:val="roman"/>
    <w:pitch w:val="variable"/>
  </w:font>
  <w:font w:name="StarSymbol">
    <w:altName w:val="Arial Unicode MS"/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rPr/>
    </w:pPr>
    <w:r>
      <w:rPr>
        <w:rFonts w:cs="Arial" w:ascii="Arial" w:hAnsi="Arial"/>
        <w:lang w:val="pt-BR"/>
      </w:rPr>
      <w:t>TPM_Fase de Design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rPr/>
    </w:pPr>
    <w:r>
      <w:rPr>
        <w:rFonts w:cs="Arial" w:ascii="Arial" w:hAnsi="Arial"/>
        <w:lang w:val="pt-BR"/>
      </w:rPr>
      <w:t>TPM_Fase de Design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4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32"/>
      <w:gridCol w:w="8407"/>
    </w:tblGrid>
    <w:tr>
      <w:trPr>
        <w:trHeight w:val="1651" w:hRule="atLeast"/>
      </w:trPr>
      <w:tc>
        <w:tcPr>
          <w:tcW w:w="1532" w:type="dxa"/>
          <w:tcBorders/>
        </w:tcPr>
        <w:p>
          <w:pPr>
            <w:pStyle w:val="Header"/>
            <w:snapToGrid w:val="false"/>
            <w:ind w:start="-70" w:end="0"/>
            <w:rPr>
              <w:sz w:val="16"/>
            </w:rPr>
          </w:pPr>
          <w:r>
            <w:rPr/>
            <w:drawing>
              <wp:inline distT="0" distB="0" distL="0" distR="0">
                <wp:extent cx="884555" cy="542290"/>
                <wp:effectExtent l="0" t="0" r="0" b="0"/>
                <wp:docPr id="2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7" t="-93" r="-57" b="-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542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7" w:type="dxa"/>
          <w:tcBorders/>
        </w:tcPr>
        <w:p>
          <w:pPr>
            <w:pStyle w:val="Normal"/>
            <w:spacing w:lineRule="auto" w:line="360"/>
            <w:ind w:end="-376"/>
            <w:jc w:val="center"/>
            <w:rPr>
              <w:b/>
              <w:sz w:val="32"/>
              <w:szCs w:val="32"/>
              <w:lang w:val="pt-BR"/>
            </w:rPr>
          </w:pPr>
          <w:r>
            <w:rPr>
              <w:b/>
              <w:sz w:val="32"/>
              <w:szCs w:val="32"/>
              <w:lang w:val="pt-BR"/>
            </w:rPr>
            <w:t>CENTRO UNIVERSITÁRIO FEI</w:t>
          </w:r>
        </w:p>
        <w:p>
          <w:pPr>
            <w:pStyle w:val="Normal"/>
            <w:ind w:end="-516"/>
            <w:jc w:val="center"/>
            <w:rPr/>
          </w:pPr>
          <w:r>
            <w:rPr>
              <w:sz w:val="16"/>
              <w:lang w:val="pt-BR"/>
            </w:rPr>
            <w:t>A</w:t>
          </w:r>
          <w:r>
            <w:rPr>
              <w:sz w:val="20"/>
              <w:szCs w:val="20"/>
              <w:lang w:val="pt-BR"/>
            </w:rPr>
            <w:t>venida Humberto de Alencar Castelo Branco, 3972, CEP: 09850-901 São Bernardo do Campo</w:t>
          </w:r>
        </w:p>
        <w:p>
          <w:pPr>
            <w:pStyle w:val="Normal"/>
            <w:ind w:end="-516"/>
            <w:jc w:val="center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>Telefone: (011) 4353-2900     Fax (011) 4109-5994</w:t>
          </w:r>
        </w:p>
        <w:p>
          <w:pPr>
            <w:pStyle w:val="Normal"/>
            <w:pBdr>
              <w:top w:val="single" w:sz="4" w:space="1" w:color="000000"/>
            </w:pBdr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>
    <w:pPr>
      <w:pStyle w:val="Header"/>
      <w:rPr/>
    </w:pPr>
    <w:r>
      <w:rPr/>
    </w:r>
  </w:p>
  <w:p>
    <w:pPr>
      <w:pStyle w:val="Normal"/>
      <w:rPr>
        <w:lang w:val="pt-BR"/>
      </w:rPr>
    </w:pPr>
    <w:r>
      <w:rPr>
        <w:lang w:val="pt-BR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4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32"/>
      <w:gridCol w:w="8407"/>
    </w:tblGrid>
    <w:tr>
      <w:trPr>
        <w:trHeight w:val="1651" w:hRule="atLeast"/>
      </w:trPr>
      <w:tc>
        <w:tcPr>
          <w:tcW w:w="1532" w:type="dxa"/>
          <w:tcBorders/>
        </w:tcPr>
        <w:p>
          <w:pPr>
            <w:pStyle w:val="Header"/>
            <w:snapToGrid w:val="false"/>
            <w:ind w:start="-70" w:end="0"/>
            <w:rPr>
              <w:sz w:val="16"/>
            </w:rPr>
          </w:pPr>
          <w:r>
            <w:rPr/>
            <w:drawing>
              <wp:inline distT="0" distB="0" distL="0" distR="0">
                <wp:extent cx="884555" cy="542290"/>
                <wp:effectExtent l="0" t="0" r="0" b="0"/>
                <wp:docPr id="3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7" t="-93" r="-57" b="-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542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7" w:type="dxa"/>
          <w:tcBorders/>
        </w:tcPr>
        <w:p>
          <w:pPr>
            <w:pStyle w:val="Normal"/>
            <w:spacing w:lineRule="auto" w:line="360"/>
            <w:ind w:end="-376"/>
            <w:jc w:val="center"/>
            <w:rPr>
              <w:b/>
              <w:sz w:val="32"/>
              <w:szCs w:val="32"/>
              <w:lang w:val="pt-BR"/>
            </w:rPr>
          </w:pPr>
          <w:r>
            <w:rPr>
              <w:b/>
              <w:sz w:val="32"/>
              <w:szCs w:val="32"/>
              <w:lang w:val="pt-BR"/>
            </w:rPr>
            <w:t>CENTRO UNIVERSITÁRIO FEI</w:t>
          </w:r>
        </w:p>
        <w:p>
          <w:pPr>
            <w:pStyle w:val="Normal"/>
            <w:ind w:end="-516"/>
            <w:jc w:val="center"/>
            <w:rPr/>
          </w:pPr>
          <w:r>
            <w:rPr>
              <w:sz w:val="16"/>
              <w:lang w:val="pt-BR"/>
            </w:rPr>
            <w:t>A</w:t>
          </w:r>
          <w:r>
            <w:rPr>
              <w:sz w:val="20"/>
              <w:szCs w:val="20"/>
              <w:lang w:val="pt-BR"/>
            </w:rPr>
            <w:t>venida Humberto de Alencar Castelo Branco, 3972, CEP: 09850-901 São Bernardo do Campo</w:t>
          </w:r>
        </w:p>
        <w:p>
          <w:pPr>
            <w:pStyle w:val="Normal"/>
            <w:ind w:end="-516"/>
            <w:jc w:val="center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>Telefone: (011) 4353-2900     Fax (011) 4109-5994</w:t>
          </w:r>
        </w:p>
        <w:p>
          <w:pPr>
            <w:pStyle w:val="Normal"/>
            <w:pBdr>
              <w:top w:val="single" w:sz="4" w:space="1" w:color="000000"/>
            </w:pBdr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>
    <w:pPr>
      <w:pStyle w:val="Header"/>
      <w:rPr/>
    </w:pPr>
    <w:r>
      <w:rPr/>
    </w:r>
  </w:p>
  <w:p>
    <w:pPr>
      <w:pStyle w:val="Normal"/>
      <w:rPr>
        <w:lang w:val="pt-BR"/>
      </w:rPr>
    </w:pPr>
    <w:r>
      <w:rPr>
        <w:lang w:val="pt-B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340"/>
        </w:tabs>
        <w:ind w:start="340" w:hanging="340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5245"/>
        </w:tabs>
        <w:ind w:start="5245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340" w:start="340" w:end="0"/>
      <w:outlineLvl w:val="0"/>
    </w:pPr>
    <w:rPr>
      <w:b/>
      <w:bCs/>
      <w:kern w:val="2"/>
      <w:sz w:val="32"/>
      <w:szCs w:val="32"/>
      <w:lang w:val="pt-BR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567" w:start="567" w:end="0"/>
      <w:outlineLvl w:val="1"/>
    </w:pPr>
    <w:rPr>
      <w:b/>
      <w:bCs/>
      <w:i/>
      <w:iCs/>
      <w:sz w:val="28"/>
      <w:szCs w:val="28"/>
      <w:lang w:val="pt-BR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720" w:start="720" w:end="0"/>
      <w:outlineLvl w:val="2"/>
    </w:pPr>
    <w:rPr>
      <w:b/>
      <w:bCs/>
      <w:sz w:val="26"/>
      <w:szCs w:val="26"/>
      <w:lang w:val="pt-BR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864" w:start="864" w:end="0"/>
      <w:outlineLvl w:val="3"/>
    </w:pPr>
    <w:rPr>
      <w:rFonts w:ascii="Arial" w:hAnsi="Arial" w:cs="Arial"/>
      <w:b/>
      <w:bCs/>
      <w:szCs w:val="28"/>
      <w:lang w:val="pt-BR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1008" w:start="1008" w:end="0"/>
      <w:outlineLvl w:val="4"/>
    </w:pPr>
    <w:rPr>
      <w:rFonts w:ascii="Arial" w:hAnsi="Arial" w:cs="Arial"/>
      <w:b/>
      <w:bCs/>
      <w:i/>
      <w:iCs/>
      <w:sz w:val="26"/>
      <w:szCs w:val="26"/>
      <w:lang w:val="pt-BR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1152" w:start="1152" w:end="0"/>
      <w:outlineLvl w:val="5"/>
    </w:pPr>
    <w:rPr>
      <w:rFonts w:ascii="Arial" w:hAnsi="Arial" w:cs="Arial"/>
      <w:b/>
      <w:bCs/>
      <w:sz w:val="22"/>
      <w:szCs w:val="22"/>
      <w:lang w:val="pt-BR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1296" w:start="1296" w:end="0"/>
      <w:outlineLvl w:val="6"/>
    </w:pPr>
    <w:rPr>
      <w:rFonts w:ascii="Arial" w:hAnsi="Arial" w:cs="Arial"/>
      <w:lang w:val="pt-BR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hanging="1440" w:start="1440" w:end="0"/>
      <w:outlineLvl w:val="7"/>
    </w:pPr>
    <w:rPr>
      <w:rFonts w:ascii="Arial" w:hAnsi="Arial" w:cs="Arial"/>
      <w:i/>
      <w:iCs/>
      <w:lang w:val="pt-BR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1584" w:start="1584" w:end="0"/>
      <w:outlineLvl w:val="8"/>
    </w:pPr>
    <w:rPr>
      <w:rFonts w:ascii="Arial" w:hAnsi="Arial" w:cs="Arial"/>
      <w:sz w:val="22"/>
      <w:szCs w:val="22"/>
      <w:lang w:val="pt-BR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StarSymbol;Yu Gothic"/>
      <w:sz w:val="18"/>
      <w:szCs w:val="18"/>
    </w:rPr>
  </w:style>
  <w:style w:type="character" w:styleId="WW8Num3z1">
    <w:name w:val="WW8Num3z1"/>
    <w:qFormat/>
    <w:rPr>
      <w:rFonts w:ascii="Wingdings 2" w:hAnsi="Wingdings 2" w:cs="StarSymbol;Yu Gothic"/>
      <w:sz w:val="18"/>
      <w:szCs w:val="18"/>
    </w:rPr>
  </w:style>
  <w:style w:type="character" w:styleId="WW8Num3z2">
    <w:name w:val="WW8Num3z2"/>
    <w:qFormat/>
    <w:rPr>
      <w:rFonts w:ascii="StarSymbol;Yu Gothic" w:hAnsi="StarSymbol;Yu Gothic" w:cs="StarSymbol;Yu Gothic"/>
      <w:sz w:val="18"/>
      <w:szCs w:val="18"/>
    </w:rPr>
  </w:style>
  <w:style w:type="character" w:styleId="WW8Num4z0">
    <w:name w:val="WW8Num4z0"/>
    <w:qFormat/>
    <w:rPr>
      <w:rFonts w:ascii="Wingdings" w:hAnsi="Wingdings" w:cs="StarSymbol;Yu Gothic"/>
      <w:sz w:val="18"/>
      <w:szCs w:val="18"/>
    </w:rPr>
  </w:style>
  <w:style w:type="character" w:styleId="WW8Num4z1">
    <w:name w:val="WW8Num4z1"/>
    <w:qFormat/>
    <w:rPr>
      <w:rFonts w:ascii="Wingdings 2" w:hAnsi="Wingdings 2" w:cs="StarSymbol;Yu Gothic"/>
      <w:sz w:val="18"/>
      <w:szCs w:val="18"/>
    </w:rPr>
  </w:style>
  <w:style w:type="character" w:styleId="WW8Num4z2">
    <w:name w:val="WW8Num4z2"/>
    <w:qFormat/>
    <w:rPr>
      <w:rFonts w:ascii="StarSymbol;Yu Gothic" w:hAnsi="StarSymbol;Yu Gothic" w:cs="StarSymbol;Yu Gothic"/>
      <w:sz w:val="18"/>
      <w:szCs w:val="18"/>
    </w:rPr>
  </w:style>
  <w:style w:type="character" w:styleId="WW8Num5z0">
    <w:name w:val="WW8Num5z0"/>
    <w:qFormat/>
    <w:rPr>
      <w:rFonts w:ascii="Wingdings" w:hAnsi="Wingdings" w:cs="StarSymbol;Yu Gothic"/>
      <w:sz w:val="18"/>
      <w:szCs w:val="18"/>
    </w:rPr>
  </w:style>
  <w:style w:type="character" w:styleId="WW8Num5z1">
    <w:name w:val="WW8Num5z1"/>
    <w:qFormat/>
    <w:rPr>
      <w:rFonts w:ascii="Wingdings 2" w:hAnsi="Wingdings 2" w:cs="StarSymbol;Yu Gothic"/>
      <w:sz w:val="18"/>
      <w:szCs w:val="18"/>
    </w:rPr>
  </w:style>
  <w:style w:type="character" w:styleId="WW8Num5z2">
    <w:name w:val="WW8Num5z2"/>
    <w:qFormat/>
    <w:rPr>
      <w:rFonts w:ascii="StarSymbol;Yu Gothic" w:hAnsi="StarSymbol;Yu Gothic" w:cs="StarSymbol;Yu Gothic"/>
      <w:sz w:val="18"/>
      <w:szCs w:val="18"/>
    </w:rPr>
  </w:style>
  <w:style w:type="character" w:styleId="WW8Num6z0">
    <w:name w:val="WW8Num6z0"/>
    <w:qFormat/>
    <w:rPr>
      <w:rFonts w:ascii="Wingdings" w:hAnsi="Wingdings" w:cs="StarSymbol;Yu Gothic"/>
      <w:sz w:val="18"/>
      <w:szCs w:val="18"/>
    </w:rPr>
  </w:style>
  <w:style w:type="character" w:styleId="WW8Num6z1">
    <w:name w:val="WW8Num6z1"/>
    <w:qFormat/>
    <w:rPr>
      <w:rFonts w:ascii="Wingdings 2" w:hAnsi="Wingdings 2" w:cs="StarSymbol;Yu Gothic"/>
      <w:sz w:val="18"/>
      <w:szCs w:val="18"/>
    </w:rPr>
  </w:style>
  <w:style w:type="character" w:styleId="WW8Num6z2">
    <w:name w:val="WW8Num6z2"/>
    <w:qFormat/>
    <w:rPr>
      <w:rFonts w:ascii="StarSymbol;Yu Gothic" w:hAnsi="StarSymbol;Yu Gothic" w:cs="StarSymbol;Yu Gothic"/>
      <w:sz w:val="18"/>
      <w:szCs w:val="18"/>
    </w:rPr>
  </w:style>
  <w:style w:type="character" w:styleId="WW8Num7z0">
    <w:name w:val="WW8Num7z0"/>
    <w:qFormat/>
    <w:rPr>
      <w:rFonts w:ascii="Wingdings" w:hAnsi="Wingdings" w:cs="StarSymbol;Yu Gothic"/>
      <w:sz w:val="18"/>
      <w:szCs w:val="18"/>
    </w:rPr>
  </w:style>
  <w:style w:type="character" w:styleId="WW8Num7z1">
    <w:name w:val="WW8Num7z1"/>
    <w:qFormat/>
    <w:rPr>
      <w:rFonts w:ascii="Wingdings 2" w:hAnsi="Wingdings 2" w:cs="StarSymbol;Yu Gothic"/>
      <w:sz w:val="18"/>
      <w:szCs w:val="18"/>
    </w:rPr>
  </w:style>
  <w:style w:type="character" w:styleId="WW8Num7z2">
    <w:name w:val="WW8Num7z2"/>
    <w:qFormat/>
    <w:rPr>
      <w:rFonts w:ascii="StarSymbol;Yu Gothic" w:hAnsi="StarSymbol;Yu Gothic" w:cs="StarSymbol;Yu Gothic"/>
      <w:sz w:val="18"/>
      <w:szCs w:val="18"/>
    </w:rPr>
  </w:style>
  <w:style w:type="character" w:styleId="WW8Num8z0">
    <w:name w:val="WW8Num8z0"/>
    <w:qFormat/>
    <w:rPr>
      <w:rFonts w:ascii="Wingdings" w:hAnsi="Wingdings" w:cs="Wingdings"/>
      <w:sz w:val="20"/>
      <w:szCs w:val="20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  <w:sz w:val="20"/>
      <w:szCs w:val="20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  <w:sz w:val="20"/>
      <w:szCs w:val="20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1">
    <w:name w:val="WW8Num11z1"/>
    <w:qFormat/>
    <w:rPr>
      <w:b w:val="false"/>
    </w:rPr>
  </w:style>
  <w:style w:type="character" w:styleId="WW8Num12z1">
    <w:name w:val="WW8Num12z1"/>
    <w:qFormat/>
    <w:rPr>
      <w:b w:val="false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Wingdings" w:hAnsi="Wingdings" w:cs="Wingdings"/>
      <w:sz w:val="20"/>
      <w:szCs w:val="20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  <w:sz w:val="20"/>
      <w:szCs w:val="20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WW8Num1z1">
    <w:name w:val="WW8Num1z1"/>
    <w:qFormat/>
    <w:rPr>
      <w:color w:val="000000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  <w:sz w:val="20"/>
      <w:szCs w:val="20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Wingdings" w:hAnsi="Wingdings" w:cs="Wingdings"/>
      <w:sz w:val="20"/>
      <w:szCs w:val="20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-Fontepargpadro">
    <w:name w:val="WW-Fonte parág. padrão"/>
    <w:qFormat/>
    <w:rPr/>
  </w:style>
  <w:style w:type="character" w:styleId="PageNumber">
    <w:name w:val="Page Number"/>
    <w:basedOn w:val="WW-Fontepargpadro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Bullets">
    <w:name w:val="Bullets"/>
    <w:qFormat/>
    <w:rPr>
      <w:rFonts w:ascii="StarSymbol;Yu Gothic" w:hAnsi="StarSymbol;Yu Gothic" w:eastAsia="StarSymbol;Yu Gothic" w:cs="StarSymbol;Yu Gothic"/>
      <w:sz w:val="18"/>
      <w:szCs w:val="18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lang w:val="en-US"/>
    </w:rPr>
  </w:style>
  <w:style w:type="character" w:styleId="AssuntodocomentrioChar">
    <w:name w:val="Assunto do comentário Char"/>
    <w:basedOn w:val="Textodecomentrio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;Times New Roman" w:cs="DejaVu Sans;Times New Roman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  <w:sz w:val="48"/>
      <w:lang w:val="pt-BR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egenda">
    <w:name w:val="Legenda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>
      <w:rFonts w:ascii="Arial" w:hAnsi="Arial" w:cs="Arial"/>
      <w:szCs w:val="20"/>
      <w:lang w:val="pt-BR"/>
    </w:rPr>
  </w:style>
  <w:style w:type="paragraph" w:styleId="Footer">
    <w:name w:val="Foot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requisito">
    <w:name w:val="requisito"/>
    <w:basedOn w:val="Normal"/>
    <w:qFormat/>
    <w:pPr>
      <w:tabs>
        <w:tab w:val="clear" w:pos="720"/>
        <w:tab w:val="left" w:pos="2268" w:leader="none"/>
      </w:tabs>
      <w:spacing w:before="240" w:after="0"/>
      <w:ind w:hanging="1134" w:start="1134" w:end="0"/>
    </w:pPr>
    <w:rPr>
      <w:rFonts w:ascii="Arial" w:hAnsi="Arial" w:cs="Arial"/>
      <w:szCs w:val="20"/>
      <w:lang w:val="pt-BR"/>
    </w:rPr>
  </w:style>
  <w:style w:type="paragraph" w:styleId="fax">
    <w:name w:val="fax"/>
    <w:basedOn w:val="Normal"/>
    <w:qFormat/>
    <w:pPr/>
    <w:rPr>
      <w:rFonts w:ascii="Arial" w:hAnsi="Arial" w:cs="Arial"/>
      <w:sz w:val="20"/>
      <w:szCs w:val="20"/>
      <w:lang w:val="pt-PT"/>
    </w:rPr>
  </w:style>
  <w:style w:type="paragraph" w:styleId="PlainText1">
    <w:name w:val="Plain Text1"/>
    <w:basedOn w:val="Normal"/>
    <w:qFormat/>
    <w:pPr>
      <w:jc w:val="both"/>
    </w:pPr>
    <w:rPr>
      <w:rFonts w:ascii="Courier New" w:hAnsi="Courier New" w:cs="Courier New"/>
      <w:sz w:val="20"/>
      <w:szCs w:val="20"/>
      <w:lang w:val="pt-BR"/>
    </w:rPr>
  </w:style>
  <w:style w:type="paragraph" w:styleId="anotaoderequisito">
    <w:name w:val="anotação de requisito"/>
    <w:basedOn w:val="Normal"/>
    <w:qFormat/>
    <w:pPr>
      <w:ind w:hanging="0" w:start="1134" w:end="0"/>
    </w:pPr>
    <w:rPr>
      <w:rFonts w:ascii="Arial" w:hAnsi="Arial" w:cs="Arial"/>
      <w:i/>
      <w:szCs w:val="20"/>
      <w:lang w:val="pt-BR"/>
    </w:rPr>
  </w:style>
  <w:style w:type="paragraph" w:styleId="TOC1">
    <w:name w:val="TOC 1"/>
    <w:basedOn w:val="Normal"/>
    <w:next w:val="Normal"/>
    <w:pPr>
      <w:spacing w:before="120" w:after="120"/>
    </w:pPr>
    <w:rPr>
      <w:b/>
      <w:bCs/>
      <w:caps/>
      <w:sz w:val="20"/>
      <w:szCs w:val="20"/>
    </w:rPr>
  </w:style>
  <w:style w:type="paragraph" w:styleId="Ttulo">
    <w:name w:val="Título"/>
    <w:basedOn w:val="Normal"/>
    <w:next w:val="Subtitle"/>
    <w:qFormat/>
    <w:pPr>
      <w:jc w:val="center"/>
    </w:pPr>
    <w:rPr>
      <w:rFonts w:ascii="Arial" w:hAnsi="Arial" w:cs="Arial"/>
      <w:b/>
      <w:sz w:val="40"/>
      <w:szCs w:val="20"/>
      <w:lang w:val="pt-BR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TOC2">
    <w:name w:val="TOC 2"/>
    <w:basedOn w:val="Normal"/>
    <w:next w:val="Normal"/>
    <w:pPr>
      <w:ind w:hanging="0" w:start="240" w:end="0"/>
    </w:pPr>
    <w:rPr>
      <w:smallCaps/>
      <w:sz w:val="20"/>
      <w:szCs w:val="20"/>
    </w:rPr>
  </w:style>
  <w:style w:type="paragraph" w:styleId="Corpodetexto2">
    <w:name w:val="Corpo de texto 2"/>
    <w:basedOn w:val="Normal"/>
    <w:qFormat/>
    <w:pPr>
      <w:jc w:val="both"/>
    </w:pPr>
    <w:rPr>
      <w:lang w:val="pt-BR"/>
    </w:rPr>
  </w:style>
  <w:style w:type="paragraph" w:styleId="TOC3">
    <w:name w:val="TOC 3"/>
    <w:basedOn w:val="Normal"/>
    <w:next w:val="Normal"/>
    <w:pPr>
      <w:ind w:hanging="0" w:start="480" w:end="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pPr>
      <w:ind w:hanging="0" w:start="720" w:end="0"/>
    </w:pPr>
    <w:rPr>
      <w:sz w:val="18"/>
      <w:szCs w:val="18"/>
    </w:rPr>
  </w:style>
  <w:style w:type="paragraph" w:styleId="TOC5">
    <w:name w:val="TOC 5"/>
    <w:basedOn w:val="Normal"/>
    <w:next w:val="Normal"/>
    <w:pPr>
      <w:ind w:hanging="0" w:start="960" w:end="0"/>
    </w:pPr>
    <w:rPr>
      <w:sz w:val="18"/>
      <w:szCs w:val="18"/>
    </w:rPr>
  </w:style>
  <w:style w:type="paragraph" w:styleId="TOC6">
    <w:name w:val="TOC 6"/>
    <w:basedOn w:val="Normal"/>
    <w:next w:val="Normal"/>
    <w:pPr>
      <w:ind w:hanging="0" w:start="1200" w:end="0"/>
    </w:pPr>
    <w:rPr>
      <w:sz w:val="18"/>
      <w:szCs w:val="18"/>
    </w:rPr>
  </w:style>
  <w:style w:type="paragraph" w:styleId="TOC7">
    <w:name w:val="TOC 7"/>
    <w:basedOn w:val="Normal"/>
    <w:next w:val="Normal"/>
    <w:pPr>
      <w:ind w:hanging="0" w:start="1440" w:end="0"/>
    </w:pPr>
    <w:rPr>
      <w:sz w:val="18"/>
      <w:szCs w:val="18"/>
    </w:rPr>
  </w:style>
  <w:style w:type="paragraph" w:styleId="TOC8">
    <w:name w:val="TOC 8"/>
    <w:basedOn w:val="Normal"/>
    <w:next w:val="Normal"/>
    <w:pPr>
      <w:ind w:hanging="0" w:start="1680" w:end="0"/>
    </w:pPr>
    <w:rPr>
      <w:sz w:val="18"/>
      <w:szCs w:val="18"/>
    </w:rPr>
  </w:style>
  <w:style w:type="paragraph" w:styleId="TOC9">
    <w:name w:val="TOC 9"/>
    <w:basedOn w:val="Normal"/>
    <w:next w:val="Normal"/>
    <w:pPr>
      <w:ind w:hanging="0" w:start="1920" w:end="0"/>
    </w:pPr>
    <w:rPr>
      <w:sz w:val="18"/>
      <w:szCs w:val="18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Corpodetexto3">
    <w:name w:val="Corpo de texto 3"/>
    <w:basedOn w:val="Normal"/>
    <w:qFormat/>
    <w:pPr>
      <w:spacing w:before="0" w:after="120"/>
    </w:pPr>
    <w:rPr>
      <w:sz w:val="16"/>
      <w:szCs w:val="16"/>
    </w:rPr>
  </w:style>
  <w:style w:type="paragraph" w:styleId="EndnoteText">
    <w:name w:val="Endnote Text"/>
    <w:basedOn w:val="Normal"/>
    <w:pPr/>
    <w:rPr>
      <w:rFonts w:ascii="Arial" w:hAnsi="Arial" w:cs="Arial"/>
      <w:szCs w:val="20"/>
      <w:lang w:val="pt-BR"/>
    </w:rPr>
  </w:style>
  <w:style w:type="paragraph" w:styleId="FrameContents">
    <w:name w:val="Frame Contents"/>
    <w:basedOn w:val="BodyText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ntents10">
    <w:name w:val="Contents 10"/>
    <w:basedOn w:val="Index"/>
    <w:qFormat/>
    <w:pPr>
      <w:tabs>
        <w:tab w:val="clear" w:pos="720"/>
        <w:tab w:val="right" w:pos="9972" w:leader="dot"/>
      </w:tabs>
      <w:ind w:hanging="0" w:start="2547" w:end="0"/>
    </w:pPr>
    <w:rPr/>
  </w:style>
  <w:style w:type="paragraph" w:styleId="Figura">
    <w:name w:val="Figura"/>
    <w:basedOn w:val="Legenda"/>
    <w:qFormat/>
    <w:pPr/>
    <w:rPr/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FrameContents1">
    <w:name w:val="Frame Contents1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LibreOffice/24.2.7.2$Linux_X86_64 LibreOffice_project/420$Build-2</Application>
  <AppVersion>15.0000</AppVersion>
  <Pages>5</Pages>
  <Words>563</Words>
  <Characters>3733</Characters>
  <CharactersWithSpaces>4258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2023-10-20T21:29:00Z</dcterms:created>
  <dc:creator>Fábio Levy Siqueira</dc:creator>
  <dc:description/>
  <dc:language>en-US</dc:language>
  <cp:lastModifiedBy/>
  <cp:lastPrinted>2009-02-04T15:49:00Z</cp:lastPrinted>
  <dcterms:modified xsi:type="dcterms:W3CDTF">2026-04-13T22:07:34Z</dcterms:modified>
  <cp:revision>16</cp:revision>
  <dc:subject/>
  <dc:title>Documento de Especificação de Requisitos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UID">
    <vt:lpwstr>{20050711-1425-1430-A2C0-C59CC90507D7}</vt:lpwstr>
  </property>
  <property fmtid="{D5CDD505-2E9C-101B-9397-08002B2CF9AE}" pid="3" name="Order">
    <vt:lpwstr>300.000000000000</vt:lpwstr>
  </property>
  <property fmtid="{D5CDD505-2E9C-101B-9397-08002B2CF9AE}" pid="4" name="Owner">
    <vt:lpwstr>Nathalia Sautchuk</vt:lpwstr>
  </property>
  <property fmtid="{D5CDD505-2E9C-101B-9397-08002B2CF9AE}" pid="5" name="SPSDescription">
    <vt:lpwstr>Documento de Especificação de Requisitos</vt:lpwstr>
  </property>
  <property fmtid="{D5CDD505-2E9C-101B-9397-08002B2CF9AE}" pid="6" name="Status">
    <vt:lpwstr>Final</vt:lpwstr>
  </property>
</Properties>
</file>