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BodyText"/>
        <w:rPr>
          <w:sz w:val="40"/>
          <w:lang w:val="pt-BR"/>
        </w:rPr>
      </w:pPr>
      <w:r>
        <w:rPr>
          <w:sz w:val="40"/>
          <w:lang w:val="pt-BR"/>
        </w:rPr>
      </w:r>
    </w:p>
    <w:p>
      <w:pPr>
        <w:pStyle w:val="Normal"/>
        <w:jc w:val="center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cs="Arial" w:ascii="Arial" w:hAnsi="Arial"/>
          <w:b/>
          <w:sz w:val="44"/>
          <w:szCs w:val="44"/>
          <w:highlight w:val="yellow"/>
          <w:lang w:val="pt-BR"/>
        </w:rPr>
        <w:t>Consulta Unificada e Monitoramento de Preços (BuscaTotal)</w:t>
      </w:r>
    </w:p>
    <w:p>
      <w:pPr>
        <w:pStyle w:val="Normal"/>
        <w:jc w:val="center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</w:r>
    </w:p>
    <w:p>
      <w:pPr>
        <w:pStyle w:val="Normal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b/>
          <w:sz w:val="44"/>
          <w:szCs w:val="44"/>
          <w:lang w:val="pt-BR"/>
        </w:rPr>
        <w:t>Análise de Serviços</w:t>
      </w:r>
    </w:p>
    <w:p>
      <w:pPr>
        <w:pStyle w:val="Normal"/>
        <w:jc w:val="center"/>
        <w:rPr>
          <w:b/>
          <w:lang w:val="pt-BR"/>
        </w:rPr>
      </w:pPr>
      <w:r>
        <w:rPr>
          <w:b/>
          <w:lang w:val="pt-BR"/>
        </w:rPr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935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margin">
                  <wp:align>bottom</wp:align>
                </wp:positionV>
                <wp:extent cx="5751195" cy="77851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360" cy="77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57" w:type="dxa"/>
                              <w:jc w:val="start"/>
                              <w:tblInd w:w="7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5756"/>
                              <w:gridCol w:w="3301"/>
                            </w:tblGrid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575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Autores: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Data de emissão</w:t>
                                  </w:r>
                                  <w:r>
                                    <w:rPr>
                                      <w:rFonts w:cs="Arial" w:ascii="Arial" w:hAnsi="Arial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Normal"/>
                                    <w:jc w:val="end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575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Revisor: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pt-BR"/>
                                    </w:rPr>
                                    <w:t>Data de revisão</w:t>
                                  </w:r>
                                </w:p>
                                <w:p>
                                  <w:pPr>
                                    <w:pStyle w:val="Normal"/>
                                    <w:jc w:val="end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8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.3pt;margin-top:564.05pt;width:452.8pt;height:61.25pt;mso-wrap-style:none;v-text-anchor:middle;mso-position-horizontal:center;mso-position-vertical:bottom;mso-position-vertical-relative:margin">
                <v:fill o:detectmouseclick="t" type="solid" color2="black" opacity="0"/>
                <v:stroke color="#3465a4" joinstyle="round" endcap="flat"/>
                <v:textbox>
                  <w:txbxContent>
                    <w:tbl>
                      <w:tblPr>
                        <w:tblW w:w="9057" w:type="dxa"/>
                        <w:jc w:val="start"/>
                        <w:tblInd w:w="7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5756"/>
                        <w:gridCol w:w="3301"/>
                      </w:tblGrid>
                      <w:tr>
                        <w:trPr>
                          <w:trHeight w:val="600" w:hRule="atLeast"/>
                        </w:trPr>
                        <w:tc>
                          <w:tcPr>
                            <w:tcW w:w="575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Autores: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Data de emissão</w:t>
                            </w:r>
                            <w:r>
                              <w:rPr>
                                <w:rFonts w:cs="Arial" w:ascii="Arial" w:hAnsi="Arial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575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Revisor: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pt-BR"/>
                              </w:rPr>
                              <w:t>Data de revisão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8"/>
                                <w:lang w:val="pt-B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b/>
          <w:lang w:val="pt-BR"/>
        </w:rPr>
      </w:pPr>
      <w:r>
        <w:rPr>
          <w:b/>
          <w:lang w:val="pt-BR"/>
        </w:rPr>
      </w:r>
    </w:p>
    <w:p>
      <w:pPr>
        <w:pStyle w:val="Ttulo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fldChar w:fldCharType="begin"/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instrText xml:space="preserve"> TOC \o "1-3" \u \h</w:instrTex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fldChar w:fldCharType="separate"/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>1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en-US" w:eastAsia="en-US"/>
            </w:rPr>
            <w:t>Objetivo do Documento</w:t>
          </w:r>
          <w:r>
            <w:rPr>
              <w:lang w:val="en-US" w:eastAsia="en-US"/>
            </w:rPr>
            <w:tab/>
          </w:r>
          <w:hyperlink w:anchor="__RefHeading___Toc226280122"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61" w:leader="dot"/>
            </w:tabs>
            <w:rPr>
              <w:rFonts w:ascii="Aptos" w:hAnsi="Aptos" w:cs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en-US" w:eastAsia="en-US"/>
            </w:rPr>
            <w:t>2</w:t>
          </w:r>
          <w:r>
            <w:rPr>
              <w:rFonts w:cs="Aptos" w:ascii="Aptos" w:hAnsi="Aptos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en-US" w:eastAsia="en-US"/>
            </w:rPr>
            <w:t>Definição de Serviços Candidatos</w:t>
          </w:r>
          <w:r>
            <w:rPr>
              <w:lang w:val="en-US" w:eastAsia="en-US"/>
            </w:rPr>
            <w:tab/>
          </w:r>
          <w:hyperlink w:anchor="__RefHeading___Toc226280123"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61" w:leader="dot"/>
            </w:tabs>
            <w:rPr>
              <w:rFonts w:ascii="Aptos" w:hAnsi="Aptos" w:cs="Aptos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en-US" w:eastAsia="en-US"/>
            </w:rPr>
            <w:t>2.1</w:t>
          </w:r>
          <w:r>
            <w:rPr>
              <w:rFonts w:cs="Aptos" w:ascii="Aptos" w:hAnsi="Aptos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en-US" w:eastAsia="en-US"/>
            </w:rPr>
            <w:t>Identificação de Operações Candidatas</w:t>
          </w:r>
          <w:r>
            <w:rPr>
              <w:lang w:val="en-US" w:eastAsia="en-US"/>
            </w:rPr>
            <w:tab/>
          </w:r>
          <w:hyperlink w:anchor="__RefHeading___Toc226280124"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61" w:leader="dot"/>
            </w:tabs>
            <w:rPr>
              <w:rFonts w:ascii="Aptos" w:hAnsi="Aptos" w:cs="Aptos"/>
              <w:caps w:val="false"/>
              <w:smallCaps w:val="false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lang w:val="en-US" w:eastAsia="en-US"/>
            </w:rPr>
            <w:t>2.2</w:t>
          </w:r>
          <w:r>
            <w:rPr>
              <w:rFonts w:cs="Aptos" w:ascii="Aptos" w:hAnsi="Aptos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lang w:val="en-US" w:eastAsia="en-US"/>
            </w:rPr>
            <w:t>Serviços Candidatos Identificados</w:t>
          </w:r>
          <w:r>
            <w:rPr>
              <w:lang w:val="en-US" w:eastAsia="en-US"/>
            </w:rPr>
            <w:tab/>
          </w:r>
          <w:hyperlink w:anchor="__RefHeading___Toc226280125"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61" w:leader="dot"/>
            </w:tabs>
            <w:rPr>
              <w:rFonts w:ascii="Aptos" w:hAnsi="Aptos" w:cs="Aptos"/>
              <w:kern w:val="2"/>
              <w:sz w:val="24"/>
              <w:szCs w:val="24"/>
              <w:lang w:val="pt-BR" w:eastAsia="en-US"/>
            </w:rPr>
          </w:pPr>
          <w:r>
            <w:rPr>
              <w:rFonts w:cs="Arial" w:ascii="Arial" w:hAnsi="Arial"/>
              <w:caps w:val="false"/>
              <w:smallCaps w:val="false"/>
              <w:lang w:val="en-US" w:eastAsia="en-US"/>
            </w:rPr>
            <w:t>2.3</w:t>
          </w:r>
          <w:r>
            <w:rPr>
              <w:rFonts w:cs="Aptos" w:ascii="Aptos" w:hAnsi="Aptos"/>
              <w:caps w:val="false"/>
              <w:smallCaps w:val="false"/>
              <w:kern w:val="2"/>
              <w:sz w:val="24"/>
              <w:szCs w:val="24"/>
              <w:lang w:val="pt-BR" w:eastAsia="en-US"/>
            </w:rPr>
            <w:tab/>
          </w:r>
          <w:r>
            <w:rPr>
              <w:rFonts w:cs="Arial" w:ascii="Arial" w:hAnsi="Arial"/>
              <w:caps w:val="false"/>
              <w:smallCaps w:val="false"/>
              <w:lang w:val="en-US" w:eastAsia="en-US"/>
            </w:rPr>
            <w:t>Descrição de Serviços</w:t>
          </w:r>
          <w:r>
            <w:rPr>
              <w:caps w:val="false"/>
              <w:smallCaps w:val="false"/>
              <w:lang w:val="en-US" w:eastAsia="en-US"/>
            </w:rPr>
            <w:tab/>
          </w:r>
          <w:hyperlink w:anchor="__RefHeading___Toc226280126">
            <w:r>
              <w:rPr>
                <w:rStyle w:val="IndexLink"/>
                <w:caps w:val="false"/>
                <w:smallCaps w:val="false"/>
                <w:lang w:val="en-US" w:eastAsia="en-US"/>
              </w:rPr>
              <w:t>3</w:t>
            </w:r>
          </w:hyperlink>
          <w:r>
            <w:rPr>
              <w:rStyle w:val="IndexLink"/>
              <w:caps w:val="false"/>
              <w:smallCaps w:val="false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Aptos" w:hAnsi="Aptos" w:cs="Aptos"/>
          <w:smallCaps/>
          <w:kern w:val="2"/>
          <w:sz w:val="24"/>
          <w:szCs w:val="24"/>
          <w:lang w:val="pt-BR" w:eastAsia="en-US"/>
        </w:rPr>
      </w:pPr>
      <w:r>
        <w:rPr>
          <w:rFonts w:cs="Aptos" w:ascii="Aptos" w:hAnsi="Aptos"/>
          <w:smallCaps/>
          <w:kern w:val="2"/>
          <w:sz w:val="24"/>
          <w:szCs w:val="24"/>
          <w:lang w:val="pt-BR" w:eastAsia="en-US"/>
        </w:rPr>
      </w:r>
      <w:r>
        <w:br w:type="page"/>
      </w:r>
    </w:p>
    <w:p>
      <w:pPr>
        <w:pStyle w:val="Heading1"/>
        <w:tabs>
          <w:tab w:val="clear" w:pos="720"/>
          <w:tab w:val="left" w:pos="432" w:leader="none"/>
        </w:tabs>
        <w:suppressAutoHyphens w:val="false"/>
        <w:spacing w:before="0" w:after="60"/>
        <w:ind w:hanging="431" w:start="431" w:end="0"/>
        <w:rPr>
          <w:rFonts w:ascii="Arial" w:hAnsi="Arial" w:cs="Arial"/>
        </w:rPr>
      </w:pPr>
      <w:r>
        <w:rPr>
          <w:rFonts w:cs="Arial" w:ascii="Arial" w:hAnsi="Arial"/>
        </w:rPr>
        <w:t>Objetivo do Documento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Este documento tem como objetivo identificar e descrever os serviços candidatos derivados do processo TO-BE “Consulta Unificada e Monitoramento de Preços” do sistema BuscaTotal. A partir das tarefas modeladas no diagrama BPMN TO-BE (Lab 05), foram extraídas as operações candidatas, agrupadas por entidade de domínio ou contexto lógico, e classificadas segundo a taxonomia SOA em serviços de entidade, serviços de tarefa e serviços utilitários. Para cada serviço, é detalhada uma operação representativa com dados de entrada, dados de saída e fluxo lógico passo a passo.</w:t>
      </w:r>
    </w:p>
    <w:p>
      <w:pPr>
        <w:pStyle w:val="Heading1"/>
        <w:tabs>
          <w:tab w:val="clear" w:pos="720"/>
          <w:tab w:val="left" w:pos="432" w:leader="none"/>
        </w:tabs>
        <w:suppressAutoHyphens w:val="false"/>
        <w:ind w:hanging="431" w:start="431" w:end="0"/>
        <w:rPr>
          <w:rFonts w:ascii="Arial" w:hAnsi="Arial" w:cs="Arial"/>
        </w:rPr>
      </w:pPr>
      <w:r>
        <w:rPr>
          <w:rFonts w:cs="Arial" w:ascii="Arial" w:hAnsi="Arial"/>
        </w:rPr>
        <w:t>Definição de Serviços Candidatos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Heading2"/>
        <w:ind w:hanging="567" w:start="567" w:end="0"/>
        <w:rPr>
          <w:rFonts w:ascii="Arial" w:hAnsi="Arial" w:cs="Arial"/>
          <w:i w:val="false"/>
        </w:rPr>
      </w:pPr>
      <w:r>
        <w:rPr>
          <w:rFonts w:cs="Arial" w:ascii="Arial" w:hAnsi="Arial"/>
          <w:i w:val="false"/>
        </w:rPr>
        <w:t>Identificação de Operações Candidatas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 tabela abaixo apresenta as operações candidatas extraídas diretamente das tarefas do processo TO-BE modelado no Lab 05, bem como dos casos de uso e requisitos não funcionais associados.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7400" w:type="dxa"/>
        <w:jc w:val="center"/>
        <w:tblInd w:w="0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3700"/>
        <w:gridCol w:w="3700"/>
      </w:tblGrid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Tarefa do Processo To Be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Operação Candidata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T02 – Validar Entrada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validarTermoBusca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T03/T04 – Disparar Consultas Paralelas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consultarFontesExternas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T07 – Normalizar e Padronizar Dados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normalizarDados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T08 – Registrar Histórico de Preços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registrarHistoricoPreco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T09 – Calcular Ranking e Exibir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calcularRanking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UC03 – Visualizar Histórico de Preços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consultarHistoricoPreco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T12 – Configurar Wishlist com Preço Alvo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criarWishlist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T12 – Validar Preço Alvo (RN07)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validarPrecoAlvo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T14/T15/T16 – Monitoramento Periódico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executarMonitoramento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T17 – Enviar Notificação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enviarNotificacao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UC12 – Autenticar Usuário (RN06)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autenticarUsuario</w:t>
            </w:r>
          </w:p>
        </w:tc>
      </w:tr>
      <w:tr>
        <w:trPr/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RNF05 – Registrar Log de Auditoria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registrarLogAuditoria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Heading2"/>
        <w:ind w:hanging="567" w:start="567" w:end="0"/>
        <w:rPr>
          <w:rFonts w:ascii="Arial" w:hAnsi="Arial" w:cs="Arial"/>
          <w:i w:val="false"/>
        </w:rPr>
      </w:pPr>
      <w:r>
        <w:rPr>
          <w:rFonts w:cs="Arial" w:ascii="Arial" w:hAnsi="Arial"/>
          <w:i w:val="false"/>
        </w:rPr>
        <w:t>Serviços Candidatos Identificados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operações candidatas foram agrupadas por entidade de domínio ou contexto lógico, resultando em 7 serviços candidatos classificados segundo a taxonomia SOA. Abaixo, a representação em notação de classes UML para cada serviço com suas operações: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ProdutoService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+validarTermoBusca(termoBusca: String): ResultadoValidacao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+calcularRanking(ofertas: List&lt;OfertaNormalizada&gt;): List&lt;OfertaRanqueada&gt;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ColetaDadosService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+consultarFontesExternas(termo: String, fontes: List&lt;Fonte&gt;): List&lt;OfertaBruta&gt;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+normalizarDados(ofertasBrutas: List&lt;OfertaBruta&gt;): List&lt;OfertaNormalizada&gt;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HistoricoPrecoService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+registrarHistoricoPreco(ofertas: List&lt;OfertaNormalizada&gt;, data: Timestamp): Boolean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+consultarHistoricoPreco(idProduto: String, dias: Integer): List&lt;RegistroHistorico&gt;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WishlistService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+criarWishlist(idUsuario: String, idProduto: String, precoAlvo: Decimal, canais: List): WishlistItem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+validarPrecoAlvo(precoAlvo: Decimal, menorPrecoAtual: Decimal): ResultadoValidacao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+executarMonitoramento(itensAtivos: List&lt;WishlistItem&gt;): List&lt;AlertaDisparado&gt;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NotificacaoService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+enviarNotificacao(idUsuario: String, idProduto: String, preco: Decimal, link: String, canais: List): Boolean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AutenticacaoService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+autenticarUsuario(email: String, senha: String): TokenSessao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550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500"/>
      </w:tblGrid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pacing w:before="80" w:after="0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cs="Arial" w:ascii="Arial" w:hAnsi="Arial"/>
                <w:b/>
                <w:sz w:val="22"/>
                <w:lang w:val="pt-BR"/>
              </w:rPr>
              <w:t>&lt;&lt;Interface&gt;&gt;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cs="Arial" w:ascii="Arial" w:hAnsi="Arial"/>
                <w:b/>
                <w:sz w:val="24"/>
                <w:lang w:val="pt-BR"/>
              </w:rPr>
              <w:t>LogService</w:t>
            </w:r>
          </w:p>
        </w:tc>
      </w:tr>
      <w:tr>
        <w:trPr/>
        <w:tc>
          <w:tcPr>
            <w:tcW w:w="5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cs="Arial" w:ascii="Arial" w:hAnsi="Arial"/>
                <w:sz w:val="20"/>
                <w:lang w:val="pt-BR"/>
              </w:rPr>
              <w:t>+registrarLogAuditoria(tipoEvento: String, idSessao: String, detalhes: Map): Boolean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OC2"/>
        <w:tabs>
          <w:tab w:val="clear" w:pos="720"/>
          <w:tab w:val="left" w:pos="960" w:leader="none"/>
          <w:tab w:val="right" w:pos="9061" w:leader="dot"/>
        </w:tabs>
        <w:rPr>
          <w:rFonts w:ascii="Aptos" w:hAnsi="Aptos" w:cs="Aptos"/>
          <w:kern w:val="2"/>
          <w:sz w:val="24"/>
          <w:szCs w:val="24"/>
          <w:lang w:val="pt-BR" w:eastAsia="en-US"/>
        </w:rPr>
      </w:pPr>
      <w:r>
        <w:rPr>
          <w:rFonts w:cs="Arial" w:ascii="Arial" w:hAnsi="Arial"/>
          <w:lang w:val="pt-BR"/>
        </w:rPr>
      </w:r>
    </w:p>
    <w:p>
      <w:pPr>
        <w:pStyle w:val="Heading2"/>
        <w:ind w:hanging="567" w:start="567" w:end="0"/>
        <w:rPr>
          <w:rFonts w:ascii="Arial" w:hAnsi="Arial" w:cs="Arial"/>
          <w:i w:val="false"/>
        </w:rPr>
      </w:pPr>
      <w:r>
        <w:rPr>
          <w:rFonts w:cs="Arial" w:ascii="Arial" w:hAnsi="Arial"/>
          <w:i w:val="false"/>
        </w:rPr>
        <w:t>Descrição de Serviços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 seguir, cada serviço é descrito com seu objetivo e uma operação representativa detalhada com dados de entrada, saída e fluxo lógico.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“ProdutoService”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Centralizar as operações de validação de termos de busca e cálculo do ranking de ofertas, garantindo que toda interação com a entidade Produto passe por um ponto único de acesso com regras de negócio encapsuladas. Classificação: Serviço de Entidade.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calcularRanking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List&lt;OfertaNormalizada&gt; ofertas (lista de ofertas já processadas pelo ColetaDadosService).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List&lt;OfertaRanqueada&gt; ranking ordenado por preço total crescente.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lista de ofertas normalizadas.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Calcular preço total (produto + frete) para cada oferta (RN04).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Aplicar RN10: manter apenas a oferta mais barata por loja/fonte.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Ordenar ofertas por preço total em ordem crescente.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Enriquecer cada oferta com indicadores de histórico de preço (se disponível via HistoricoPrecoService).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Retornar ranking completo para o front-end.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“ColetaDadosService”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Orquestrar o fluxo completo de coleta de dados de preço: disparar consultas paralelas às fontes externas (APIs e scrapers), agregar respostas respeitando o timeout e executar o pipeline ETL de normalização. Classificação: Serviço de Tarefa.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consultarFontesExternas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String termoBuscaValidado, List&lt;FonteExterna&gt; fontesAtivas.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List&lt;OfertaBruta&gt; respostas agregadas de todas as fontes dentro do timeout.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termo validado e lista de fontes cadastradas.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Disparar chamadas HTTP/REST em paralelo (AND-split) para cada fonte.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Aguardar respostas com timeout de 5 segundos por fonte (RN03).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Descartar fontes que não responderam dentro do prazo.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Verificar se ao menos 3 fontes retornaram dados (RN02); caso contrário, gerar aviso ao usuário.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Consolidar todas as ofertas brutas recebidas (AND-join).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Invocar LogService.registrarLogAuditoria para cada fonte consultada (RNF05).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“HistoricoPrecoService”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Gerenciar a persistência e a consulta de dados históricos de preços, garantindo a retenção mínima de 90 dias (RN05) e fornecendo dados para análise de tendências. Classificação: Serviço de Entidade.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registrarHistoricoPreco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List&lt;OfertaNormalizada&gt; ofertas, Timestamp dataHoraConsulta.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Boolean sucesso (confirmação de persistência).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lista de ofertas normalizadas com timestamp da consulta.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Para cada oferta, inserir registro no banco de dados: idProduto, idFonte, preço, frete, dataHora.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Verificar política de retenção: eliminar registros com mais de 90 dias corridos (RN05).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Confirmar persistência e retornar status de sucesso.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“WishlistService”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Orquestrar todo o ciclo de vida da wishlist do usuário: criação, validação de preço alvo, persistência, monitoramento periódico e acionamento do NotificacaoService. Classificação: Serviço de Tarefa.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executarMonitoramento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List&lt;WishlistItem&gt; itensAtivos (carregados do banco de dados).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List&lt;AlertaDisparado&gt; alertas gerados neste ciclo.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Timer dispara a cada 30 minutos (RN08).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Carregar todos os itens da wishlist com status “ativo”.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Para cada item, invocar ColetaDadosService.consultarFontesExternas para obter preços atualizados.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Comparar o menor preço atual com o precoAlvo do item.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Se preço ≤ alvo: invocar NotificacaoService.enviarNotificacao e desativar o item automaticamente (RN09).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Se preço &gt; alvo: manter item ativo para o próximo ciclo.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Invocar HistoricoPrecoService.registrarHistoricoPreco com os dados atualizados.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“NotificacaoService”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Encapsular o envio de mensagens ao usuário, abstraindo o canal de comunicação (e-mail ou push). Classificação: Serviço Utilitário — capacidade transversal reutilizável por qualquer serviço.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enviarNotificacao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String idUsuario, String idProduto, Decimal precoAtual, String linkOferta, List&lt;CanalNotificacao&gt; canais.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Boolean sucesso + String statusEntrega por canal.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dados do alerta disparado.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Montar template da mensagem com: nome do produto, preço atingido e link direto para a oferta.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Para cada canal configurado pelo usuário (e-mail e/ou push): despachar mensagem via provedor externo.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Registrar status de entrega (enviado/falha) no banco de dados.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Invocar LogService.registrarLogAuditoria com o resultado do envio (RNF05).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“AutenticacaoService”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Verificar credenciais e gerenciar sessões de usuário. Classificação: Serviço Utilitário — transversal, consumido por qualquer serviço que exija identidade autenticada.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autenticarUsuario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String email, String senha.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TokenSessao (JWT) + Boolean autenticado.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credenciais do front-end via HTTPS (RNF04 – TLS 1.3).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Consultar banco de dados de usuários pelo e-mail informado.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Comparar hash da senha com bcrypt (fator de custo ≥ 12, conforme RNF04).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Se válido: gerar token JWT com expiração e retornar ao cliente.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Se inválido: incrementar contador de tentativas; após 5 falhas consecutivas, bloquear conta temporariamente.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Registrar evento de login (sucesso ou falha) via LogService.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070" w:type="dxa"/>
        <w:jc w:val="start"/>
        <w:tblInd w:w="103" w:type="dxa"/>
        <w:tblLayout w:type="fixed"/>
        <w:tblCellMar>
          <w:top w:w="40" w:type="dxa"/>
          <w:start w:w="108" w:type="dxa"/>
          <w:bottom w:w="4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Serviço “LogService”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Objetivo: </w:t>
            </w:r>
            <w:r>
              <w:rPr>
                <w:rFonts w:cs="Arial" w:ascii="Arial" w:hAnsi="Arial"/>
                <w:lang w:val="pt-BR"/>
              </w:rPr>
              <w:t>Prover capacidade transversal de registro de auditoria para todos os serviços do sistema, garantindo rastreabilidade conforme RNF05 com logs estruturados em JSON e retenção de 30 dias. Classificação: Serviço Utilitário.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Operação: </w:t>
            </w:r>
            <w:r>
              <w:rPr>
                <w:rFonts w:cs="Arial" w:ascii="Arial" w:hAnsi="Arial"/>
                <w:lang w:val="pt-BR"/>
              </w:rPr>
              <w:t>registrarLogAuditoria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entrada: </w:t>
            </w:r>
            <w:r>
              <w:rPr>
                <w:rFonts w:cs="Arial" w:ascii="Arial" w:hAnsi="Arial"/>
                <w:lang w:val="pt-BR"/>
              </w:rPr>
              <w:t>String tipoEvento, String idSessao, Map&lt;String, Object&gt; detalhes (fontes consultadas, tempos de resposta, status).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 xml:space="preserve">Dados de saída: </w:t>
            </w:r>
            <w:r>
              <w:rPr>
                <w:rFonts w:cs="Arial" w:ascii="Arial" w:hAnsi="Arial"/>
                <w:lang w:val="pt-BR"/>
              </w:rPr>
              <w:t>Boolean sucesso (confirmação de gravação do log).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 da lógica: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Receber dados do evento com geração automática de timestamp UTC.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Serializar em formato JSON estruturado contendo: timestamp, tipoEvento, idSessao, detalhes.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Persistir no repositório de logs (Elasticsearch ou banco dedicado).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Aplicar política de retenção: expurgar registros com mais de 30 dias (RNF05).</w:t>
            </w:r>
          </w:p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Confirmar gravação e retornar status.</w:t>
            </w:r>
          </w:p>
        </w:tc>
      </w:tr>
    </w:tbl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Wingdings 2">
    <w:charset w:val="01" w:characterSet="utf-8"/>
    <w:family w:val="roman"/>
    <w:pitch w:val="variable"/>
  </w:font>
  <w:font w:name="StarSymbol">
    <w:altName w:val="Arial Unicode MS"/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pto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rPr/>
    </w:pPr>
    <w:r>
      <w:rPr>
        <w:rFonts w:cs="Arial" w:ascii="Arial" w:hAnsi="Arial"/>
        <w:lang w:val="pt-BR"/>
      </w:rPr>
      <w:t>TPM_Análise de Serviços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rPr/>
    </w:pPr>
    <w:r>
      <w:rPr>
        <w:rFonts w:cs="Arial" w:ascii="Arial" w:hAnsi="Arial"/>
        <w:lang w:val="pt-BR"/>
      </w:rPr>
      <w:t>TPM_Análise de Serviços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2"/>
      <w:gridCol w:w="8408"/>
    </w:tblGrid>
    <w:tr>
      <w:trPr>
        <w:trHeight w:val="1651" w:hRule="atLeast"/>
      </w:trPr>
      <w:tc>
        <w:tcPr>
          <w:tcW w:w="1532" w:type="dxa"/>
          <w:tcBorders/>
        </w:tcPr>
        <w:p>
          <w:pPr>
            <w:pStyle w:val="Header"/>
            <w:snapToGrid w:val="false"/>
            <w:ind w:start="-70" w:end="0"/>
            <w:rPr>
              <w:sz w:val="16"/>
            </w:rPr>
          </w:pPr>
          <w:r>
            <w:rPr/>
            <w:drawing>
              <wp:inline distT="0" distB="0" distL="0" distR="0">
                <wp:extent cx="884555" cy="542290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7" t="-93" r="-57" b="-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542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8" w:type="dxa"/>
          <w:tcBorders/>
        </w:tcPr>
        <w:p>
          <w:pPr>
            <w:pStyle w:val="Normal"/>
            <w:spacing w:lineRule="auto" w:line="360"/>
            <w:ind w:end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ind w:end="-516"/>
            <w:jc w:val="center"/>
            <w:rPr/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ind w:end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/>
    </w:pPr>
    <w:r>
      <w:rPr/>
    </w:r>
  </w:p>
  <w:p>
    <w:pPr>
      <w:pStyle w:val="Normal"/>
      <w:rPr>
        <w:lang w:val="pt-BR"/>
      </w:rPr>
    </w:pPr>
    <w:r>
      <w:rPr>
        <w:lang w:val="pt-B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32"/>
      <w:gridCol w:w="8408"/>
    </w:tblGrid>
    <w:tr>
      <w:trPr>
        <w:trHeight w:val="1651" w:hRule="atLeast"/>
      </w:trPr>
      <w:tc>
        <w:tcPr>
          <w:tcW w:w="1532" w:type="dxa"/>
          <w:tcBorders/>
        </w:tcPr>
        <w:p>
          <w:pPr>
            <w:pStyle w:val="Header"/>
            <w:snapToGrid w:val="false"/>
            <w:ind w:start="-70" w:end="0"/>
            <w:rPr>
              <w:sz w:val="16"/>
            </w:rPr>
          </w:pPr>
          <w:r>
            <w:rPr/>
            <w:drawing>
              <wp:inline distT="0" distB="0" distL="0" distR="0">
                <wp:extent cx="884555" cy="542290"/>
                <wp:effectExtent l="0" t="0" r="0" b="0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7" t="-93" r="-57" b="-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542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8" w:type="dxa"/>
          <w:tcBorders/>
        </w:tcPr>
        <w:p>
          <w:pPr>
            <w:pStyle w:val="Normal"/>
            <w:spacing w:lineRule="auto" w:line="360"/>
            <w:ind w:end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ind w:end="-516"/>
            <w:jc w:val="center"/>
            <w:rPr/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ind w:end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/>
    </w:pPr>
    <w:r>
      <w:rPr/>
    </w:r>
  </w:p>
  <w:p>
    <w:pPr>
      <w:pStyle w:val="Normal"/>
      <w:rPr>
        <w:lang w:val="pt-BR"/>
      </w:rPr>
    </w:pPr>
    <w:r>
      <w:rPr>
        <w:lang w:val="pt-B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340"/>
        </w:tabs>
        <w:ind w:start="340" w:hanging="34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6946"/>
        </w:tabs>
        <w:ind w:start="6946" w:hanging="567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hyphenationZone w:val="36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340" w:start="340" w:end="0"/>
      <w:outlineLvl w:val="0"/>
    </w:pPr>
    <w:rPr>
      <w:b/>
      <w:bCs/>
      <w:kern w:val="2"/>
      <w:sz w:val="32"/>
      <w:szCs w:val="32"/>
      <w:lang w:val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567" w:start="567" w:end="0"/>
      <w:outlineLvl w:val="1"/>
    </w:pPr>
    <w:rPr>
      <w:b/>
      <w:bCs/>
      <w:i/>
      <w:iCs/>
      <w:sz w:val="28"/>
      <w:szCs w:val="28"/>
      <w:lang w:val="pt-BR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720" w:start="720" w:end="0"/>
      <w:outlineLvl w:val="2"/>
    </w:pPr>
    <w:rPr>
      <w:b/>
      <w:bCs/>
      <w:sz w:val="26"/>
      <w:szCs w:val="26"/>
      <w:lang w:val="pt-BR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864" w:start="864" w:end="0"/>
      <w:outlineLvl w:val="3"/>
    </w:pPr>
    <w:rPr>
      <w:rFonts w:ascii="Arial" w:hAnsi="Arial" w:cs="Arial"/>
      <w:b/>
      <w:bCs/>
      <w:szCs w:val="28"/>
      <w:lang w:val="pt-BR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1008" w:start="1008" w:end="0"/>
      <w:outlineLvl w:val="4"/>
    </w:pPr>
    <w:rPr>
      <w:rFonts w:ascii="Arial" w:hAnsi="Arial" w:cs="Arial"/>
      <w:b/>
      <w:bCs/>
      <w:i/>
      <w:iCs/>
      <w:sz w:val="26"/>
      <w:szCs w:val="26"/>
      <w:lang w:val="pt-BR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1152" w:start="1152" w:end="0"/>
      <w:outlineLvl w:val="5"/>
    </w:pPr>
    <w:rPr>
      <w:rFonts w:ascii="Arial" w:hAnsi="Arial" w:cs="Arial"/>
      <w:b/>
      <w:bCs/>
      <w:sz w:val="22"/>
      <w:szCs w:val="22"/>
      <w:lang w:val="pt-BR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1296" w:start="1296" w:end="0"/>
      <w:outlineLvl w:val="6"/>
    </w:pPr>
    <w:rPr>
      <w:rFonts w:ascii="Arial" w:hAnsi="Arial" w:cs="Arial"/>
      <w:lang w:val="pt-BR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1440" w:start="1440" w:end="0"/>
      <w:outlineLvl w:val="7"/>
    </w:pPr>
    <w:rPr>
      <w:rFonts w:ascii="Arial" w:hAnsi="Arial" w:cs="Arial"/>
      <w:i/>
      <w:iCs/>
      <w:lang w:val="pt-BR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1584" w:start="1584" w:end="0"/>
      <w:outlineLvl w:val="8"/>
    </w:pPr>
    <w:rPr>
      <w:rFonts w:ascii="Arial" w:hAnsi="Arial" w:cs="Arial"/>
      <w:sz w:val="22"/>
      <w:szCs w:val="22"/>
      <w:lang w:val="pt-BR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StarSymbol;Yu Gothic"/>
      <w:sz w:val="18"/>
      <w:szCs w:val="18"/>
    </w:rPr>
  </w:style>
  <w:style w:type="character" w:styleId="WW8Num3z1">
    <w:name w:val="WW8Num3z1"/>
    <w:qFormat/>
    <w:rPr>
      <w:rFonts w:ascii="Wingdings 2" w:hAnsi="Wingdings 2" w:cs="StarSymbol;Yu Gothic"/>
      <w:sz w:val="18"/>
      <w:szCs w:val="18"/>
    </w:rPr>
  </w:style>
  <w:style w:type="character" w:styleId="WW8Num3z2">
    <w:name w:val="WW8Num3z2"/>
    <w:qFormat/>
    <w:rPr>
      <w:rFonts w:ascii="StarSymbol;Yu Gothic" w:hAnsi="StarSymbol;Yu Gothic" w:cs="StarSymbol;Yu Gothic"/>
      <w:sz w:val="18"/>
      <w:szCs w:val="18"/>
    </w:rPr>
  </w:style>
  <w:style w:type="character" w:styleId="WW8Num4z0">
    <w:name w:val="WW8Num4z0"/>
    <w:qFormat/>
    <w:rPr>
      <w:rFonts w:ascii="Wingdings" w:hAnsi="Wingdings" w:cs="StarSymbol;Yu Gothic"/>
      <w:sz w:val="18"/>
      <w:szCs w:val="18"/>
    </w:rPr>
  </w:style>
  <w:style w:type="character" w:styleId="WW8Num4z1">
    <w:name w:val="WW8Num4z1"/>
    <w:qFormat/>
    <w:rPr>
      <w:rFonts w:ascii="Wingdings 2" w:hAnsi="Wingdings 2" w:cs="StarSymbol;Yu Gothic"/>
      <w:sz w:val="18"/>
      <w:szCs w:val="18"/>
    </w:rPr>
  </w:style>
  <w:style w:type="character" w:styleId="WW8Num4z2">
    <w:name w:val="WW8Num4z2"/>
    <w:qFormat/>
    <w:rPr>
      <w:rFonts w:ascii="StarSymbol;Yu Gothic" w:hAnsi="StarSymbol;Yu Gothic" w:cs="StarSymbol;Yu Gothic"/>
      <w:sz w:val="18"/>
      <w:szCs w:val="18"/>
    </w:rPr>
  </w:style>
  <w:style w:type="character" w:styleId="WW8Num5z0">
    <w:name w:val="WW8Num5z0"/>
    <w:qFormat/>
    <w:rPr>
      <w:rFonts w:ascii="Wingdings" w:hAnsi="Wingdings" w:cs="StarSymbol;Yu Gothic"/>
      <w:sz w:val="18"/>
      <w:szCs w:val="18"/>
    </w:rPr>
  </w:style>
  <w:style w:type="character" w:styleId="WW8Num5z1">
    <w:name w:val="WW8Num5z1"/>
    <w:qFormat/>
    <w:rPr>
      <w:rFonts w:ascii="Wingdings 2" w:hAnsi="Wingdings 2" w:cs="StarSymbol;Yu Gothic"/>
      <w:sz w:val="18"/>
      <w:szCs w:val="18"/>
    </w:rPr>
  </w:style>
  <w:style w:type="character" w:styleId="WW8Num5z2">
    <w:name w:val="WW8Num5z2"/>
    <w:qFormat/>
    <w:rPr>
      <w:rFonts w:ascii="StarSymbol;Yu Gothic" w:hAnsi="StarSymbol;Yu Gothic" w:cs="StarSymbol;Yu Gothic"/>
      <w:sz w:val="18"/>
      <w:szCs w:val="18"/>
    </w:rPr>
  </w:style>
  <w:style w:type="character" w:styleId="WW8Num6z0">
    <w:name w:val="WW8Num6z0"/>
    <w:qFormat/>
    <w:rPr>
      <w:rFonts w:ascii="Wingdings" w:hAnsi="Wingdings" w:cs="StarSymbol;Yu Gothic"/>
      <w:sz w:val="18"/>
      <w:szCs w:val="18"/>
    </w:rPr>
  </w:style>
  <w:style w:type="character" w:styleId="WW8Num6z1">
    <w:name w:val="WW8Num6z1"/>
    <w:qFormat/>
    <w:rPr>
      <w:rFonts w:ascii="Wingdings 2" w:hAnsi="Wingdings 2" w:cs="StarSymbol;Yu Gothic"/>
      <w:sz w:val="18"/>
      <w:szCs w:val="18"/>
    </w:rPr>
  </w:style>
  <w:style w:type="character" w:styleId="WW8Num6z2">
    <w:name w:val="WW8Num6z2"/>
    <w:qFormat/>
    <w:rPr>
      <w:rFonts w:ascii="StarSymbol;Yu Gothic" w:hAnsi="StarSymbol;Yu Gothic" w:cs="StarSymbol;Yu Gothic"/>
      <w:sz w:val="18"/>
      <w:szCs w:val="18"/>
    </w:rPr>
  </w:style>
  <w:style w:type="character" w:styleId="WW8Num7z0">
    <w:name w:val="WW8Num7z0"/>
    <w:qFormat/>
    <w:rPr>
      <w:rFonts w:ascii="Wingdings" w:hAnsi="Wingdings" w:cs="StarSymbol;Yu Gothic"/>
      <w:sz w:val="18"/>
      <w:szCs w:val="18"/>
    </w:rPr>
  </w:style>
  <w:style w:type="character" w:styleId="WW8Num7z1">
    <w:name w:val="WW8Num7z1"/>
    <w:qFormat/>
    <w:rPr>
      <w:rFonts w:ascii="Wingdings 2" w:hAnsi="Wingdings 2" w:cs="StarSymbol;Yu Gothic"/>
      <w:sz w:val="18"/>
      <w:szCs w:val="18"/>
    </w:rPr>
  </w:style>
  <w:style w:type="character" w:styleId="WW8Num7z2">
    <w:name w:val="WW8Num7z2"/>
    <w:qFormat/>
    <w:rPr>
      <w:rFonts w:ascii="StarSymbol;Yu Gothic" w:hAnsi="StarSymbol;Yu Gothic" w:cs="StarSymbol;Yu Gothic"/>
      <w:sz w:val="18"/>
      <w:szCs w:val="18"/>
    </w:rPr>
  </w:style>
  <w:style w:type="character" w:styleId="WW8Num8z0">
    <w:name w:val="WW8Num8z0"/>
    <w:qFormat/>
    <w:rPr>
      <w:rFonts w:ascii="Wingdings" w:hAnsi="Wingdings" w:cs="Wingdings"/>
      <w:sz w:val="20"/>
      <w:szCs w:val="2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sz w:val="20"/>
      <w:szCs w:val="2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  <w:sz w:val="20"/>
      <w:szCs w:val="20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1">
    <w:name w:val="WW8Num12z1"/>
    <w:qFormat/>
    <w:rPr>
      <w:b w:val="false"/>
    </w:rPr>
  </w:style>
  <w:style w:type="character" w:styleId="WW8Num13z1">
    <w:name w:val="WW8Num13z1"/>
    <w:qFormat/>
    <w:rPr>
      <w:b w:val="false"/>
    </w:rPr>
  </w:style>
  <w:style w:type="character" w:styleId="WW8Num16z0">
    <w:name w:val="WW8Num16z0"/>
    <w:qFormat/>
    <w:rPr/>
  </w:style>
  <w:style w:type="character" w:styleId="WW8Num19z0">
    <w:name w:val="WW8Num19z0"/>
    <w:qFormat/>
    <w:rPr>
      <w:rFonts w:ascii="Wingdings" w:hAnsi="Wingdings" w:cs="Wingdings"/>
      <w:sz w:val="20"/>
      <w:szCs w:val="20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  <w:sz w:val="20"/>
      <w:szCs w:val="20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WW8Num1z1">
    <w:name w:val="WW8Num1z1"/>
    <w:qFormat/>
    <w:rPr>
      <w:color w:val="00000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  <w:sz w:val="20"/>
      <w:szCs w:val="20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  <w:sz w:val="20"/>
      <w:szCs w:val="20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-Fontepargpadro">
    <w:name w:val="WW-Fonte parág. padrão"/>
    <w:qFormat/>
    <w:rPr/>
  </w:style>
  <w:style w:type="character" w:styleId="PageNumber">
    <w:name w:val="page number"/>
    <w:basedOn w:val="WW-Fontepargpadro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Bulletsuser">
    <w:name w:val="Bullets (user)"/>
    <w:qFormat/>
    <w:rPr>
      <w:rFonts w:ascii="StarSymbol;Yu Gothic" w:hAnsi="StarSymbol;Yu Gothic" w:eastAsia="StarSymbol;Yu Gothic" w:cs="StarSymbol;Yu Gothic"/>
      <w:sz w:val="18"/>
      <w:szCs w:val="18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lang w:val="en-US"/>
    </w:rPr>
  </w:style>
  <w:style w:type="character" w:styleId="AssuntodocomentrioChar">
    <w:name w:val="Assunto do comentário Char"/>
    <w:basedOn w:val="Textodecomentrio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;Times New Roman" w:cs="DejaVu Sans;Times New Roman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  <w:sz w:val="48"/>
      <w:lang w:val="pt-BR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egenda">
    <w:name w:val="Legenda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>
      <w:rFonts w:ascii="Arial" w:hAnsi="Arial" w:cs="Arial"/>
      <w:szCs w:val="20"/>
      <w:lang w:val="pt-BR"/>
    </w:rPr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requisito">
    <w:name w:val="requisito"/>
    <w:basedOn w:val="Normal"/>
    <w:qFormat/>
    <w:pPr>
      <w:tabs>
        <w:tab w:val="clear" w:pos="720"/>
        <w:tab w:val="left" w:pos="2268" w:leader="none"/>
      </w:tabs>
      <w:spacing w:before="240" w:after="0"/>
      <w:ind w:hanging="1134" w:start="1134" w:end="0"/>
    </w:pPr>
    <w:rPr>
      <w:rFonts w:ascii="Arial" w:hAnsi="Arial" w:cs="Arial"/>
      <w:szCs w:val="20"/>
      <w:lang w:val="pt-BR"/>
    </w:rPr>
  </w:style>
  <w:style w:type="paragraph" w:styleId="fax">
    <w:name w:val="fax"/>
    <w:basedOn w:val="Normal"/>
    <w:qFormat/>
    <w:pPr/>
    <w:rPr>
      <w:rFonts w:ascii="Arial" w:hAnsi="Arial" w:cs="Arial"/>
      <w:sz w:val="20"/>
      <w:szCs w:val="20"/>
      <w:lang w:val="pt-PT"/>
    </w:rPr>
  </w:style>
  <w:style w:type="paragraph" w:styleId="PlainText1">
    <w:name w:val="Plain Text1"/>
    <w:basedOn w:val="Normal"/>
    <w:qFormat/>
    <w:pPr>
      <w:jc w:val="both"/>
    </w:pPr>
    <w:rPr>
      <w:rFonts w:ascii="Courier New" w:hAnsi="Courier New" w:cs="Courier New"/>
      <w:sz w:val="20"/>
      <w:szCs w:val="20"/>
      <w:lang w:val="pt-BR"/>
    </w:rPr>
  </w:style>
  <w:style w:type="paragraph" w:styleId="anotaoderequisito">
    <w:name w:val="anotação de requisito"/>
    <w:basedOn w:val="Normal"/>
    <w:qFormat/>
    <w:pPr>
      <w:ind w:hanging="0" w:start="1134" w:end="0"/>
    </w:pPr>
    <w:rPr>
      <w:rFonts w:ascii="Arial" w:hAnsi="Arial" w:cs="Arial"/>
      <w:i/>
      <w:szCs w:val="20"/>
      <w:lang w:val="pt-BR"/>
    </w:rPr>
  </w:style>
  <w:style w:type="paragraph" w:styleId="TOC1">
    <w:name w:val="toc 1"/>
    <w:basedOn w:val="Normal"/>
    <w:next w:val="Normal"/>
    <w:pPr>
      <w:spacing w:before="120" w:after="120"/>
    </w:pPr>
    <w:rPr>
      <w:b/>
      <w:bCs/>
      <w:caps/>
      <w:sz w:val="20"/>
      <w:szCs w:val="20"/>
    </w:rPr>
  </w:style>
  <w:style w:type="paragraph" w:styleId="Ttulo">
    <w:name w:val="Título"/>
    <w:basedOn w:val="Normal"/>
    <w:next w:val="Subtitle"/>
    <w:qFormat/>
    <w:pPr>
      <w:jc w:val="center"/>
    </w:pPr>
    <w:rPr>
      <w:rFonts w:ascii="Arial" w:hAnsi="Arial" w:cs="Arial"/>
      <w:b/>
      <w:sz w:val="40"/>
      <w:szCs w:val="20"/>
      <w:lang w:val="pt-BR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TOC2">
    <w:name w:val="toc 2"/>
    <w:basedOn w:val="Normal"/>
    <w:next w:val="Normal"/>
    <w:pPr>
      <w:ind w:hanging="0" w:start="240" w:end="0"/>
    </w:pPr>
    <w:rPr>
      <w:smallCaps/>
      <w:sz w:val="20"/>
      <w:szCs w:val="20"/>
    </w:rPr>
  </w:style>
  <w:style w:type="paragraph" w:styleId="Corpodetexto2">
    <w:name w:val="Corpo de texto 2"/>
    <w:basedOn w:val="Normal"/>
    <w:qFormat/>
    <w:pPr>
      <w:jc w:val="both"/>
    </w:pPr>
    <w:rPr>
      <w:lang w:val="pt-BR"/>
    </w:rPr>
  </w:style>
  <w:style w:type="paragraph" w:styleId="TOC3">
    <w:name w:val="toc 3"/>
    <w:basedOn w:val="Normal"/>
    <w:next w:val="Normal"/>
    <w:pPr>
      <w:ind w:hanging="0" w:start="480" w:end="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18"/>
      <w:szCs w:val="18"/>
    </w:rPr>
  </w:style>
  <w:style w:type="paragraph" w:styleId="TOC5">
    <w:name w:val="toc 5"/>
    <w:basedOn w:val="Normal"/>
    <w:next w:val="Normal"/>
    <w:pPr>
      <w:ind w:hanging="0" w:start="960" w:end="0"/>
    </w:pPr>
    <w:rPr>
      <w:sz w:val="18"/>
      <w:szCs w:val="18"/>
    </w:rPr>
  </w:style>
  <w:style w:type="paragraph" w:styleId="TOC6">
    <w:name w:val="toc 6"/>
    <w:basedOn w:val="Normal"/>
    <w:next w:val="Normal"/>
    <w:pPr>
      <w:ind w:hanging="0" w:start="1200" w:end="0"/>
    </w:pPr>
    <w:rPr>
      <w:sz w:val="18"/>
      <w:szCs w:val="18"/>
    </w:rPr>
  </w:style>
  <w:style w:type="paragraph" w:styleId="TOC7">
    <w:name w:val="toc 7"/>
    <w:basedOn w:val="Normal"/>
    <w:next w:val="Normal"/>
    <w:pPr>
      <w:ind w:hanging="0" w:start="1440" w:end="0"/>
    </w:pPr>
    <w:rPr>
      <w:sz w:val="18"/>
      <w:szCs w:val="18"/>
    </w:rPr>
  </w:style>
  <w:style w:type="paragraph" w:styleId="TOC8">
    <w:name w:val="toc 8"/>
    <w:basedOn w:val="Normal"/>
    <w:next w:val="Normal"/>
    <w:pPr>
      <w:ind w:hanging="0" w:start="1680" w:end="0"/>
    </w:pPr>
    <w:rPr>
      <w:sz w:val="18"/>
      <w:szCs w:val="18"/>
    </w:rPr>
  </w:style>
  <w:style w:type="paragraph" w:styleId="TOC9">
    <w:name w:val="toc 9"/>
    <w:basedOn w:val="Normal"/>
    <w:next w:val="Normal"/>
    <w:pPr>
      <w:ind w:hanging="0" w:start="1920" w:end="0"/>
    </w:pPr>
    <w:rPr>
      <w:sz w:val="18"/>
      <w:szCs w:val="18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EndnoteText">
    <w:name w:val="endnote text"/>
    <w:basedOn w:val="Normal"/>
    <w:pPr/>
    <w:rPr>
      <w:rFonts w:ascii="Arial" w:hAnsi="Arial" w:cs="Arial"/>
      <w:szCs w:val="20"/>
      <w:lang w:val="pt-BR"/>
    </w:rPr>
  </w:style>
  <w:style w:type="paragraph" w:styleId="FrameContents">
    <w:name w:val="Frame Contents"/>
    <w:basedOn w:val="BodyText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tents10">
    <w:name w:val="Contents 10"/>
    <w:basedOn w:val="Index"/>
    <w:qFormat/>
    <w:pPr>
      <w:tabs>
        <w:tab w:val="clear" w:pos="720"/>
        <w:tab w:val="right" w:pos="9972" w:leader="dot"/>
      </w:tabs>
      <w:ind w:hanging="0" w:start="2547" w:end="0"/>
    </w:pPr>
    <w:rPr/>
  </w:style>
  <w:style w:type="paragraph" w:styleId="Figura">
    <w:name w:val="Figura"/>
    <w:basedOn w:val="Legenda"/>
    <w:qFormat/>
    <w:pPr/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FrameContents1">
    <w:name w:val="Frame Contents1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LibreOffice/25.8.6.2$Linux_X86_64 LibreOffice_project/9ad09ed4e41fba5287dcc205220c6d606e1ac75e</Application>
  <AppVersion>15.0000</AppVersion>
  <Pages>8</Pages>
  <Words>1203</Words>
  <Characters>8500</Characters>
  <CharactersWithSpaces>9557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2024-09-26T18:34:00Z</dcterms:created>
  <dc:creator>Fábio Levy Siqueira</dc:creator>
  <dc:description/>
  <dc:language>en-US</dc:language>
  <cp:lastModifiedBy/>
  <cp:lastPrinted>2009-02-04T15:49:00Z</cp:lastPrinted>
  <dcterms:modified xsi:type="dcterms:W3CDTF">2026-04-06T22:31:03Z</dcterms:modified>
  <cp:revision>14</cp:revision>
  <dc:subject/>
  <dc:title>Documento de Especificação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{20050711-1425-1430-A2C0-C59CC90507D7}</vt:lpwstr>
  </property>
  <property fmtid="{D5CDD505-2E9C-101B-9397-08002B2CF9AE}" pid="3" name="Order">
    <vt:lpwstr>300.000000000000</vt:lpwstr>
  </property>
  <property fmtid="{D5CDD505-2E9C-101B-9397-08002B2CF9AE}" pid="4" name="Owner">
    <vt:lpwstr>Nathalia Sautchuk</vt:lpwstr>
  </property>
  <property fmtid="{D5CDD505-2E9C-101B-9397-08002B2CF9AE}" pid="5" name="SPSDescription">
    <vt:lpwstr>Documento de Especificação de Requisitos</vt:lpwstr>
  </property>
  <property fmtid="{D5CDD505-2E9C-101B-9397-08002B2CF9AE}" pid="6" name="Status">
    <vt:lpwstr>Final</vt:lpwstr>
  </property>
</Properties>
</file>